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91E9" w14:textId="3C71704C" w:rsidR="00A05AB4" w:rsidRPr="00ED0973" w:rsidRDefault="000509DF" w:rsidP="00D73158">
      <w:pPr>
        <w:pStyle w:val="Geenafstand"/>
        <w:jc w:val="both"/>
        <w:rPr>
          <w:b/>
          <w:color w:val="000000" w:themeColor="text1"/>
          <w:sz w:val="24"/>
          <w:szCs w:val="24"/>
        </w:rPr>
      </w:pPr>
      <w:r>
        <w:rPr>
          <w:b/>
          <w:bCs/>
          <w:color w:val="000000" w:themeColor="text1"/>
          <w:sz w:val="24"/>
          <w:szCs w:val="24"/>
        </w:rPr>
        <w:t>I</w:t>
      </w:r>
      <w:r w:rsidR="0056734E" w:rsidRPr="00ED0973">
        <w:rPr>
          <w:b/>
          <w:bCs/>
          <w:color w:val="000000" w:themeColor="text1"/>
          <w:sz w:val="24"/>
          <w:szCs w:val="24"/>
        </w:rPr>
        <w:t>nvesto</w:t>
      </w:r>
      <w:r w:rsidR="00576052">
        <w:rPr>
          <w:b/>
          <w:bCs/>
          <w:color w:val="000000" w:themeColor="text1"/>
          <w:sz w:val="24"/>
          <w:szCs w:val="24"/>
        </w:rPr>
        <w:t xml:space="preserve">r-state arbitration </w:t>
      </w:r>
      <w:r w:rsidR="008D7807">
        <w:rPr>
          <w:b/>
          <w:bCs/>
          <w:color w:val="000000" w:themeColor="text1"/>
          <w:sz w:val="24"/>
          <w:szCs w:val="24"/>
        </w:rPr>
        <w:t>in the light of</w:t>
      </w:r>
      <w:r w:rsidR="0056734E" w:rsidRPr="00ED0973">
        <w:rPr>
          <w:b/>
          <w:bCs/>
          <w:color w:val="000000" w:themeColor="text1"/>
          <w:sz w:val="24"/>
          <w:szCs w:val="24"/>
        </w:rPr>
        <w:t xml:space="preserve"> EU </w:t>
      </w:r>
      <w:r w:rsidR="00B45C7F">
        <w:rPr>
          <w:b/>
          <w:bCs/>
          <w:color w:val="000000" w:themeColor="text1"/>
          <w:sz w:val="24"/>
          <w:szCs w:val="24"/>
        </w:rPr>
        <w:t xml:space="preserve">policy </w:t>
      </w:r>
      <w:r w:rsidR="008D7807">
        <w:rPr>
          <w:b/>
          <w:bCs/>
          <w:color w:val="000000" w:themeColor="text1"/>
          <w:sz w:val="24"/>
          <w:szCs w:val="24"/>
        </w:rPr>
        <w:t xml:space="preserve">and </w:t>
      </w:r>
      <w:r w:rsidR="0056734E" w:rsidRPr="00ED0973">
        <w:rPr>
          <w:b/>
          <w:bCs/>
          <w:color w:val="000000" w:themeColor="text1"/>
          <w:sz w:val="24"/>
          <w:szCs w:val="24"/>
        </w:rPr>
        <w:t>law</w:t>
      </w:r>
      <w:r w:rsidR="008D7807">
        <w:rPr>
          <w:b/>
          <w:bCs/>
          <w:color w:val="000000" w:themeColor="text1"/>
          <w:sz w:val="24"/>
          <w:szCs w:val="24"/>
        </w:rPr>
        <w:t xml:space="preserve"> after </w:t>
      </w:r>
      <w:r w:rsidR="00576052">
        <w:rPr>
          <w:b/>
          <w:bCs/>
          <w:color w:val="000000" w:themeColor="text1"/>
          <w:sz w:val="24"/>
          <w:szCs w:val="24"/>
        </w:rPr>
        <w:t xml:space="preserve">the </w:t>
      </w:r>
      <w:r w:rsidR="008D7807">
        <w:rPr>
          <w:b/>
          <w:bCs/>
          <w:color w:val="000000" w:themeColor="text1"/>
          <w:sz w:val="24"/>
          <w:szCs w:val="24"/>
        </w:rPr>
        <w:t>Lisbon</w:t>
      </w:r>
      <w:r w:rsidR="00576052">
        <w:rPr>
          <w:b/>
          <w:bCs/>
          <w:color w:val="000000" w:themeColor="text1"/>
          <w:sz w:val="24"/>
          <w:szCs w:val="24"/>
        </w:rPr>
        <w:t xml:space="preserve"> Treaty</w:t>
      </w:r>
    </w:p>
    <w:p w14:paraId="204C91EB" w14:textId="5B02F262" w:rsidR="001060E7" w:rsidRPr="00ED0973" w:rsidRDefault="731A9F31" w:rsidP="00D73158">
      <w:pPr>
        <w:pStyle w:val="Geenafstand"/>
        <w:jc w:val="both"/>
        <w:rPr>
          <w:color w:val="000000" w:themeColor="text1"/>
          <w:sz w:val="24"/>
          <w:szCs w:val="24"/>
        </w:rPr>
      </w:pPr>
      <w:r w:rsidRPr="00ED0973">
        <w:rPr>
          <w:color w:val="000000" w:themeColor="text1"/>
          <w:sz w:val="24"/>
          <w:szCs w:val="24"/>
        </w:rPr>
        <w:t>Wybe Douma, Senior Research Fellow at the T.M.C. Asser Institute</w:t>
      </w:r>
      <w:r w:rsidR="00967FD5">
        <w:rPr>
          <w:color w:val="000000" w:themeColor="text1"/>
          <w:sz w:val="24"/>
          <w:szCs w:val="24"/>
        </w:rPr>
        <w:t xml:space="preserve"> and lecturer </w:t>
      </w:r>
      <w:r w:rsidR="00093539">
        <w:rPr>
          <w:color w:val="000000" w:themeColor="text1"/>
          <w:sz w:val="24"/>
          <w:szCs w:val="24"/>
        </w:rPr>
        <w:t>at The Hague University</w:t>
      </w:r>
      <w:r w:rsidRPr="00ED0973">
        <w:rPr>
          <w:color w:val="000000" w:themeColor="text1"/>
          <w:sz w:val="24"/>
          <w:szCs w:val="24"/>
        </w:rPr>
        <w:t xml:space="preserve"> (The Hague, The Netherlands)</w:t>
      </w:r>
      <w:r w:rsidR="00967FD5">
        <w:rPr>
          <w:color w:val="000000" w:themeColor="text1"/>
          <w:sz w:val="24"/>
          <w:szCs w:val="24"/>
        </w:rPr>
        <w:t xml:space="preserve"> </w:t>
      </w:r>
    </w:p>
    <w:p w14:paraId="204C91EC" w14:textId="77777777" w:rsidR="001060E7" w:rsidRPr="00ED0973" w:rsidRDefault="001060E7" w:rsidP="00D73158">
      <w:pPr>
        <w:pStyle w:val="Geenafstand"/>
        <w:jc w:val="both"/>
        <w:rPr>
          <w:color w:val="000000" w:themeColor="text1"/>
          <w:sz w:val="24"/>
          <w:szCs w:val="24"/>
        </w:rPr>
      </w:pPr>
    </w:p>
    <w:p w14:paraId="204C91ED" w14:textId="5B3E7AAF" w:rsidR="00E4102A" w:rsidRPr="00EA16F0" w:rsidRDefault="731A9F31" w:rsidP="00212753">
      <w:pPr>
        <w:pStyle w:val="Kop1"/>
        <w:numPr>
          <w:ilvl w:val="0"/>
          <w:numId w:val="12"/>
        </w:numPr>
      </w:pPr>
      <w:r w:rsidRPr="00EA16F0">
        <w:t>Introduction</w:t>
      </w:r>
    </w:p>
    <w:p w14:paraId="204C91EE" w14:textId="1A3E7056" w:rsidR="00037E4E" w:rsidRPr="00ED0973" w:rsidRDefault="731A9F31" w:rsidP="00D73158">
      <w:pPr>
        <w:widowControl w:val="0"/>
        <w:autoSpaceDE w:val="0"/>
        <w:autoSpaceDN w:val="0"/>
        <w:adjustRightInd w:val="0"/>
        <w:spacing w:after="0" w:line="240" w:lineRule="auto"/>
        <w:jc w:val="both"/>
        <w:rPr>
          <w:color w:val="000000" w:themeColor="text1"/>
          <w:sz w:val="24"/>
          <w:szCs w:val="24"/>
        </w:rPr>
      </w:pPr>
      <w:r w:rsidRPr="00ED0973">
        <w:rPr>
          <w:color w:val="000000" w:themeColor="text1"/>
          <w:sz w:val="24"/>
          <w:szCs w:val="24"/>
        </w:rPr>
        <w:t xml:space="preserve">The Treaty of Lisbon extended the European Union’s exclusive competences in the area of </w:t>
      </w:r>
      <w:r w:rsidR="00D15AC7">
        <w:rPr>
          <w:color w:val="000000" w:themeColor="text1"/>
          <w:sz w:val="24"/>
          <w:szCs w:val="24"/>
        </w:rPr>
        <w:t>the common commercial policy</w:t>
      </w:r>
      <w:r w:rsidRPr="00ED0973">
        <w:rPr>
          <w:color w:val="000000" w:themeColor="text1"/>
          <w:sz w:val="24"/>
          <w:szCs w:val="24"/>
        </w:rPr>
        <w:t xml:space="preserve"> to the topic of foreign direct investment. This meant that from 1 December 2009 on, the EU instead of its Member States is exclusively competent to</w:t>
      </w:r>
      <w:r w:rsidR="005839E2">
        <w:rPr>
          <w:color w:val="000000" w:themeColor="text1"/>
          <w:sz w:val="24"/>
          <w:szCs w:val="24"/>
        </w:rPr>
        <w:t xml:space="preserve"> negotiate and conclude trade and investment agreements</w:t>
      </w:r>
      <w:r w:rsidR="00E54520">
        <w:rPr>
          <w:color w:val="000000" w:themeColor="text1"/>
          <w:sz w:val="24"/>
          <w:szCs w:val="24"/>
        </w:rPr>
        <w:t xml:space="preserve">, </w:t>
      </w:r>
      <w:r w:rsidR="007A0D2A">
        <w:rPr>
          <w:color w:val="000000" w:themeColor="text1"/>
          <w:sz w:val="24"/>
          <w:szCs w:val="24"/>
        </w:rPr>
        <w:t>although some aspects of investment policy might not fall under this exclusive competence</w:t>
      </w:r>
      <w:r w:rsidR="005839E2">
        <w:rPr>
          <w:color w:val="000000" w:themeColor="text1"/>
          <w:sz w:val="24"/>
          <w:szCs w:val="24"/>
        </w:rPr>
        <w:t xml:space="preserve">. Two of such </w:t>
      </w:r>
      <w:r w:rsidRPr="00ED0973">
        <w:rPr>
          <w:color w:val="000000" w:themeColor="text1"/>
          <w:sz w:val="24"/>
          <w:szCs w:val="24"/>
        </w:rPr>
        <w:t>agreements</w:t>
      </w:r>
      <w:r w:rsidR="005839E2">
        <w:rPr>
          <w:color w:val="000000" w:themeColor="text1"/>
          <w:sz w:val="24"/>
          <w:szCs w:val="24"/>
        </w:rPr>
        <w:t xml:space="preserve"> </w:t>
      </w:r>
      <w:r w:rsidRPr="00ED0973">
        <w:rPr>
          <w:color w:val="000000" w:themeColor="text1"/>
          <w:sz w:val="24"/>
          <w:szCs w:val="24"/>
        </w:rPr>
        <w:t>have become the subject of heated debates</w:t>
      </w:r>
      <w:r w:rsidR="005839E2">
        <w:rPr>
          <w:color w:val="000000" w:themeColor="text1"/>
          <w:sz w:val="24"/>
          <w:szCs w:val="24"/>
        </w:rPr>
        <w:t xml:space="preserve">: </w:t>
      </w:r>
      <w:r w:rsidRPr="00ED0973">
        <w:rPr>
          <w:color w:val="000000" w:themeColor="text1"/>
          <w:sz w:val="24"/>
          <w:szCs w:val="24"/>
        </w:rPr>
        <w:t xml:space="preserve">the Transatlantic Trade and Investment Partnership (TTIP) between the European Union and the United States of America, and the Canada-EU Trade Agreement (CETA) in its wake. </w:t>
      </w:r>
    </w:p>
    <w:p w14:paraId="359707B5" w14:textId="58F70475" w:rsidR="00144563" w:rsidRPr="00ED0973" w:rsidRDefault="00934C2D" w:rsidP="006E1756">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 xml:space="preserve">One of the </w:t>
      </w:r>
      <w:r w:rsidR="004D35A2" w:rsidRPr="00ED0973">
        <w:rPr>
          <w:color w:val="000000" w:themeColor="text1"/>
          <w:sz w:val="24"/>
          <w:szCs w:val="24"/>
        </w:rPr>
        <w:t xml:space="preserve">main </w:t>
      </w:r>
      <w:r w:rsidR="005B71F7" w:rsidRPr="00ED0973">
        <w:rPr>
          <w:color w:val="000000" w:themeColor="text1"/>
          <w:sz w:val="24"/>
          <w:szCs w:val="24"/>
        </w:rPr>
        <w:t>points of concern about</w:t>
      </w:r>
      <w:r w:rsidRPr="00ED0973">
        <w:rPr>
          <w:color w:val="000000" w:themeColor="text1"/>
          <w:sz w:val="24"/>
          <w:szCs w:val="24"/>
        </w:rPr>
        <w:t xml:space="preserve"> these agreements is the </w:t>
      </w:r>
      <w:r w:rsidR="005B71F7" w:rsidRPr="00ED0973">
        <w:rPr>
          <w:color w:val="000000" w:themeColor="text1"/>
          <w:sz w:val="24"/>
          <w:szCs w:val="24"/>
        </w:rPr>
        <w:t xml:space="preserve">envisaged </w:t>
      </w:r>
      <w:r w:rsidRPr="00ED0973">
        <w:rPr>
          <w:color w:val="000000" w:themeColor="text1"/>
          <w:sz w:val="24"/>
          <w:szCs w:val="24"/>
        </w:rPr>
        <w:t xml:space="preserve">inclusion of a </w:t>
      </w:r>
      <w:r w:rsidR="00D7237A" w:rsidRPr="00ED0973">
        <w:rPr>
          <w:color w:val="000000" w:themeColor="text1"/>
          <w:sz w:val="24"/>
          <w:szCs w:val="24"/>
        </w:rPr>
        <w:t xml:space="preserve">privileged </w:t>
      </w:r>
      <w:r w:rsidRPr="00ED0973">
        <w:rPr>
          <w:color w:val="000000" w:themeColor="text1"/>
          <w:sz w:val="24"/>
          <w:szCs w:val="24"/>
        </w:rPr>
        <w:t>possibility for foreign investor</w:t>
      </w:r>
      <w:r w:rsidR="00FA08E0" w:rsidRPr="00ED0973">
        <w:rPr>
          <w:color w:val="000000" w:themeColor="text1"/>
          <w:sz w:val="24"/>
          <w:szCs w:val="24"/>
        </w:rPr>
        <w:t xml:space="preserve">s to bring complaints about </w:t>
      </w:r>
      <w:r w:rsidR="00BC4432" w:rsidRPr="00ED0973">
        <w:rPr>
          <w:color w:val="000000" w:themeColor="text1"/>
          <w:sz w:val="24"/>
          <w:szCs w:val="24"/>
        </w:rPr>
        <w:t xml:space="preserve">measures adopted </w:t>
      </w:r>
      <w:r w:rsidR="00EB689B" w:rsidRPr="00ED0973">
        <w:rPr>
          <w:color w:val="000000" w:themeColor="text1"/>
          <w:sz w:val="24"/>
          <w:szCs w:val="24"/>
        </w:rPr>
        <w:t xml:space="preserve">by </w:t>
      </w:r>
      <w:r w:rsidR="00FA08E0" w:rsidRPr="00ED0973">
        <w:rPr>
          <w:color w:val="000000" w:themeColor="text1"/>
          <w:sz w:val="24"/>
          <w:szCs w:val="24"/>
        </w:rPr>
        <w:t xml:space="preserve">host states </w:t>
      </w:r>
      <w:r w:rsidR="005B71F7" w:rsidRPr="00ED0973">
        <w:rPr>
          <w:color w:val="000000" w:themeColor="text1"/>
          <w:sz w:val="24"/>
          <w:szCs w:val="24"/>
        </w:rPr>
        <w:t>to a</w:t>
      </w:r>
      <w:r w:rsidR="009713F9" w:rsidRPr="00ED0973">
        <w:rPr>
          <w:color w:val="000000" w:themeColor="text1"/>
          <w:sz w:val="24"/>
          <w:szCs w:val="24"/>
        </w:rPr>
        <w:t>rbiters</w:t>
      </w:r>
      <w:r w:rsidR="008F1D75">
        <w:rPr>
          <w:color w:val="000000" w:themeColor="text1"/>
          <w:sz w:val="24"/>
          <w:szCs w:val="24"/>
        </w:rPr>
        <w:t xml:space="preserve">, and receive </w:t>
      </w:r>
      <w:r w:rsidR="00516533" w:rsidRPr="00ED0973">
        <w:rPr>
          <w:color w:val="000000" w:themeColor="text1"/>
          <w:sz w:val="24"/>
          <w:szCs w:val="24"/>
        </w:rPr>
        <w:t>c</w:t>
      </w:r>
      <w:r w:rsidR="009C702C" w:rsidRPr="00ED0973">
        <w:rPr>
          <w:color w:val="000000" w:themeColor="text1"/>
          <w:sz w:val="24"/>
          <w:szCs w:val="24"/>
        </w:rPr>
        <w:t>ompensation</w:t>
      </w:r>
      <w:r w:rsidR="008F1D75">
        <w:rPr>
          <w:color w:val="000000" w:themeColor="text1"/>
          <w:sz w:val="24"/>
          <w:szCs w:val="24"/>
        </w:rPr>
        <w:t xml:space="preserve"> from these states. C</w:t>
      </w:r>
      <w:r w:rsidR="00302B9A" w:rsidRPr="00ED0973">
        <w:rPr>
          <w:color w:val="000000" w:themeColor="text1"/>
          <w:sz w:val="24"/>
          <w:szCs w:val="24"/>
        </w:rPr>
        <w:t>ircumvent</w:t>
      </w:r>
      <w:r w:rsidR="008F1D75">
        <w:rPr>
          <w:color w:val="000000" w:themeColor="text1"/>
          <w:sz w:val="24"/>
          <w:szCs w:val="24"/>
        </w:rPr>
        <w:t>ing existing</w:t>
      </w:r>
      <w:r w:rsidR="00302B9A" w:rsidRPr="00ED0973">
        <w:rPr>
          <w:color w:val="000000" w:themeColor="text1"/>
          <w:sz w:val="24"/>
          <w:szCs w:val="24"/>
        </w:rPr>
        <w:t xml:space="preserve"> national courts and</w:t>
      </w:r>
      <w:r w:rsidR="00FA08E0" w:rsidRPr="00ED0973">
        <w:rPr>
          <w:color w:val="000000" w:themeColor="text1"/>
          <w:sz w:val="24"/>
          <w:szCs w:val="24"/>
        </w:rPr>
        <w:t xml:space="preserve"> the Court of Justice of the European Union</w:t>
      </w:r>
      <w:r w:rsidR="005B71F7" w:rsidRPr="00ED0973">
        <w:rPr>
          <w:color w:val="000000" w:themeColor="text1"/>
          <w:sz w:val="24"/>
          <w:szCs w:val="24"/>
        </w:rPr>
        <w:t xml:space="preserve"> (CJEU)</w:t>
      </w:r>
      <w:r w:rsidR="008F1D75">
        <w:rPr>
          <w:color w:val="000000" w:themeColor="text1"/>
          <w:sz w:val="24"/>
          <w:szCs w:val="24"/>
        </w:rPr>
        <w:t>, foreign investors</w:t>
      </w:r>
      <w:r w:rsidR="005B71F7" w:rsidRPr="00ED0973">
        <w:rPr>
          <w:color w:val="000000" w:themeColor="text1"/>
          <w:sz w:val="24"/>
          <w:szCs w:val="24"/>
        </w:rPr>
        <w:t xml:space="preserve"> </w:t>
      </w:r>
      <w:r w:rsidR="008F1D75">
        <w:rPr>
          <w:color w:val="000000" w:themeColor="text1"/>
          <w:sz w:val="24"/>
          <w:szCs w:val="24"/>
        </w:rPr>
        <w:t xml:space="preserve">can </w:t>
      </w:r>
      <w:r w:rsidR="00302B9A" w:rsidRPr="00ED0973">
        <w:rPr>
          <w:color w:val="000000" w:themeColor="text1"/>
          <w:sz w:val="24"/>
          <w:szCs w:val="24"/>
        </w:rPr>
        <w:t>challenge public policy measures aimed at, for instance, protection of the environment or public health</w:t>
      </w:r>
      <w:r w:rsidR="009C702C" w:rsidRPr="00ED0973">
        <w:rPr>
          <w:color w:val="000000" w:themeColor="text1"/>
          <w:sz w:val="24"/>
          <w:szCs w:val="24"/>
        </w:rPr>
        <w:t>, if these measures decrease the value of their investments</w:t>
      </w:r>
      <w:r w:rsidR="00FA08E0" w:rsidRPr="00ED0973">
        <w:rPr>
          <w:color w:val="000000" w:themeColor="text1"/>
          <w:sz w:val="24"/>
          <w:szCs w:val="24"/>
        </w:rPr>
        <w:t>. This type of arbitration is called Investor State Dispute Settlement (ISDS)</w:t>
      </w:r>
      <w:r w:rsidR="00302B9A" w:rsidRPr="00ED0973">
        <w:rPr>
          <w:color w:val="000000" w:themeColor="text1"/>
          <w:sz w:val="24"/>
          <w:szCs w:val="24"/>
        </w:rPr>
        <w:t xml:space="preserve">, and besides the objections that many members of the general public have </w:t>
      </w:r>
      <w:r w:rsidR="005B71F7" w:rsidRPr="00ED0973">
        <w:rPr>
          <w:color w:val="000000" w:themeColor="text1"/>
          <w:sz w:val="24"/>
          <w:szCs w:val="24"/>
        </w:rPr>
        <w:t>against it</w:t>
      </w:r>
      <w:r w:rsidR="00302B9A" w:rsidRPr="00ED0973">
        <w:rPr>
          <w:color w:val="000000" w:themeColor="text1"/>
          <w:sz w:val="24"/>
          <w:szCs w:val="24"/>
        </w:rPr>
        <w:t xml:space="preserve">, </w:t>
      </w:r>
      <w:r w:rsidR="00E9661C">
        <w:rPr>
          <w:color w:val="000000" w:themeColor="text1"/>
          <w:sz w:val="24"/>
          <w:szCs w:val="24"/>
        </w:rPr>
        <w:t xml:space="preserve">legal </w:t>
      </w:r>
      <w:r w:rsidR="004C6679" w:rsidRPr="00ED0973">
        <w:rPr>
          <w:color w:val="000000" w:themeColor="text1"/>
          <w:sz w:val="24"/>
          <w:szCs w:val="24"/>
        </w:rPr>
        <w:t xml:space="preserve">specialists </w:t>
      </w:r>
      <w:r w:rsidR="00687F61" w:rsidRPr="00ED0973">
        <w:rPr>
          <w:color w:val="000000" w:themeColor="text1"/>
          <w:sz w:val="24"/>
          <w:szCs w:val="24"/>
        </w:rPr>
        <w:t xml:space="preserve">on both sides of the Atlantic </w:t>
      </w:r>
      <w:r w:rsidR="004C6679" w:rsidRPr="00ED0973">
        <w:rPr>
          <w:color w:val="000000" w:themeColor="text1"/>
          <w:sz w:val="24"/>
          <w:szCs w:val="24"/>
        </w:rPr>
        <w:t xml:space="preserve">warn that </w:t>
      </w:r>
      <w:r w:rsidR="00302B9A" w:rsidRPr="00ED0973">
        <w:rPr>
          <w:color w:val="000000" w:themeColor="text1"/>
          <w:sz w:val="24"/>
          <w:szCs w:val="24"/>
        </w:rPr>
        <w:t>there exist major challenges</w:t>
      </w:r>
      <w:r w:rsidR="00FA08E0" w:rsidRPr="00ED0973">
        <w:rPr>
          <w:color w:val="000000" w:themeColor="text1"/>
          <w:sz w:val="24"/>
          <w:szCs w:val="24"/>
        </w:rPr>
        <w:t xml:space="preserve"> </w:t>
      </w:r>
      <w:r w:rsidR="00302B9A" w:rsidRPr="00ED0973">
        <w:rPr>
          <w:color w:val="000000" w:themeColor="text1"/>
          <w:sz w:val="24"/>
          <w:szCs w:val="24"/>
        </w:rPr>
        <w:t xml:space="preserve">from </w:t>
      </w:r>
      <w:r w:rsidR="00BA7FEC" w:rsidRPr="00ED0973">
        <w:rPr>
          <w:color w:val="000000" w:themeColor="text1"/>
          <w:sz w:val="24"/>
          <w:szCs w:val="24"/>
        </w:rPr>
        <w:t>a rule of law</w:t>
      </w:r>
      <w:r w:rsidR="00C53516" w:rsidRPr="00ED0973">
        <w:rPr>
          <w:rStyle w:val="Voetnootmarkering"/>
          <w:color w:val="000000" w:themeColor="text1"/>
          <w:sz w:val="24"/>
          <w:szCs w:val="24"/>
        </w:rPr>
        <w:footnoteReference w:id="1"/>
      </w:r>
      <w:r w:rsidR="00BA7FEC" w:rsidRPr="00ED0973">
        <w:rPr>
          <w:color w:val="000000" w:themeColor="text1"/>
          <w:sz w:val="24"/>
          <w:szCs w:val="24"/>
        </w:rPr>
        <w:t xml:space="preserve"> </w:t>
      </w:r>
      <w:r w:rsidR="00151852" w:rsidRPr="00ED0973">
        <w:rPr>
          <w:color w:val="000000" w:themeColor="text1"/>
          <w:sz w:val="24"/>
          <w:szCs w:val="24"/>
        </w:rPr>
        <w:t xml:space="preserve">and </w:t>
      </w:r>
      <w:r w:rsidR="002F2901">
        <w:rPr>
          <w:color w:val="000000" w:themeColor="text1"/>
          <w:sz w:val="24"/>
          <w:szCs w:val="24"/>
        </w:rPr>
        <w:t xml:space="preserve">from </w:t>
      </w:r>
      <w:r w:rsidR="008348C9" w:rsidRPr="00ED0973">
        <w:rPr>
          <w:color w:val="000000" w:themeColor="text1"/>
          <w:sz w:val="24"/>
          <w:szCs w:val="24"/>
        </w:rPr>
        <w:t>an EU law point of view.</w:t>
      </w:r>
      <w:r w:rsidR="00BA438C" w:rsidRPr="00ED0973">
        <w:rPr>
          <w:rStyle w:val="Voetnootmarkering"/>
          <w:color w:val="000000" w:themeColor="text1"/>
          <w:sz w:val="24"/>
          <w:szCs w:val="24"/>
        </w:rPr>
        <w:footnoteReference w:id="2"/>
      </w:r>
      <w:r w:rsidR="008348C9" w:rsidRPr="00ED0973">
        <w:rPr>
          <w:color w:val="000000" w:themeColor="text1"/>
          <w:sz w:val="24"/>
          <w:szCs w:val="24"/>
        </w:rPr>
        <w:t xml:space="preserve"> T</w:t>
      </w:r>
      <w:r w:rsidR="00302B9A" w:rsidRPr="00ED0973">
        <w:rPr>
          <w:color w:val="000000" w:themeColor="text1"/>
          <w:sz w:val="24"/>
          <w:szCs w:val="24"/>
        </w:rPr>
        <w:t>he</w:t>
      </w:r>
      <w:r w:rsidR="00E9661C">
        <w:rPr>
          <w:color w:val="000000" w:themeColor="text1"/>
          <w:sz w:val="24"/>
          <w:szCs w:val="24"/>
        </w:rPr>
        <w:t>y</w:t>
      </w:r>
      <w:r w:rsidR="00977D3B" w:rsidRPr="00ED0973">
        <w:rPr>
          <w:color w:val="000000" w:themeColor="text1"/>
          <w:sz w:val="24"/>
          <w:szCs w:val="24"/>
        </w:rPr>
        <w:t xml:space="preserve"> warn that</w:t>
      </w:r>
      <w:r w:rsidR="00302B9A" w:rsidRPr="00ED0973">
        <w:rPr>
          <w:color w:val="000000" w:themeColor="text1"/>
          <w:sz w:val="24"/>
          <w:szCs w:val="24"/>
        </w:rPr>
        <w:t xml:space="preserve"> ISDS</w:t>
      </w:r>
      <w:r w:rsidR="0098585B" w:rsidRPr="00ED0973">
        <w:rPr>
          <w:color w:val="000000" w:themeColor="text1"/>
          <w:sz w:val="24"/>
          <w:szCs w:val="24"/>
        </w:rPr>
        <w:t>, even reformed as an Investor State Court (ICS) system,</w:t>
      </w:r>
      <w:r w:rsidR="00302B9A" w:rsidRPr="00ED0973">
        <w:rPr>
          <w:color w:val="000000" w:themeColor="text1"/>
          <w:sz w:val="24"/>
          <w:szCs w:val="24"/>
        </w:rPr>
        <w:t xml:space="preserve"> is</w:t>
      </w:r>
      <w:r w:rsidR="00C53516" w:rsidRPr="00ED0973">
        <w:rPr>
          <w:color w:val="000000" w:themeColor="text1"/>
          <w:sz w:val="24"/>
          <w:szCs w:val="24"/>
        </w:rPr>
        <w:t xml:space="preserve"> </w:t>
      </w:r>
      <w:r w:rsidR="00977D3B" w:rsidRPr="00ED0973">
        <w:rPr>
          <w:color w:val="000000" w:themeColor="text1"/>
          <w:sz w:val="24"/>
          <w:szCs w:val="24"/>
        </w:rPr>
        <w:t>in</w:t>
      </w:r>
      <w:r w:rsidR="00302B9A" w:rsidRPr="00ED0973">
        <w:rPr>
          <w:color w:val="000000" w:themeColor="text1"/>
          <w:sz w:val="24"/>
          <w:szCs w:val="24"/>
        </w:rPr>
        <w:t>comp</w:t>
      </w:r>
      <w:r w:rsidR="005B71F7" w:rsidRPr="00ED0973">
        <w:rPr>
          <w:color w:val="000000" w:themeColor="text1"/>
          <w:sz w:val="24"/>
          <w:szCs w:val="24"/>
        </w:rPr>
        <w:t xml:space="preserve">atible with </w:t>
      </w:r>
      <w:r w:rsidR="00302B9A" w:rsidRPr="00ED0973">
        <w:rPr>
          <w:color w:val="000000" w:themeColor="text1"/>
          <w:sz w:val="24"/>
          <w:szCs w:val="24"/>
        </w:rPr>
        <w:t>the autonomy of EU law</w:t>
      </w:r>
      <w:r w:rsidR="00516533" w:rsidRPr="00ED0973">
        <w:rPr>
          <w:color w:val="000000" w:themeColor="text1"/>
          <w:sz w:val="24"/>
          <w:szCs w:val="24"/>
        </w:rPr>
        <w:t xml:space="preserve">, </w:t>
      </w:r>
      <w:r w:rsidR="005839E2">
        <w:rPr>
          <w:color w:val="000000" w:themeColor="text1"/>
          <w:sz w:val="24"/>
          <w:szCs w:val="24"/>
        </w:rPr>
        <w:t xml:space="preserve">with </w:t>
      </w:r>
      <w:r w:rsidR="005B71F7" w:rsidRPr="00ED0973">
        <w:rPr>
          <w:color w:val="000000" w:themeColor="text1"/>
          <w:sz w:val="24"/>
          <w:szCs w:val="24"/>
        </w:rPr>
        <w:t>the</w:t>
      </w:r>
      <w:r w:rsidR="00302B9A" w:rsidRPr="00ED0973">
        <w:rPr>
          <w:color w:val="000000" w:themeColor="text1"/>
          <w:sz w:val="24"/>
          <w:szCs w:val="24"/>
        </w:rPr>
        <w:t xml:space="preserve"> role </w:t>
      </w:r>
      <w:r w:rsidR="005B71F7" w:rsidRPr="00ED0973">
        <w:rPr>
          <w:color w:val="000000" w:themeColor="text1"/>
          <w:sz w:val="24"/>
          <w:szCs w:val="24"/>
        </w:rPr>
        <w:t xml:space="preserve">of the CJEU </w:t>
      </w:r>
      <w:r w:rsidR="00302B9A" w:rsidRPr="00ED0973">
        <w:rPr>
          <w:color w:val="000000" w:themeColor="text1"/>
          <w:sz w:val="24"/>
          <w:szCs w:val="24"/>
        </w:rPr>
        <w:t>in guarding the uniform interpretation and application of EU law</w:t>
      </w:r>
      <w:r w:rsidR="00C14A0C" w:rsidRPr="00ED0973">
        <w:rPr>
          <w:color w:val="000000" w:themeColor="text1"/>
          <w:sz w:val="24"/>
          <w:szCs w:val="24"/>
        </w:rPr>
        <w:t xml:space="preserve">, </w:t>
      </w:r>
      <w:r w:rsidR="00E9661C">
        <w:rPr>
          <w:color w:val="000000" w:themeColor="text1"/>
          <w:sz w:val="24"/>
          <w:szCs w:val="24"/>
        </w:rPr>
        <w:t xml:space="preserve">and with </w:t>
      </w:r>
      <w:r w:rsidR="00516533" w:rsidRPr="00ED0973">
        <w:rPr>
          <w:color w:val="000000" w:themeColor="text1"/>
          <w:sz w:val="24"/>
          <w:szCs w:val="24"/>
        </w:rPr>
        <w:t>the exclusive competence of this court t</w:t>
      </w:r>
      <w:r w:rsidR="00DF0240" w:rsidRPr="00ED0973">
        <w:rPr>
          <w:color w:val="000000" w:themeColor="text1"/>
          <w:sz w:val="24"/>
          <w:szCs w:val="24"/>
        </w:rPr>
        <w:t xml:space="preserve">o </w:t>
      </w:r>
      <w:r w:rsidR="00516533" w:rsidRPr="00ED0973">
        <w:rPr>
          <w:color w:val="000000" w:themeColor="text1"/>
          <w:sz w:val="24"/>
          <w:szCs w:val="24"/>
        </w:rPr>
        <w:t>decide on claims regarding non-contractual liability of the EU</w:t>
      </w:r>
      <w:r w:rsidR="00302B9A" w:rsidRPr="00ED0973">
        <w:rPr>
          <w:color w:val="000000" w:themeColor="text1"/>
          <w:sz w:val="24"/>
          <w:szCs w:val="24"/>
        </w:rPr>
        <w:t>.</w:t>
      </w:r>
      <w:r w:rsidR="00977D3B" w:rsidRPr="00ED0973">
        <w:rPr>
          <w:rStyle w:val="Voetnootmarkering"/>
          <w:color w:val="000000" w:themeColor="text1"/>
          <w:sz w:val="24"/>
          <w:szCs w:val="24"/>
        </w:rPr>
        <w:footnoteReference w:id="3"/>
      </w:r>
      <w:r w:rsidR="00B61F89" w:rsidRPr="00ED0973">
        <w:rPr>
          <w:color w:val="000000" w:themeColor="text1"/>
          <w:sz w:val="24"/>
          <w:szCs w:val="24"/>
        </w:rPr>
        <w:t xml:space="preserve"> </w:t>
      </w:r>
      <w:r w:rsidR="005839E2">
        <w:rPr>
          <w:color w:val="000000" w:themeColor="text1"/>
          <w:sz w:val="24"/>
          <w:szCs w:val="24"/>
        </w:rPr>
        <w:t xml:space="preserve">Furthermore, </w:t>
      </w:r>
      <w:r w:rsidR="005839E2">
        <w:rPr>
          <w:color w:val="000000" w:themeColor="text1"/>
          <w:sz w:val="24"/>
          <w:szCs w:val="24"/>
        </w:rPr>
        <w:lastRenderedPageBreak/>
        <w:t xml:space="preserve">there exist concerns on the independence of the judges and the way in which they would receive remuneration for their work. </w:t>
      </w:r>
      <w:r w:rsidR="00B45C7F">
        <w:rPr>
          <w:color w:val="000000" w:themeColor="text1"/>
          <w:sz w:val="24"/>
          <w:szCs w:val="24"/>
        </w:rPr>
        <w:t>Notably, it is unclear</w:t>
      </w:r>
      <w:r w:rsidR="007F0C43" w:rsidRPr="00ED0973">
        <w:rPr>
          <w:color w:val="000000" w:themeColor="text1"/>
          <w:sz w:val="24"/>
          <w:szCs w:val="24"/>
        </w:rPr>
        <w:t xml:space="preserve"> how the introduction of</w:t>
      </w:r>
      <w:r w:rsidR="009C702C" w:rsidRPr="00ED0973">
        <w:rPr>
          <w:color w:val="000000" w:themeColor="text1"/>
          <w:sz w:val="24"/>
          <w:szCs w:val="24"/>
        </w:rPr>
        <w:t xml:space="preserve"> </w:t>
      </w:r>
      <w:r w:rsidR="007F0C43" w:rsidRPr="00ED0973">
        <w:rPr>
          <w:color w:val="000000" w:themeColor="text1"/>
          <w:sz w:val="24"/>
          <w:szCs w:val="24"/>
        </w:rPr>
        <w:t xml:space="preserve">the obligation </w:t>
      </w:r>
      <w:r w:rsidR="009C702C" w:rsidRPr="00ED0973">
        <w:rPr>
          <w:color w:val="000000" w:themeColor="text1"/>
          <w:sz w:val="24"/>
          <w:szCs w:val="24"/>
        </w:rPr>
        <w:t xml:space="preserve">to compensate foreign investors </w:t>
      </w:r>
      <w:r w:rsidR="00C540A3" w:rsidRPr="00ED0973">
        <w:rPr>
          <w:color w:val="000000" w:themeColor="text1"/>
          <w:sz w:val="24"/>
          <w:szCs w:val="24"/>
        </w:rPr>
        <w:t xml:space="preserve">in cases where </w:t>
      </w:r>
      <w:r w:rsidR="007F0C43" w:rsidRPr="00ED0973">
        <w:rPr>
          <w:color w:val="000000" w:themeColor="text1"/>
          <w:sz w:val="24"/>
          <w:szCs w:val="24"/>
        </w:rPr>
        <w:t>lawful and proportionate public</w:t>
      </w:r>
      <w:r w:rsidR="00F06796" w:rsidRPr="00ED0973">
        <w:rPr>
          <w:color w:val="000000" w:themeColor="text1"/>
          <w:sz w:val="24"/>
          <w:szCs w:val="24"/>
        </w:rPr>
        <w:t xml:space="preserve"> interest measures are adopted</w:t>
      </w:r>
      <w:r w:rsidR="0065089B" w:rsidRPr="00ED0973">
        <w:rPr>
          <w:color w:val="000000" w:themeColor="text1"/>
          <w:sz w:val="24"/>
          <w:szCs w:val="24"/>
        </w:rPr>
        <w:t xml:space="preserve"> </w:t>
      </w:r>
      <w:r w:rsidR="001B789C" w:rsidRPr="00ED0973">
        <w:rPr>
          <w:color w:val="000000" w:themeColor="text1"/>
          <w:sz w:val="24"/>
          <w:szCs w:val="24"/>
        </w:rPr>
        <w:t>can</w:t>
      </w:r>
      <w:r w:rsidR="0065089B" w:rsidRPr="00ED0973">
        <w:rPr>
          <w:color w:val="000000" w:themeColor="text1"/>
          <w:sz w:val="24"/>
          <w:szCs w:val="24"/>
        </w:rPr>
        <w:t xml:space="preserve"> be reconciled </w:t>
      </w:r>
      <w:r w:rsidR="007F0C43" w:rsidRPr="00ED0973">
        <w:rPr>
          <w:color w:val="000000" w:themeColor="text1"/>
          <w:sz w:val="24"/>
          <w:szCs w:val="24"/>
        </w:rPr>
        <w:t xml:space="preserve">with the </w:t>
      </w:r>
      <w:r w:rsidR="00494325" w:rsidRPr="00ED0973">
        <w:rPr>
          <w:color w:val="000000" w:themeColor="text1"/>
          <w:sz w:val="24"/>
          <w:szCs w:val="24"/>
        </w:rPr>
        <w:t>EU’s</w:t>
      </w:r>
      <w:r w:rsidR="007F0C43" w:rsidRPr="00ED0973">
        <w:rPr>
          <w:color w:val="000000" w:themeColor="text1"/>
          <w:sz w:val="24"/>
          <w:szCs w:val="24"/>
        </w:rPr>
        <w:t xml:space="preserve"> obligations</w:t>
      </w:r>
      <w:r w:rsidR="00C540A3" w:rsidRPr="00ED0973">
        <w:rPr>
          <w:color w:val="000000" w:themeColor="text1"/>
          <w:sz w:val="24"/>
          <w:szCs w:val="24"/>
        </w:rPr>
        <w:t xml:space="preserve"> to </w:t>
      </w:r>
      <w:r w:rsidR="007F0C43" w:rsidRPr="00ED0973">
        <w:rPr>
          <w:color w:val="000000" w:themeColor="text1"/>
          <w:sz w:val="24"/>
          <w:szCs w:val="24"/>
        </w:rPr>
        <w:t xml:space="preserve">protect </w:t>
      </w:r>
      <w:r w:rsidR="00F82A1C">
        <w:rPr>
          <w:color w:val="000000" w:themeColor="text1"/>
          <w:sz w:val="24"/>
          <w:szCs w:val="24"/>
        </w:rPr>
        <w:t xml:space="preserve">human health and </w:t>
      </w:r>
      <w:r w:rsidR="007F0C43" w:rsidRPr="00ED0973">
        <w:rPr>
          <w:color w:val="000000" w:themeColor="text1"/>
          <w:sz w:val="24"/>
          <w:szCs w:val="24"/>
        </w:rPr>
        <w:t>the environment with a view to promote sustainable development when defining EU trade policies</w:t>
      </w:r>
      <w:r w:rsidR="001552AC" w:rsidRPr="00ED0973">
        <w:rPr>
          <w:color w:val="000000" w:themeColor="text1"/>
          <w:sz w:val="24"/>
          <w:szCs w:val="24"/>
        </w:rPr>
        <w:t xml:space="preserve">, and </w:t>
      </w:r>
      <w:r w:rsidR="00B75584">
        <w:rPr>
          <w:color w:val="000000" w:themeColor="text1"/>
          <w:sz w:val="24"/>
          <w:szCs w:val="24"/>
        </w:rPr>
        <w:t xml:space="preserve">more specifically </w:t>
      </w:r>
      <w:r w:rsidR="001552AC" w:rsidRPr="00ED0973">
        <w:rPr>
          <w:color w:val="000000" w:themeColor="text1"/>
          <w:sz w:val="24"/>
          <w:szCs w:val="24"/>
        </w:rPr>
        <w:t>with the recent Paris climate agreement</w:t>
      </w:r>
      <w:r w:rsidR="00166E66">
        <w:rPr>
          <w:color w:val="000000" w:themeColor="text1"/>
          <w:sz w:val="24"/>
          <w:szCs w:val="24"/>
        </w:rPr>
        <w:t xml:space="preserve"> to which the EU, Canada, the U.S.A. and numerous other countries signed up</w:t>
      </w:r>
      <w:r w:rsidR="007F0C43" w:rsidRPr="00ED0973">
        <w:rPr>
          <w:color w:val="000000" w:themeColor="text1"/>
          <w:sz w:val="24"/>
          <w:szCs w:val="24"/>
        </w:rPr>
        <w:t>.</w:t>
      </w:r>
      <w:r w:rsidR="006E1756">
        <w:rPr>
          <w:color w:val="000000" w:themeColor="text1"/>
          <w:sz w:val="24"/>
          <w:szCs w:val="24"/>
        </w:rPr>
        <w:t xml:space="preserve"> Finally, it can be noted that j</w:t>
      </w:r>
      <w:r w:rsidR="006E1756" w:rsidRPr="006E1756">
        <w:rPr>
          <w:color w:val="000000" w:themeColor="text1"/>
          <w:sz w:val="24"/>
          <w:szCs w:val="24"/>
        </w:rPr>
        <w:t xml:space="preserve">ust before </w:t>
      </w:r>
      <w:r w:rsidR="00F948D1">
        <w:rPr>
          <w:color w:val="000000" w:themeColor="text1"/>
          <w:sz w:val="24"/>
          <w:szCs w:val="24"/>
        </w:rPr>
        <w:t>in July 2014</w:t>
      </w:r>
      <w:r w:rsidR="006E1756" w:rsidRPr="006E1756">
        <w:rPr>
          <w:color w:val="000000" w:themeColor="text1"/>
          <w:sz w:val="24"/>
          <w:szCs w:val="24"/>
        </w:rPr>
        <w:t>, Jean-Claude Juncker</w:t>
      </w:r>
      <w:r w:rsidR="009D4856">
        <w:rPr>
          <w:color w:val="000000" w:themeColor="text1"/>
          <w:sz w:val="24"/>
          <w:szCs w:val="24"/>
        </w:rPr>
        <w:t xml:space="preserve"> </w:t>
      </w:r>
      <w:r w:rsidR="005A2D6C">
        <w:rPr>
          <w:color w:val="000000" w:themeColor="text1"/>
          <w:sz w:val="24"/>
          <w:szCs w:val="24"/>
        </w:rPr>
        <w:t>said about</w:t>
      </w:r>
      <w:r w:rsidR="00F948D1">
        <w:rPr>
          <w:color w:val="000000" w:themeColor="text1"/>
          <w:sz w:val="24"/>
          <w:szCs w:val="24"/>
        </w:rPr>
        <w:t xml:space="preserve"> ISDS: ‘</w:t>
      </w:r>
      <w:r w:rsidR="005A2D6C">
        <w:rPr>
          <w:color w:val="000000" w:themeColor="text1"/>
          <w:sz w:val="24"/>
          <w:szCs w:val="24"/>
        </w:rPr>
        <w:t>Nor will I</w:t>
      </w:r>
      <w:r w:rsidR="00F948D1">
        <w:rPr>
          <w:color w:val="000000" w:themeColor="text1"/>
          <w:sz w:val="24"/>
          <w:szCs w:val="24"/>
        </w:rPr>
        <w:t xml:space="preserve"> </w:t>
      </w:r>
      <w:r w:rsidR="00F948D1" w:rsidRPr="006E1756">
        <w:rPr>
          <w:color w:val="000000" w:themeColor="text1"/>
          <w:sz w:val="24"/>
          <w:szCs w:val="24"/>
        </w:rPr>
        <w:t>accept that the jurisdiction of courts in the EU Member States is limited by special regimes for investor disputes. The rule of law and the principle of equality before the law m</w:t>
      </w:r>
      <w:r w:rsidR="00F948D1">
        <w:rPr>
          <w:color w:val="000000" w:themeColor="text1"/>
          <w:sz w:val="24"/>
          <w:szCs w:val="24"/>
        </w:rPr>
        <w:t>ust also apply in this context.’</w:t>
      </w:r>
      <w:r w:rsidR="00F948D1">
        <w:rPr>
          <w:rStyle w:val="Voetnootmarkering"/>
          <w:color w:val="000000" w:themeColor="text1"/>
          <w:sz w:val="24"/>
          <w:szCs w:val="24"/>
        </w:rPr>
        <w:footnoteReference w:id="4"/>
      </w:r>
      <w:r w:rsidR="00F948D1">
        <w:rPr>
          <w:color w:val="000000" w:themeColor="text1"/>
          <w:sz w:val="24"/>
          <w:szCs w:val="24"/>
        </w:rPr>
        <w:t xml:space="preserve"> </w:t>
      </w:r>
      <w:r w:rsidR="00220562">
        <w:rPr>
          <w:color w:val="000000" w:themeColor="text1"/>
          <w:sz w:val="24"/>
          <w:szCs w:val="24"/>
        </w:rPr>
        <w:t>On the surface, that sounds like he is opposing ISD</w:t>
      </w:r>
      <w:r w:rsidR="00791DBE">
        <w:rPr>
          <w:color w:val="000000" w:themeColor="text1"/>
          <w:sz w:val="24"/>
          <w:szCs w:val="24"/>
        </w:rPr>
        <w:t>S</w:t>
      </w:r>
      <w:r w:rsidR="00220562">
        <w:rPr>
          <w:color w:val="000000" w:themeColor="text1"/>
          <w:sz w:val="24"/>
          <w:szCs w:val="24"/>
        </w:rPr>
        <w:t>, but in reality he was keeping all options open as ISDS regimes usually do not prevent investors from bringing their claims to EU Member State courts.</w:t>
      </w:r>
    </w:p>
    <w:p w14:paraId="48D8C752" w14:textId="6C1A95DB" w:rsidR="004F3249" w:rsidRDefault="00655A9E" w:rsidP="000F3F1A">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The original 2009 </w:t>
      </w:r>
      <w:r w:rsidR="00220562">
        <w:rPr>
          <w:color w:val="000000" w:themeColor="text1"/>
          <w:sz w:val="24"/>
          <w:szCs w:val="24"/>
        </w:rPr>
        <w:t>negotiation directives of the Council</w:t>
      </w:r>
      <w:r>
        <w:rPr>
          <w:color w:val="000000" w:themeColor="text1"/>
          <w:sz w:val="24"/>
          <w:szCs w:val="24"/>
        </w:rPr>
        <w:t xml:space="preserve"> for CETA did not mention ISDS. In June 2011, an advice on CETA </w:t>
      </w:r>
      <w:r w:rsidR="00A51A8D">
        <w:rPr>
          <w:color w:val="000000" w:themeColor="text1"/>
          <w:sz w:val="24"/>
          <w:szCs w:val="24"/>
        </w:rPr>
        <w:t>requested</w:t>
      </w:r>
      <w:r>
        <w:rPr>
          <w:color w:val="000000" w:themeColor="text1"/>
          <w:sz w:val="24"/>
          <w:szCs w:val="24"/>
        </w:rPr>
        <w:t xml:space="preserve"> by the Commission pointed out that including ISDS in CETA would not create a net overall benefit.</w:t>
      </w:r>
      <w:r w:rsidR="004F3249">
        <w:rPr>
          <w:rStyle w:val="Voetnootmarkering"/>
          <w:color w:val="000000" w:themeColor="text1"/>
          <w:sz w:val="24"/>
          <w:szCs w:val="24"/>
        </w:rPr>
        <w:footnoteReference w:id="5"/>
      </w:r>
      <w:r>
        <w:rPr>
          <w:color w:val="000000" w:themeColor="text1"/>
          <w:sz w:val="24"/>
          <w:szCs w:val="24"/>
        </w:rPr>
        <w:t xml:space="preserve"> Still, in July 2011 the Council agreed to amended </w:t>
      </w:r>
      <w:r w:rsidR="00AB2045">
        <w:rPr>
          <w:color w:val="000000" w:themeColor="text1"/>
          <w:sz w:val="24"/>
          <w:szCs w:val="24"/>
        </w:rPr>
        <w:t xml:space="preserve">negotiation </w:t>
      </w:r>
      <w:r>
        <w:rPr>
          <w:color w:val="000000" w:themeColor="text1"/>
          <w:sz w:val="24"/>
          <w:szCs w:val="24"/>
        </w:rPr>
        <w:t xml:space="preserve">directives </w:t>
      </w:r>
      <w:r w:rsidR="004F3249">
        <w:rPr>
          <w:color w:val="000000" w:themeColor="text1"/>
          <w:sz w:val="24"/>
          <w:szCs w:val="24"/>
        </w:rPr>
        <w:t xml:space="preserve">that aimed </w:t>
      </w:r>
      <w:r w:rsidR="004B2BBA">
        <w:rPr>
          <w:color w:val="000000" w:themeColor="text1"/>
          <w:sz w:val="24"/>
          <w:szCs w:val="24"/>
        </w:rPr>
        <w:t xml:space="preserve">at an agreement </w:t>
      </w:r>
      <w:r w:rsidR="004F3249">
        <w:rPr>
          <w:color w:val="000000" w:themeColor="text1"/>
          <w:sz w:val="24"/>
          <w:szCs w:val="24"/>
        </w:rPr>
        <w:t>providing</w:t>
      </w:r>
      <w:r w:rsidRPr="00655A9E">
        <w:rPr>
          <w:color w:val="000000" w:themeColor="text1"/>
          <w:sz w:val="24"/>
          <w:szCs w:val="24"/>
        </w:rPr>
        <w:t xml:space="preserve"> for an </w:t>
      </w:r>
      <w:r w:rsidR="004F3249">
        <w:rPr>
          <w:color w:val="000000" w:themeColor="text1"/>
          <w:sz w:val="24"/>
          <w:szCs w:val="24"/>
        </w:rPr>
        <w:t>‘</w:t>
      </w:r>
      <w:r w:rsidRPr="00655A9E">
        <w:rPr>
          <w:color w:val="000000" w:themeColor="text1"/>
          <w:sz w:val="24"/>
          <w:szCs w:val="24"/>
        </w:rPr>
        <w:t>effective and state-of-the-art investor-to-state dispute settlement mechanism</w:t>
      </w:r>
      <w:r w:rsidR="004F3249">
        <w:rPr>
          <w:color w:val="000000" w:themeColor="text1"/>
          <w:sz w:val="24"/>
          <w:szCs w:val="24"/>
        </w:rPr>
        <w:t>’</w:t>
      </w:r>
      <w:r>
        <w:rPr>
          <w:color w:val="000000" w:themeColor="text1"/>
          <w:sz w:val="24"/>
          <w:szCs w:val="24"/>
        </w:rPr>
        <w:t>.</w:t>
      </w:r>
      <w:r w:rsidR="00220562">
        <w:rPr>
          <w:rStyle w:val="Voetnootmarkering"/>
          <w:color w:val="000000" w:themeColor="text1"/>
          <w:sz w:val="24"/>
          <w:szCs w:val="24"/>
        </w:rPr>
        <w:footnoteReference w:id="6"/>
      </w:r>
      <w:r w:rsidR="004F3249">
        <w:rPr>
          <w:color w:val="000000" w:themeColor="text1"/>
          <w:sz w:val="24"/>
          <w:szCs w:val="24"/>
        </w:rPr>
        <w:t xml:space="preserve"> I</w:t>
      </w:r>
      <w:r w:rsidR="00A27EEB">
        <w:rPr>
          <w:color w:val="000000" w:themeColor="text1"/>
          <w:sz w:val="24"/>
          <w:szCs w:val="24"/>
        </w:rPr>
        <w:t xml:space="preserve">n spite of the </w:t>
      </w:r>
      <w:r w:rsidR="0042509B">
        <w:rPr>
          <w:color w:val="000000" w:themeColor="text1"/>
          <w:sz w:val="24"/>
          <w:szCs w:val="24"/>
        </w:rPr>
        <w:t xml:space="preserve">strong </w:t>
      </w:r>
      <w:r w:rsidR="00A9064D">
        <w:rPr>
          <w:color w:val="000000" w:themeColor="text1"/>
          <w:sz w:val="24"/>
          <w:szCs w:val="24"/>
        </w:rPr>
        <w:t xml:space="preserve">and manifold </w:t>
      </w:r>
      <w:r w:rsidR="00A27EEB">
        <w:rPr>
          <w:color w:val="000000" w:themeColor="text1"/>
          <w:sz w:val="24"/>
          <w:szCs w:val="24"/>
        </w:rPr>
        <w:t xml:space="preserve">objections raised </w:t>
      </w:r>
      <w:r w:rsidR="004F3249">
        <w:rPr>
          <w:color w:val="000000" w:themeColor="text1"/>
          <w:sz w:val="24"/>
          <w:szCs w:val="24"/>
        </w:rPr>
        <w:t>against</w:t>
      </w:r>
      <w:r w:rsidR="00B45C7F">
        <w:rPr>
          <w:color w:val="000000" w:themeColor="text1"/>
          <w:sz w:val="24"/>
          <w:szCs w:val="24"/>
        </w:rPr>
        <w:t xml:space="preserve"> the inclusion of this method of dispute settlement</w:t>
      </w:r>
      <w:r w:rsidR="004F3249">
        <w:rPr>
          <w:color w:val="000000" w:themeColor="text1"/>
          <w:sz w:val="24"/>
          <w:szCs w:val="24"/>
        </w:rPr>
        <w:t xml:space="preserve">, CETA with </w:t>
      </w:r>
      <w:r w:rsidR="002C05ED">
        <w:rPr>
          <w:color w:val="000000" w:themeColor="text1"/>
          <w:sz w:val="24"/>
          <w:szCs w:val="24"/>
        </w:rPr>
        <w:t xml:space="preserve">‘old style’ </w:t>
      </w:r>
      <w:r w:rsidR="004F3249">
        <w:rPr>
          <w:color w:val="000000" w:themeColor="text1"/>
          <w:sz w:val="24"/>
          <w:szCs w:val="24"/>
        </w:rPr>
        <w:t>ISDS was negotiated and made public</w:t>
      </w:r>
      <w:r w:rsidR="00A27EEB">
        <w:rPr>
          <w:color w:val="000000" w:themeColor="text1"/>
          <w:sz w:val="24"/>
          <w:szCs w:val="24"/>
        </w:rPr>
        <w:t xml:space="preserve"> in 2014. During the ‘legal scrubbing’ phase</w:t>
      </w:r>
      <w:r w:rsidR="00C07CA1">
        <w:rPr>
          <w:color w:val="000000" w:themeColor="text1"/>
          <w:sz w:val="24"/>
          <w:szCs w:val="24"/>
        </w:rPr>
        <w:t xml:space="preserve"> that normally speaking </w:t>
      </w:r>
      <w:r w:rsidR="00035B1F">
        <w:rPr>
          <w:color w:val="000000" w:themeColor="text1"/>
          <w:sz w:val="24"/>
          <w:szCs w:val="24"/>
        </w:rPr>
        <w:t>only is aimed at removing small mistakes</w:t>
      </w:r>
      <w:r w:rsidR="00A27EEB">
        <w:rPr>
          <w:color w:val="000000" w:themeColor="text1"/>
          <w:sz w:val="24"/>
          <w:szCs w:val="24"/>
        </w:rPr>
        <w:t xml:space="preserve">, and hidden from the outside world, the EU and Canada re-opened negotiations </w:t>
      </w:r>
      <w:r w:rsidR="00E44D38">
        <w:rPr>
          <w:color w:val="000000" w:themeColor="text1"/>
          <w:sz w:val="24"/>
          <w:szCs w:val="24"/>
        </w:rPr>
        <w:t xml:space="preserve">on the dispute-settlement part of CETA </w:t>
      </w:r>
      <w:r w:rsidR="00A27EEB">
        <w:rPr>
          <w:color w:val="000000" w:themeColor="text1"/>
          <w:sz w:val="24"/>
          <w:szCs w:val="24"/>
        </w:rPr>
        <w:t xml:space="preserve">and agreed on replacing the ISDS system by an ICS. This version of </w:t>
      </w:r>
      <w:r w:rsidR="00D03B31">
        <w:rPr>
          <w:color w:val="000000" w:themeColor="text1"/>
          <w:sz w:val="24"/>
          <w:szCs w:val="24"/>
        </w:rPr>
        <w:t xml:space="preserve">the </w:t>
      </w:r>
      <w:r w:rsidR="00A27EEB">
        <w:rPr>
          <w:color w:val="000000" w:themeColor="text1"/>
          <w:sz w:val="24"/>
          <w:szCs w:val="24"/>
        </w:rPr>
        <w:t>CETA was presented on 29 February 2016.</w:t>
      </w:r>
      <w:r w:rsidR="00CA6ADB">
        <w:rPr>
          <w:rStyle w:val="Voetnootmarkering"/>
          <w:color w:val="000000" w:themeColor="text1"/>
          <w:sz w:val="24"/>
          <w:szCs w:val="24"/>
        </w:rPr>
        <w:footnoteReference w:id="7"/>
      </w:r>
      <w:r w:rsidR="00A27EEB">
        <w:rPr>
          <w:color w:val="000000" w:themeColor="text1"/>
          <w:sz w:val="24"/>
          <w:szCs w:val="24"/>
        </w:rPr>
        <w:t xml:space="preserve"> </w:t>
      </w:r>
    </w:p>
    <w:p w14:paraId="617F5B72" w14:textId="325BCFE5" w:rsidR="00CA6ADB" w:rsidRDefault="00CA6ADB" w:rsidP="00ED03D4">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On 28 June 2016, </w:t>
      </w:r>
      <w:r w:rsidR="00D03B31">
        <w:rPr>
          <w:color w:val="000000" w:themeColor="text1"/>
          <w:sz w:val="24"/>
          <w:szCs w:val="24"/>
        </w:rPr>
        <w:t xml:space="preserve">EU Commission President </w:t>
      </w:r>
      <w:r>
        <w:rPr>
          <w:color w:val="000000" w:themeColor="text1"/>
          <w:sz w:val="24"/>
          <w:szCs w:val="24"/>
        </w:rPr>
        <w:t xml:space="preserve">Juncker explained that </w:t>
      </w:r>
      <w:r w:rsidR="00D03B31">
        <w:rPr>
          <w:color w:val="000000" w:themeColor="text1"/>
          <w:sz w:val="24"/>
          <w:szCs w:val="24"/>
        </w:rPr>
        <w:t xml:space="preserve">the </w:t>
      </w:r>
      <w:r>
        <w:rPr>
          <w:color w:val="000000" w:themeColor="text1"/>
          <w:sz w:val="24"/>
          <w:szCs w:val="24"/>
        </w:rPr>
        <w:t xml:space="preserve">CETA would be </w:t>
      </w:r>
      <w:r w:rsidRPr="00CA6ADB">
        <w:rPr>
          <w:color w:val="000000" w:themeColor="text1"/>
          <w:sz w:val="24"/>
          <w:szCs w:val="24"/>
        </w:rPr>
        <w:t>submitted to the approval of the Council as a</w:t>
      </w:r>
      <w:r>
        <w:rPr>
          <w:color w:val="000000" w:themeColor="text1"/>
          <w:sz w:val="24"/>
          <w:szCs w:val="24"/>
        </w:rPr>
        <w:t>n</w:t>
      </w:r>
      <w:r w:rsidRPr="00CA6ADB">
        <w:rPr>
          <w:color w:val="000000" w:themeColor="text1"/>
          <w:sz w:val="24"/>
          <w:szCs w:val="24"/>
        </w:rPr>
        <w:t xml:space="preserve"> </w:t>
      </w:r>
      <w:r>
        <w:rPr>
          <w:color w:val="000000" w:themeColor="text1"/>
          <w:sz w:val="24"/>
          <w:szCs w:val="24"/>
        </w:rPr>
        <w:t>EU</w:t>
      </w:r>
      <w:r w:rsidRPr="00CA6ADB">
        <w:rPr>
          <w:color w:val="000000" w:themeColor="text1"/>
          <w:sz w:val="24"/>
          <w:szCs w:val="24"/>
        </w:rPr>
        <w:t xml:space="preserve"> only agreement, falling </w:t>
      </w:r>
      <w:r w:rsidR="0072601C">
        <w:rPr>
          <w:color w:val="000000" w:themeColor="text1"/>
          <w:sz w:val="24"/>
          <w:szCs w:val="24"/>
        </w:rPr>
        <w:t xml:space="preserve">completely </w:t>
      </w:r>
      <w:r w:rsidRPr="00CA6ADB">
        <w:rPr>
          <w:color w:val="000000" w:themeColor="text1"/>
          <w:sz w:val="24"/>
          <w:szCs w:val="24"/>
        </w:rPr>
        <w:t>under</w:t>
      </w:r>
      <w:r w:rsidR="00B45C7F">
        <w:rPr>
          <w:color w:val="000000" w:themeColor="text1"/>
          <w:sz w:val="24"/>
          <w:szCs w:val="24"/>
        </w:rPr>
        <w:t xml:space="preserve"> the EU’s exclusive competence. That announcement did not contribute to his popularity</w:t>
      </w:r>
      <w:r w:rsidR="0072601C">
        <w:rPr>
          <w:color w:val="000000" w:themeColor="text1"/>
          <w:sz w:val="24"/>
          <w:szCs w:val="24"/>
        </w:rPr>
        <w:t xml:space="preserve">, </w:t>
      </w:r>
      <w:r w:rsidR="0014494E">
        <w:rPr>
          <w:color w:val="000000" w:themeColor="text1"/>
          <w:sz w:val="24"/>
          <w:szCs w:val="24"/>
        </w:rPr>
        <w:t>notably because</w:t>
      </w:r>
      <w:r w:rsidR="003945C9">
        <w:rPr>
          <w:color w:val="000000" w:themeColor="text1"/>
          <w:sz w:val="24"/>
          <w:szCs w:val="24"/>
        </w:rPr>
        <w:t xml:space="preserve"> certain aspects</w:t>
      </w:r>
      <w:r w:rsidR="003945C9" w:rsidRPr="00AF370D">
        <w:rPr>
          <w:color w:val="000000" w:themeColor="text1"/>
          <w:sz w:val="24"/>
          <w:szCs w:val="24"/>
        </w:rPr>
        <w:t xml:space="preserve"> of the CETA</w:t>
      </w:r>
      <w:r w:rsidR="0014494E">
        <w:rPr>
          <w:color w:val="000000" w:themeColor="text1"/>
          <w:sz w:val="24"/>
          <w:szCs w:val="24"/>
        </w:rPr>
        <w:t xml:space="preserve"> </w:t>
      </w:r>
      <w:r w:rsidR="001D5B82">
        <w:rPr>
          <w:color w:val="000000" w:themeColor="text1"/>
          <w:sz w:val="24"/>
          <w:szCs w:val="24"/>
        </w:rPr>
        <w:t>do</w:t>
      </w:r>
      <w:r w:rsidR="0014494E">
        <w:rPr>
          <w:color w:val="000000" w:themeColor="text1"/>
          <w:sz w:val="24"/>
          <w:szCs w:val="24"/>
        </w:rPr>
        <w:t xml:space="preserve"> not fall under the exclusive competence of the EU</w:t>
      </w:r>
      <w:r w:rsidR="001D5B82">
        <w:rPr>
          <w:color w:val="000000" w:themeColor="text1"/>
          <w:sz w:val="24"/>
          <w:szCs w:val="24"/>
        </w:rPr>
        <w:t>.</w:t>
      </w:r>
      <w:r w:rsidR="00352AF5">
        <w:rPr>
          <w:color w:val="000000" w:themeColor="text1"/>
          <w:sz w:val="24"/>
          <w:szCs w:val="24"/>
        </w:rPr>
        <w:t xml:space="preserve"> </w:t>
      </w:r>
      <w:r w:rsidR="00F60608">
        <w:rPr>
          <w:color w:val="000000" w:themeColor="text1"/>
          <w:sz w:val="24"/>
          <w:szCs w:val="24"/>
        </w:rPr>
        <w:t>In July 2016, the Commission proposed to apply CETA provisionally in its entirety, so including the ICS part</w:t>
      </w:r>
      <w:r>
        <w:rPr>
          <w:color w:val="000000" w:themeColor="text1"/>
          <w:sz w:val="24"/>
          <w:szCs w:val="24"/>
        </w:rPr>
        <w:t xml:space="preserve">, not as an EU only agreement but as a mixed agreement. This meant that besides the Council, all the EU Member States </w:t>
      </w:r>
      <w:r w:rsidR="00090E77">
        <w:rPr>
          <w:color w:val="000000" w:themeColor="text1"/>
          <w:sz w:val="24"/>
          <w:szCs w:val="24"/>
        </w:rPr>
        <w:t>need</w:t>
      </w:r>
      <w:r w:rsidR="00B45C7F">
        <w:rPr>
          <w:color w:val="000000" w:themeColor="text1"/>
          <w:sz w:val="24"/>
          <w:szCs w:val="24"/>
        </w:rPr>
        <w:t>ed</w:t>
      </w:r>
      <w:r>
        <w:rPr>
          <w:color w:val="000000" w:themeColor="text1"/>
          <w:sz w:val="24"/>
          <w:szCs w:val="24"/>
        </w:rPr>
        <w:t xml:space="preserve"> to agree </w:t>
      </w:r>
      <w:r>
        <w:rPr>
          <w:color w:val="000000" w:themeColor="text1"/>
          <w:sz w:val="24"/>
          <w:szCs w:val="24"/>
        </w:rPr>
        <w:lastRenderedPageBreak/>
        <w:t>with CETA</w:t>
      </w:r>
      <w:r w:rsidR="00F60608">
        <w:rPr>
          <w:color w:val="000000" w:themeColor="text1"/>
          <w:sz w:val="24"/>
          <w:szCs w:val="24"/>
        </w:rPr>
        <w:t>.</w:t>
      </w:r>
      <w:r w:rsidR="00F60608">
        <w:rPr>
          <w:rStyle w:val="Voetnootmarkering"/>
          <w:color w:val="000000" w:themeColor="text1"/>
          <w:sz w:val="24"/>
          <w:szCs w:val="24"/>
        </w:rPr>
        <w:footnoteReference w:id="8"/>
      </w:r>
      <w:r w:rsidR="00F60608">
        <w:rPr>
          <w:color w:val="000000" w:themeColor="text1"/>
          <w:sz w:val="24"/>
          <w:szCs w:val="24"/>
        </w:rPr>
        <w:t xml:space="preserve"> </w:t>
      </w:r>
      <w:r w:rsidR="001F2600">
        <w:rPr>
          <w:color w:val="000000" w:themeColor="text1"/>
          <w:sz w:val="24"/>
          <w:szCs w:val="24"/>
        </w:rPr>
        <w:t xml:space="preserve">At the end of September 2016, </w:t>
      </w:r>
      <w:r w:rsidR="00F337E0" w:rsidRPr="00ED0973">
        <w:rPr>
          <w:color w:val="000000" w:themeColor="text1"/>
          <w:sz w:val="24"/>
          <w:szCs w:val="24"/>
        </w:rPr>
        <w:t>EU Trade Commission</w:t>
      </w:r>
      <w:r w:rsidR="000C6629">
        <w:rPr>
          <w:color w:val="000000" w:themeColor="text1"/>
          <w:sz w:val="24"/>
          <w:szCs w:val="24"/>
        </w:rPr>
        <w:t>er</w:t>
      </w:r>
      <w:r w:rsidR="00F337E0" w:rsidRPr="00ED0973">
        <w:rPr>
          <w:color w:val="000000" w:themeColor="text1"/>
          <w:sz w:val="24"/>
          <w:szCs w:val="24"/>
        </w:rPr>
        <w:t xml:space="preserve"> Malmström </w:t>
      </w:r>
      <w:r w:rsidR="00841C20">
        <w:rPr>
          <w:color w:val="000000" w:themeColor="text1"/>
          <w:sz w:val="24"/>
          <w:szCs w:val="24"/>
        </w:rPr>
        <w:t xml:space="preserve">made known </w:t>
      </w:r>
      <w:r w:rsidR="00D45E77" w:rsidRPr="00ED0973">
        <w:rPr>
          <w:color w:val="000000" w:themeColor="text1"/>
          <w:sz w:val="24"/>
          <w:szCs w:val="24"/>
        </w:rPr>
        <w:t xml:space="preserve">that </w:t>
      </w:r>
      <w:r w:rsidR="000F2575" w:rsidRPr="00ED0973">
        <w:rPr>
          <w:color w:val="000000" w:themeColor="text1"/>
          <w:sz w:val="24"/>
          <w:szCs w:val="24"/>
        </w:rPr>
        <w:t>the investment chapter of CETA, in which t</w:t>
      </w:r>
      <w:r>
        <w:rPr>
          <w:color w:val="000000" w:themeColor="text1"/>
          <w:sz w:val="24"/>
          <w:szCs w:val="24"/>
        </w:rPr>
        <w:t>he ICS mechanism is laid down, wa</w:t>
      </w:r>
      <w:r w:rsidR="000F2575" w:rsidRPr="00ED0973">
        <w:rPr>
          <w:color w:val="000000" w:themeColor="text1"/>
          <w:sz w:val="24"/>
          <w:szCs w:val="24"/>
        </w:rPr>
        <w:t>s likely not to be</w:t>
      </w:r>
      <w:r w:rsidR="00926F99" w:rsidRPr="00ED0973">
        <w:rPr>
          <w:color w:val="000000" w:themeColor="text1"/>
          <w:sz w:val="24"/>
          <w:szCs w:val="24"/>
        </w:rPr>
        <w:t xml:space="preserve"> </w:t>
      </w:r>
      <w:r w:rsidR="00F337E0" w:rsidRPr="00ED0973">
        <w:rPr>
          <w:color w:val="000000" w:themeColor="text1"/>
          <w:sz w:val="24"/>
          <w:szCs w:val="24"/>
        </w:rPr>
        <w:t>applied provisionally</w:t>
      </w:r>
      <w:r w:rsidR="00926F99" w:rsidRPr="00ED0973">
        <w:rPr>
          <w:color w:val="000000" w:themeColor="text1"/>
          <w:sz w:val="24"/>
          <w:szCs w:val="24"/>
        </w:rPr>
        <w:t>.</w:t>
      </w:r>
      <w:r w:rsidR="00926F99" w:rsidRPr="00ED0973">
        <w:rPr>
          <w:rStyle w:val="Voetnootmarkering"/>
          <w:color w:val="000000" w:themeColor="text1"/>
          <w:sz w:val="24"/>
          <w:szCs w:val="24"/>
        </w:rPr>
        <w:footnoteReference w:id="9"/>
      </w:r>
      <w:r w:rsidR="00FE16F1" w:rsidRPr="00ED0973">
        <w:rPr>
          <w:color w:val="000000" w:themeColor="text1"/>
          <w:sz w:val="24"/>
          <w:szCs w:val="24"/>
        </w:rPr>
        <w:t xml:space="preserve"> </w:t>
      </w:r>
      <w:r w:rsidR="00DB61FD">
        <w:rPr>
          <w:color w:val="000000" w:themeColor="text1"/>
          <w:sz w:val="24"/>
          <w:szCs w:val="24"/>
        </w:rPr>
        <w:t>In other words, the Commission gave in to p</w:t>
      </w:r>
      <w:r w:rsidR="004B7078">
        <w:rPr>
          <w:color w:val="000000" w:themeColor="text1"/>
          <w:sz w:val="24"/>
          <w:szCs w:val="24"/>
        </w:rPr>
        <w:t>olitical pressure – maybe</w:t>
      </w:r>
      <w:r w:rsidR="00E418B1">
        <w:rPr>
          <w:color w:val="000000" w:themeColor="text1"/>
          <w:sz w:val="24"/>
          <w:szCs w:val="24"/>
        </w:rPr>
        <w:t xml:space="preserve"> also because it expected </w:t>
      </w:r>
      <w:r w:rsidR="004B7078">
        <w:rPr>
          <w:color w:val="000000" w:themeColor="text1"/>
          <w:sz w:val="24"/>
          <w:szCs w:val="24"/>
        </w:rPr>
        <w:t xml:space="preserve">the outcome of </w:t>
      </w:r>
      <w:r w:rsidR="00ED00BC">
        <w:rPr>
          <w:color w:val="000000" w:themeColor="text1"/>
          <w:sz w:val="24"/>
          <w:szCs w:val="24"/>
        </w:rPr>
        <w:t>a</w:t>
      </w:r>
      <w:r w:rsidR="00E418B1">
        <w:rPr>
          <w:color w:val="000000" w:themeColor="text1"/>
          <w:sz w:val="24"/>
          <w:szCs w:val="24"/>
        </w:rPr>
        <w:t xml:space="preserve"> legal complaint </w:t>
      </w:r>
      <w:r w:rsidR="009A395E">
        <w:rPr>
          <w:color w:val="000000" w:themeColor="text1"/>
          <w:sz w:val="24"/>
          <w:szCs w:val="24"/>
        </w:rPr>
        <w:t>in Germany.</w:t>
      </w:r>
    </w:p>
    <w:p w14:paraId="17C4D3A1" w14:textId="52F26C7D" w:rsidR="001B789C" w:rsidRPr="00ED0973" w:rsidRDefault="00263476" w:rsidP="000F3F1A">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On 13 October 2016</w:t>
      </w:r>
      <w:r w:rsidR="001F2600">
        <w:rPr>
          <w:color w:val="000000" w:themeColor="text1"/>
          <w:sz w:val="24"/>
          <w:szCs w:val="24"/>
        </w:rPr>
        <w:t>, t</w:t>
      </w:r>
      <w:r w:rsidR="00841C20">
        <w:rPr>
          <w:color w:val="000000" w:themeColor="text1"/>
          <w:sz w:val="24"/>
          <w:szCs w:val="24"/>
        </w:rPr>
        <w:t xml:space="preserve">he German Constitutional Court </w:t>
      </w:r>
      <w:r w:rsidR="0012162D">
        <w:rPr>
          <w:color w:val="000000" w:themeColor="text1"/>
          <w:sz w:val="24"/>
          <w:szCs w:val="24"/>
        </w:rPr>
        <w:t>(</w:t>
      </w:r>
      <w:r w:rsidR="0012162D" w:rsidRPr="0012162D">
        <w:rPr>
          <w:i/>
          <w:color w:val="000000" w:themeColor="text1"/>
          <w:sz w:val="24"/>
          <w:szCs w:val="24"/>
        </w:rPr>
        <w:t>Bundesverfassungsgericht</w:t>
      </w:r>
      <w:r w:rsidR="0012162D">
        <w:rPr>
          <w:color w:val="000000" w:themeColor="text1"/>
          <w:sz w:val="24"/>
          <w:szCs w:val="24"/>
        </w:rPr>
        <w:t xml:space="preserve">, </w:t>
      </w:r>
      <w:r w:rsidR="0012162D" w:rsidRPr="001F2600">
        <w:rPr>
          <w:i/>
          <w:color w:val="000000" w:themeColor="text1"/>
          <w:sz w:val="24"/>
          <w:szCs w:val="24"/>
        </w:rPr>
        <w:t>BVerfG</w:t>
      </w:r>
      <w:r w:rsidR="0012162D">
        <w:rPr>
          <w:color w:val="000000" w:themeColor="text1"/>
          <w:sz w:val="24"/>
          <w:szCs w:val="24"/>
        </w:rPr>
        <w:t xml:space="preserve">) </w:t>
      </w:r>
      <w:r w:rsidR="00841C20">
        <w:rPr>
          <w:color w:val="000000" w:themeColor="text1"/>
          <w:sz w:val="24"/>
          <w:szCs w:val="24"/>
        </w:rPr>
        <w:t xml:space="preserve">ordered </w:t>
      </w:r>
      <w:r w:rsidR="001F2600">
        <w:rPr>
          <w:color w:val="000000" w:themeColor="text1"/>
          <w:sz w:val="24"/>
          <w:szCs w:val="24"/>
        </w:rPr>
        <w:t xml:space="preserve">Germany </w:t>
      </w:r>
      <w:r w:rsidR="00C86EA7">
        <w:rPr>
          <w:color w:val="000000" w:themeColor="text1"/>
          <w:sz w:val="24"/>
          <w:szCs w:val="24"/>
        </w:rPr>
        <w:t>only</w:t>
      </w:r>
      <w:r w:rsidR="00841C20">
        <w:rPr>
          <w:color w:val="000000" w:themeColor="text1"/>
          <w:sz w:val="24"/>
          <w:szCs w:val="24"/>
        </w:rPr>
        <w:t xml:space="preserve"> to agree </w:t>
      </w:r>
      <w:r w:rsidR="0012162D">
        <w:rPr>
          <w:color w:val="000000" w:themeColor="text1"/>
          <w:sz w:val="24"/>
          <w:szCs w:val="24"/>
        </w:rPr>
        <w:t>to</w:t>
      </w:r>
      <w:r w:rsidR="00841C20">
        <w:rPr>
          <w:color w:val="000000" w:themeColor="text1"/>
          <w:sz w:val="24"/>
          <w:szCs w:val="24"/>
        </w:rPr>
        <w:t xml:space="preserve"> the provisional application of </w:t>
      </w:r>
      <w:r w:rsidR="00AF7B5D">
        <w:rPr>
          <w:color w:val="000000" w:themeColor="text1"/>
          <w:sz w:val="24"/>
          <w:szCs w:val="24"/>
        </w:rPr>
        <w:t xml:space="preserve">those parts of CETA </w:t>
      </w:r>
      <w:r w:rsidR="002C5645">
        <w:rPr>
          <w:color w:val="000000" w:themeColor="text1"/>
          <w:sz w:val="24"/>
          <w:szCs w:val="24"/>
        </w:rPr>
        <w:t>that undoubtedly fall within the Union’s exclusive competences. Interestingly enough, the</w:t>
      </w:r>
      <w:r w:rsidR="00841C20">
        <w:rPr>
          <w:color w:val="000000" w:themeColor="text1"/>
          <w:sz w:val="24"/>
          <w:szCs w:val="24"/>
        </w:rPr>
        <w:t xml:space="preserve"> investor protection rules, including ICS</w:t>
      </w:r>
      <w:r w:rsidR="002C5645">
        <w:rPr>
          <w:color w:val="000000" w:themeColor="text1"/>
          <w:sz w:val="24"/>
          <w:szCs w:val="24"/>
        </w:rPr>
        <w:t xml:space="preserve">, are </w:t>
      </w:r>
      <w:r w:rsidR="00705287">
        <w:rPr>
          <w:color w:val="000000" w:themeColor="text1"/>
          <w:sz w:val="24"/>
          <w:szCs w:val="24"/>
        </w:rPr>
        <w:t xml:space="preserve">not </w:t>
      </w:r>
      <w:r w:rsidR="002C5645">
        <w:rPr>
          <w:color w:val="000000" w:themeColor="text1"/>
          <w:sz w:val="24"/>
          <w:szCs w:val="24"/>
        </w:rPr>
        <w:t>among these parts</w:t>
      </w:r>
      <w:r w:rsidR="001F2600">
        <w:rPr>
          <w:color w:val="000000" w:themeColor="text1"/>
          <w:sz w:val="24"/>
          <w:szCs w:val="24"/>
        </w:rPr>
        <w:t>.</w:t>
      </w:r>
      <w:r w:rsidR="0012162D">
        <w:rPr>
          <w:rStyle w:val="Voetnootmarkering"/>
          <w:color w:val="000000" w:themeColor="text1"/>
          <w:sz w:val="24"/>
          <w:szCs w:val="24"/>
        </w:rPr>
        <w:footnoteReference w:id="10"/>
      </w:r>
      <w:r w:rsidR="001F2600">
        <w:rPr>
          <w:color w:val="000000" w:themeColor="text1"/>
          <w:sz w:val="24"/>
          <w:szCs w:val="24"/>
        </w:rPr>
        <w:t xml:space="preserve"> On top of that, the Walloon regional government made known that it opposed CETA</w:t>
      </w:r>
      <w:r w:rsidR="004066AD">
        <w:rPr>
          <w:color w:val="000000" w:themeColor="text1"/>
          <w:sz w:val="24"/>
          <w:szCs w:val="24"/>
        </w:rPr>
        <w:t xml:space="preserve">, </w:t>
      </w:r>
      <w:r w:rsidR="004066AD" w:rsidRPr="00E9661C">
        <w:rPr>
          <w:i/>
          <w:color w:val="000000" w:themeColor="text1"/>
          <w:sz w:val="24"/>
          <w:szCs w:val="24"/>
        </w:rPr>
        <w:t>inter alia</w:t>
      </w:r>
      <w:r w:rsidR="004066AD">
        <w:rPr>
          <w:color w:val="000000" w:themeColor="text1"/>
          <w:sz w:val="24"/>
          <w:szCs w:val="24"/>
        </w:rPr>
        <w:t xml:space="preserve"> because of the ICS provisions</w:t>
      </w:r>
      <w:r w:rsidR="001F2600">
        <w:rPr>
          <w:color w:val="000000" w:themeColor="text1"/>
          <w:sz w:val="24"/>
          <w:szCs w:val="24"/>
        </w:rPr>
        <w:t xml:space="preserve">, and </w:t>
      </w:r>
      <w:r w:rsidR="004066AD">
        <w:rPr>
          <w:color w:val="000000" w:themeColor="text1"/>
          <w:sz w:val="24"/>
          <w:szCs w:val="24"/>
        </w:rPr>
        <w:t xml:space="preserve">that it </w:t>
      </w:r>
      <w:r w:rsidR="000F3F1A">
        <w:rPr>
          <w:color w:val="000000" w:themeColor="text1"/>
          <w:sz w:val="24"/>
          <w:szCs w:val="24"/>
        </w:rPr>
        <w:t xml:space="preserve">rejected the </w:t>
      </w:r>
      <w:r w:rsidR="001F2600">
        <w:rPr>
          <w:color w:val="000000" w:themeColor="text1"/>
          <w:sz w:val="24"/>
          <w:szCs w:val="24"/>
        </w:rPr>
        <w:t xml:space="preserve">interpretative statement that was supposed to </w:t>
      </w:r>
      <w:r w:rsidR="004066AD">
        <w:rPr>
          <w:color w:val="000000" w:themeColor="text1"/>
          <w:sz w:val="24"/>
          <w:szCs w:val="24"/>
        </w:rPr>
        <w:t>take away remaining doubts.</w:t>
      </w:r>
      <w:r w:rsidR="0056019E">
        <w:rPr>
          <w:rStyle w:val="Voetnootmarkering"/>
          <w:color w:val="000000" w:themeColor="text1"/>
          <w:sz w:val="24"/>
          <w:szCs w:val="24"/>
        </w:rPr>
        <w:footnoteReference w:id="11"/>
      </w:r>
      <w:r w:rsidR="000F3F1A">
        <w:rPr>
          <w:color w:val="000000" w:themeColor="text1"/>
          <w:sz w:val="24"/>
          <w:szCs w:val="24"/>
        </w:rPr>
        <w:t xml:space="preserve"> </w:t>
      </w:r>
      <w:r w:rsidR="00570988">
        <w:rPr>
          <w:color w:val="000000" w:themeColor="text1"/>
          <w:sz w:val="24"/>
          <w:szCs w:val="24"/>
        </w:rPr>
        <w:t xml:space="preserve">Later that month, </w:t>
      </w:r>
      <w:r w:rsidR="00511ECB">
        <w:rPr>
          <w:color w:val="000000" w:themeColor="text1"/>
          <w:sz w:val="24"/>
          <w:szCs w:val="24"/>
        </w:rPr>
        <w:t xml:space="preserve">after intense debates, </w:t>
      </w:r>
      <w:r w:rsidR="00570988">
        <w:rPr>
          <w:color w:val="000000" w:themeColor="text1"/>
          <w:sz w:val="24"/>
          <w:szCs w:val="24"/>
        </w:rPr>
        <w:t xml:space="preserve">Belgium </w:t>
      </w:r>
      <w:r w:rsidR="00511ECB">
        <w:rPr>
          <w:color w:val="000000" w:themeColor="text1"/>
          <w:sz w:val="24"/>
          <w:szCs w:val="24"/>
        </w:rPr>
        <w:t>did agree</w:t>
      </w:r>
      <w:r w:rsidR="00570988">
        <w:rPr>
          <w:color w:val="000000" w:themeColor="text1"/>
          <w:sz w:val="24"/>
          <w:szCs w:val="24"/>
        </w:rPr>
        <w:t xml:space="preserve"> with the provisional application of CETA while declaring that it would ask the CJEU for its opinion on the compatibility of ISDS in CETA with EU law, and that it does not intend to ratify CETA because of the ICS </w:t>
      </w:r>
      <w:r w:rsidR="00511ECB">
        <w:rPr>
          <w:color w:val="000000" w:themeColor="text1"/>
          <w:sz w:val="24"/>
          <w:szCs w:val="24"/>
        </w:rPr>
        <w:t xml:space="preserve">provisions </w:t>
      </w:r>
      <w:r w:rsidR="00570988">
        <w:rPr>
          <w:color w:val="000000" w:themeColor="text1"/>
          <w:sz w:val="24"/>
          <w:szCs w:val="24"/>
        </w:rPr>
        <w:t>as laid down in Chapter 8 CETA in</w:t>
      </w:r>
      <w:r w:rsidR="00511ECB">
        <w:rPr>
          <w:color w:val="000000" w:themeColor="text1"/>
          <w:sz w:val="24"/>
          <w:szCs w:val="24"/>
        </w:rPr>
        <w:t xml:space="preserve"> their</w:t>
      </w:r>
      <w:r w:rsidR="00570988">
        <w:rPr>
          <w:color w:val="000000" w:themeColor="text1"/>
          <w:sz w:val="24"/>
          <w:szCs w:val="24"/>
        </w:rPr>
        <w:t xml:space="preserve"> current form on the day of the signature of CETA.</w:t>
      </w:r>
      <w:r w:rsidR="00570988">
        <w:rPr>
          <w:rStyle w:val="Voetnootmarkering"/>
          <w:color w:val="000000" w:themeColor="text1"/>
          <w:sz w:val="24"/>
          <w:szCs w:val="24"/>
        </w:rPr>
        <w:footnoteReference w:id="12"/>
      </w:r>
      <w:r w:rsidR="00570988">
        <w:rPr>
          <w:color w:val="000000" w:themeColor="text1"/>
          <w:sz w:val="24"/>
          <w:szCs w:val="24"/>
        </w:rPr>
        <w:t xml:space="preserve">   </w:t>
      </w:r>
    </w:p>
    <w:p w14:paraId="204C91F1" w14:textId="0B567929" w:rsidR="0098585B" w:rsidRPr="00ED0973" w:rsidRDefault="00540C0A" w:rsidP="00D73158">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Besides the compatibility question, </w:t>
      </w:r>
      <w:r w:rsidR="00262C89">
        <w:rPr>
          <w:color w:val="000000" w:themeColor="text1"/>
          <w:sz w:val="24"/>
          <w:szCs w:val="24"/>
        </w:rPr>
        <w:t xml:space="preserve">another point that warrants further consideration is the </w:t>
      </w:r>
      <w:r w:rsidR="00815BC4">
        <w:rPr>
          <w:color w:val="000000" w:themeColor="text1"/>
          <w:sz w:val="24"/>
          <w:szCs w:val="24"/>
        </w:rPr>
        <w:t xml:space="preserve">manner in which evidence on the need for ISDS / ICS in EU trade agreements is presented. </w:t>
      </w:r>
      <w:r w:rsidR="00A931BD" w:rsidRPr="00ED0973">
        <w:rPr>
          <w:color w:val="000000" w:themeColor="text1"/>
          <w:sz w:val="24"/>
          <w:szCs w:val="24"/>
        </w:rPr>
        <w:t xml:space="preserve">As </w:t>
      </w:r>
      <w:r w:rsidR="0093144F" w:rsidRPr="00ED0973">
        <w:rPr>
          <w:color w:val="000000" w:themeColor="text1"/>
          <w:sz w:val="24"/>
          <w:szCs w:val="24"/>
        </w:rPr>
        <w:t>one knowledgeable commentator put it</w:t>
      </w:r>
      <w:r w:rsidR="00A931BD" w:rsidRPr="00ED0973">
        <w:rPr>
          <w:color w:val="000000" w:themeColor="text1"/>
          <w:sz w:val="24"/>
          <w:szCs w:val="24"/>
        </w:rPr>
        <w:t>,</w:t>
      </w:r>
      <w:r w:rsidR="001552AC" w:rsidRPr="00ED0973">
        <w:rPr>
          <w:color w:val="000000" w:themeColor="text1"/>
          <w:sz w:val="24"/>
          <w:szCs w:val="24"/>
        </w:rPr>
        <w:t xml:space="preserve"> ‘questions about the need of an investment protection treaty between two entities like the EU and the US are certainly legitimate’</w:t>
      </w:r>
      <w:r w:rsidR="00A931BD" w:rsidRPr="00ED0973">
        <w:rPr>
          <w:color w:val="000000" w:themeColor="text1"/>
          <w:sz w:val="24"/>
          <w:szCs w:val="24"/>
        </w:rPr>
        <w:t>. He added</w:t>
      </w:r>
      <w:r w:rsidR="001552AC" w:rsidRPr="00ED0973">
        <w:rPr>
          <w:color w:val="000000" w:themeColor="text1"/>
          <w:sz w:val="24"/>
          <w:szCs w:val="24"/>
        </w:rPr>
        <w:t xml:space="preserve"> that </w:t>
      </w:r>
      <w:r w:rsidR="00A931BD" w:rsidRPr="00ED0973">
        <w:rPr>
          <w:color w:val="000000" w:themeColor="text1"/>
          <w:sz w:val="24"/>
          <w:szCs w:val="24"/>
        </w:rPr>
        <w:t xml:space="preserve">it is </w:t>
      </w:r>
      <w:r w:rsidR="001552AC" w:rsidRPr="00ED0973">
        <w:rPr>
          <w:color w:val="000000" w:themeColor="text1"/>
          <w:sz w:val="24"/>
          <w:szCs w:val="24"/>
        </w:rPr>
        <w:t>‘too easy to dismiss that need in a facile flush of self-satisfaction about the functioning of our judicial systems on both sides of the Atlantic.’</w:t>
      </w:r>
      <w:r w:rsidR="001552AC" w:rsidRPr="00ED0973">
        <w:rPr>
          <w:rStyle w:val="Voetnootmarkering"/>
          <w:color w:val="000000" w:themeColor="text1"/>
          <w:sz w:val="24"/>
          <w:szCs w:val="24"/>
        </w:rPr>
        <w:footnoteReference w:id="13"/>
      </w:r>
      <w:r w:rsidR="00893A42" w:rsidRPr="00ED0973">
        <w:rPr>
          <w:color w:val="000000" w:themeColor="text1"/>
          <w:sz w:val="24"/>
          <w:szCs w:val="24"/>
        </w:rPr>
        <w:t xml:space="preserve"> In th</w:t>
      </w:r>
      <w:r w:rsidR="00375677">
        <w:rPr>
          <w:color w:val="000000" w:themeColor="text1"/>
          <w:sz w:val="24"/>
          <w:szCs w:val="24"/>
        </w:rPr>
        <w:t xml:space="preserve">e same vain, </w:t>
      </w:r>
      <w:r w:rsidR="00DE5768" w:rsidRPr="00ED0973">
        <w:rPr>
          <w:color w:val="000000" w:themeColor="text1"/>
          <w:sz w:val="24"/>
          <w:szCs w:val="24"/>
        </w:rPr>
        <w:t>claims about discrimination of foreign investors in the U.S.A.</w:t>
      </w:r>
      <w:r w:rsidR="00375677">
        <w:rPr>
          <w:color w:val="000000" w:themeColor="text1"/>
          <w:sz w:val="24"/>
          <w:szCs w:val="24"/>
        </w:rPr>
        <w:t>, Canada</w:t>
      </w:r>
      <w:r w:rsidR="00DE5768" w:rsidRPr="00ED0973">
        <w:rPr>
          <w:color w:val="000000" w:themeColor="text1"/>
          <w:sz w:val="24"/>
          <w:szCs w:val="24"/>
        </w:rPr>
        <w:t xml:space="preserve"> and in the EU that have been repeated frequently warrant</w:t>
      </w:r>
      <w:r w:rsidR="0098585B" w:rsidRPr="00ED0973">
        <w:rPr>
          <w:color w:val="000000" w:themeColor="text1"/>
          <w:sz w:val="24"/>
          <w:szCs w:val="24"/>
        </w:rPr>
        <w:t xml:space="preserve"> </w:t>
      </w:r>
      <w:r w:rsidR="0093144F" w:rsidRPr="00ED0973">
        <w:rPr>
          <w:color w:val="000000" w:themeColor="text1"/>
          <w:sz w:val="24"/>
          <w:szCs w:val="24"/>
        </w:rPr>
        <w:t>scrutiny</w:t>
      </w:r>
      <w:r w:rsidR="00375677">
        <w:rPr>
          <w:color w:val="000000" w:themeColor="text1"/>
          <w:sz w:val="24"/>
          <w:szCs w:val="24"/>
        </w:rPr>
        <w:t xml:space="preserve">. Also, </w:t>
      </w:r>
      <w:r w:rsidR="001D5A81">
        <w:rPr>
          <w:color w:val="000000" w:themeColor="text1"/>
          <w:sz w:val="24"/>
          <w:szCs w:val="24"/>
        </w:rPr>
        <w:t>the ‘China problem’</w:t>
      </w:r>
      <w:r w:rsidR="00375677">
        <w:rPr>
          <w:color w:val="000000" w:themeColor="text1"/>
          <w:sz w:val="24"/>
          <w:szCs w:val="24"/>
        </w:rPr>
        <w:t xml:space="preserve"> needs a closer look</w:t>
      </w:r>
      <w:r w:rsidR="00EA02BE" w:rsidRPr="00ED0973">
        <w:rPr>
          <w:color w:val="000000" w:themeColor="text1"/>
          <w:sz w:val="24"/>
          <w:szCs w:val="24"/>
        </w:rPr>
        <w:t xml:space="preserve">, </w:t>
      </w:r>
      <w:r w:rsidR="00375677">
        <w:rPr>
          <w:color w:val="000000" w:themeColor="text1"/>
          <w:sz w:val="24"/>
          <w:szCs w:val="24"/>
        </w:rPr>
        <w:t xml:space="preserve">as do </w:t>
      </w:r>
      <w:r w:rsidR="00EA02BE" w:rsidRPr="00ED0973">
        <w:rPr>
          <w:color w:val="000000" w:themeColor="text1"/>
          <w:sz w:val="24"/>
          <w:szCs w:val="24"/>
        </w:rPr>
        <w:t xml:space="preserve">the hurdles that ICS/ISDS </w:t>
      </w:r>
      <w:r w:rsidR="00EE50AF" w:rsidRPr="00ED0973">
        <w:rPr>
          <w:color w:val="000000" w:themeColor="text1"/>
          <w:sz w:val="24"/>
          <w:szCs w:val="24"/>
        </w:rPr>
        <w:t xml:space="preserve">raises </w:t>
      </w:r>
      <w:r w:rsidR="005D06DF" w:rsidRPr="00ED0973">
        <w:rPr>
          <w:color w:val="000000" w:themeColor="text1"/>
          <w:sz w:val="24"/>
          <w:szCs w:val="24"/>
        </w:rPr>
        <w:t>when i</w:t>
      </w:r>
      <w:r w:rsidR="00164C6F" w:rsidRPr="00ED0973">
        <w:rPr>
          <w:color w:val="000000" w:themeColor="text1"/>
          <w:sz w:val="24"/>
          <w:szCs w:val="24"/>
        </w:rPr>
        <w:t>t comes to adoption of measures in the pub</w:t>
      </w:r>
      <w:r w:rsidR="0056734E" w:rsidRPr="00ED0973">
        <w:rPr>
          <w:color w:val="000000" w:themeColor="text1"/>
          <w:sz w:val="24"/>
          <w:szCs w:val="24"/>
        </w:rPr>
        <w:t>l</w:t>
      </w:r>
      <w:r w:rsidR="00164C6F" w:rsidRPr="00ED0973">
        <w:rPr>
          <w:color w:val="000000" w:themeColor="text1"/>
          <w:sz w:val="24"/>
          <w:szCs w:val="24"/>
        </w:rPr>
        <w:t xml:space="preserve">ic interest, notably </w:t>
      </w:r>
      <w:r w:rsidR="00EE50AF" w:rsidRPr="00ED0973">
        <w:rPr>
          <w:color w:val="000000" w:themeColor="text1"/>
          <w:sz w:val="24"/>
          <w:szCs w:val="24"/>
        </w:rPr>
        <w:t>in order to</w:t>
      </w:r>
      <w:r w:rsidR="00164C6F" w:rsidRPr="00ED0973">
        <w:rPr>
          <w:color w:val="000000" w:themeColor="text1"/>
          <w:sz w:val="24"/>
          <w:szCs w:val="24"/>
        </w:rPr>
        <w:t xml:space="preserve"> </w:t>
      </w:r>
      <w:r w:rsidR="00EE50AF" w:rsidRPr="00ED0973">
        <w:rPr>
          <w:color w:val="000000" w:themeColor="text1"/>
          <w:sz w:val="24"/>
          <w:szCs w:val="24"/>
        </w:rPr>
        <w:t xml:space="preserve">implement </w:t>
      </w:r>
      <w:r w:rsidR="005D06DF" w:rsidRPr="00ED0973">
        <w:rPr>
          <w:color w:val="000000" w:themeColor="text1"/>
          <w:sz w:val="24"/>
          <w:szCs w:val="24"/>
        </w:rPr>
        <w:t xml:space="preserve">the Paris Climate </w:t>
      </w:r>
      <w:r w:rsidR="00375677">
        <w:rPr>
          <w:color w:val="000000" w:themeColor="text1"/>
          <w:sz w:val="24"/>
          <w:szCs w:val="24"/>
        </w:rPr>
        <w:t>Agreement</w:t>
      </w:r>
      <w:r w:rsidR="00B33FBB" w:rsidRPr="00ED0973">
        <w:rPr>
          <w:color w:val="000000" w:themeColor="text1"/>
          <w:sz w:val="24"/>
          <w:szCs w:val="24"/>
        </w:rPr>
        <w:t>.</w:t>
      </w:r>
      <w:r w:rsidR="00BC319F">
        <w:rPr>
          <w:rStyle w:val="Voetnootmarkering"/>
          <w:color w:val="000000" w:themeColor="text1"/>
          <w:sz w:val="24"/>
          <w:szCs w:val="24"/>
        </w:rPr>
        <w:footnoteReference w:id="14"/>
      </w:r>
      <w:r w:rsidR="00F934BD">
        <w:rPr>
          <w:color w:val="000000" w:themeColor="text1"/>
          <w:sz w:val="24"/>
          <w:szCs w:val="24"/>
        </w:rPr>
        <w:t xml:space="preserve"> Furthermore, the discrepancy between </w:t>
      </w:r>
      <w:r w:rsidR="00F934BD" w:rsidRPr="00ED0973">
        <w:rPr>
          <w:color w:val="000000" w:themeColor="text1"/>
          <w:sz w:val="24"/>
          <w:szCs w:val="24"/>
        </w:rPr>
        <w:t xml:space="preserve">CETA’s Trade Sustainability Impact Assessment (SIA) </w:t>
      </w:r>
      <w:r w:rsidR="00F934BD">
        <w:rPr>
          <w:color w:val="000000" w:themeColor="text1"/>
          <w:sz w:val="24"/>
          <w:szCs w:val="24"/>
        </w:rPr>
        <w:lastRenderedPageBreak/>
        <w:t>conveying</w:t>
      </w:r>
      <w:r w:rsidR="00375677">
        <w:rPr>
          <w:color w:val="000000" w:themeColor="text1"/>
          <w:sz w:val="24"/>
          <w:szCs w:val="24"/>
        </w:rPr>
        <w:t xml:space="preserve"> the </w:t>
      </w:r>
      <w:r w:rsidR="00F934BD" w:rsidRPr="00ED0973">
        <w:rPr>
          <w:color w:val="000000" w:themeColor="text1"/>
          <w:sz w:val="24"/>
          <w:szCs w:val="24"/>
        </w:rPr>
        <w:t xml:space="preserve">message that the </w:t>
      </w:r>
      <w:r w:rsidR="00F934BD">
        <w:rPr>
          <w:color w:val="000000" w:themeColor="text1"/>
          <w:sz w:val="24"/>
          <w:szCs w:val="24"/>
        </w:rPr>
        <w:t>inclusion of an investor-state dispute settlement</w:t>
      </w:r>
      <w:r w:rsidR="00F934BD" w:rsidRPr="00ED0973">
        <w:rPr>
          <w:color w:val="000000" w:themeColor="text1"/>
          <w:sz w:val="24"/>
          <w:szCs w:val="24"/>
        </w:rPr>
        <w:t xml:space="preserve"> mechanism </w:t>
      </w:r>
      <w:r w:rsidR="00F934BD">
        <w:rPr>
          <w:color w:val="000000" w:themeColor="text1"/>
          <w:sz w:val="24"/>
          <w:szCs w:val="24"/>
        </w:rPr>
        <w:t>would</w:t>
      </w:r>
      <w:r w:rsidR="00F934BD" w:rsidRPr="00ED0973">
        <w:rPr>
          <w:color w:val="000000" w:themeColor="text1"/>
          <w:sz w:val="24"/>
          <w:szCs w:val="24"/>
        </w:rPr>
        <w:t xml:space="preserve"> not bring overall benefit</w:t>
      </w:r>
      <w:r w:rsidR="00F934BD">
        <w:rPr>
          <w:color w:val="000000" w:themeColor="text1"/>
          <w:sz w:val="24"/>
          <w:szCs w:val="24"/>
        </w:rPr>
        <w:t>s</w:t>
      </w:r>
      <w:r w:rsidR="00F934BD" w:rsidRPr="00ED0973">
        <w:rPr>
          <w:color w:val="000000" w:themeColor="text1"/>
          <w:sz w:val="24"/>
          <w:szCs w:val="24"/>
        </w:rPr>
        <w:t xml:space="preserve"> for the EU and/or Canada</w:t>
      </w:r>
      <w:r w:rsidR="00F934BD">
        <w:rPr>
          <w:color w:val="000000" w:themeColor="text1"/>
          <w:sz w:val="24"/>
          <w:szCs w:val="24"/>
        </w:rPr>
        <w:t xml:space="preserve"> and the decision to include ICS in CETA is striking and deserves attention</w:t>
      </w:r>
      <w:r w:rsidR="00F94E1B" w:rsidRPr="00ED0973">
        <w:rPr>
          <w:color w:val="000000" w:themeColor="text1"/>
          <w:sz w:val="24"/>
          <w:szCs w:val="24"/>
        </w:rPr>
        <w:t xml:space="preserve">. </w:t>
      </w:r>
    </w:p>
    <w:p w14:paraId="204C91F3" w14:textId="7717C7D7" w:rsidR="0098585B" w:rsidRPr="00ED0973" w:rsidRDefault="00166E66" w:rsidP="00F934BD">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In this contribution, t</w:t>
      </w:r>
      <w:r w:rsidR="731A9F31" w:rsidRPr="00ED0973">
        <w:rPr>
          <w:color w:val="000000" w:themeColor="text1"/>
          <w:sz w:val="24"/>
          <w:szCs w:val="24"/>
        </w:rPr>
        <w:t xml:space="preserve">he </w:t>
      </w:r>
      <w:r w:rsidR="001D5A81">
        <w:rPr>
          <w:color w:val="000000" w:themeColor="text1"/>
          <w:sz w:val="24"/>
          <w:szCs w:val="24"/>
        </w:rPr>
        <w:t xml:space="preserve">main question </w:t>
      </w:r>
      <w:r>
        <w:rPr>
          <w:color w:val="000000" w:themeColor="text1"/>
          <w:sz w:val="24"/>
          <w:szCs w:val="24"/>
        </w:rPr>
        <w:t>investigated is</w:t>
      </w:r>
      <w:r w:rsidR="731A9F31" w:rsidRPr="00ED0973">
        <w:rPr>
          <w:color w:val="000000" w:themeColor="text1"/>
          <w:sz w:val="24"/>
          <w:szCs w:val="24"/>
        </w:rPr>
        <w:t xml:space="preserve"> </w:t>
      </w:r>
      <w:r w:rsidR="008F0122">
        <w:rPr>
          <w:color w:val="000000" w:themeColor="text1"/>
          <w:sz w:val="24"/>
          <w:szCs w:val="24"/>
        </w:rPr>
        <w:t>whether the inclusion of an</w:t>
      </w:r>
      <w:r w:rsidR="00F91622">
        <w:rPr>
          <w:color w:val="000000" w:themeColor="text1"/>
          <w:sz w:val="24"/>
          <w:szCs w:val="24"/>
        </w:rPr>
        <w:t xml:space="preserve"> ISDS or</w:t>
      </w:r>
      <w:r w:rsidR="008F0122">
        <w:rPr>
          <w:color w:val="000000" w:themeColor="text1"/>
          <w:sz w:val="24"/>
          <w:szCs w:val="24"/>
        </w:rPr>
        <w:t xml:space="preserve"> </w:t>
      </w:r>
      <w:r w:rsidR="003D1B2D" w:rsidRPr="00ED0973">
        <w:rPr>
          <w:color w:val="000000" w:themeColor="text1"/>
          <w:sz w:val="24"/>
          <w:szCs w:val="24"/>
        </w:rPr>
        <w:t>ICS</w:t>
      </w:r>
      <w:r w:rsidR="731A9F31" w:rsidRPr="00ED0973">
        <w:rPr>
          <w:color w:val="000000" w:themeColor="text1"/>
          <w:sz w:val="24"/>
          <w:szCs w:val="24"/>
        </w:rPr>
        <w:t xml:space="preserve"> mechanism in EU trade and invest</w:t>
      </w:r>
      <w:r>
        <w:rPr>
          <w:color w:val="000000" w:themeColor="text1"/>
          <w:sz w:val="24"/>
          <w:szCs w:val="24"/>
        </w:rPr>
        <w:t xml:space="preserve">ment agreements </w:t>
      </w:r>
      <w:r w:rsidR="731A9F31" w:rsidRPr="00ED0973">
        <w:rPr>
          <w:color w:val="000000" w:themeColor="text1"/>
          <w:sz w:val="24"/>
          <w:szCs w:val="24"/>
        </w:rPr>
        <w:t xml:space="preserve">with third countries is problematic from an EU </w:t>
      </w:r>
      <w:r w:rsidR="00FF013D">
        <w:rPr>
          <w:color w:val="000000" w:themeColor="text1"/>
          <w:sz w:val="24"/>
          <w:szCs w:val="24"/>
        </w:rPr>
        <w:t xml:space="preserve">policy and </w:t>
      </w:r>
      <w:r w:rsidR="731A9F31" w:rsidRPr="00ED0973">
        <w:rPr>
          <w:color w:val="000000" w:themeColor="text1"/>
          <w:sz w:val="24"/>
          <w:szCs w:val="24"/>
        </w:rPr>
        <w:t>law point of view</w:t>
      </w:r>
      <w:r w:rsidR="00090E77">
        <w:rPr>
          <w:color w:val="000000" w:themeColor="text1"/>
          <w:sz w:val="24"/>
          <w:szCs w:val="24"/>
        </w:rPr>
        <w:t xml:space="preserve"> – and </w:t>
      </w:r>
      <w:r w:rsidR="003D7C1B">
        <w:rPr>
          <w:color w:val="000000" w:themeColor="text1"/>
          <w:sz w:val="24"/>
          <w:szCs w:val="24"/>
        </w:rPr>
        <w:t>thu</w:t>
      </w:r>
      <w:r w:rsidR="00090E77">
        <w:rPr>
          <w:color w:val="000000" w:themeColor="text1"/>
          <w:sz w:val="24"/>
          <w:szCs w:val="24"/>
        </w:rPr>
        <w:t xml:space="preserve">s </w:t>
      </w:r>
      <w:r w:rsidR="00E374A1">
        <w:rPr>
          <w:color w:val="000000" w:themeColor="text1"/>
          <w:sz w:val="24"/>
          <w:szCs w:val="24"/>
        </w:rPr>
        <w:t xml:space="preserve">inter alia </w:t>
      </w:r>
      <w:r w:rsidR="00090E77">
        <w:rPr>
          <w:color w:val="000000" w:themeColor="text1"/>
          <w:sz w:val="24"/>
          <w:szCs w:val="24"/>
        </w:rPr>
        <w:t>whether the</w:t>
      </w:r>
      <w:r w:rsidR="001D5A81">
        <w:rPr>
          <w:color w:val="000000" w:themeColor="text1"/>
          <w:sz w:val="24"/>
          <w:szCs w:val="24"/>
        </w:rPr>
        <w:t xml:space="preserve"> CJEU </w:t>
      </w:r>
      <w:r w:rsidR="00090E77">
        <w:rPr>
          <w:color w:val="000000" w:themeColor="text1"/>
          <w:sz w:val="24"/>
          <w:szCs w:val="24"/>
        </w:rPr>
        <w:t xml:space="preserve">might find that </w:t>
      </w:r>
      <w:r w:rsidR="003D7C1B">
        <w:rPr>
          <w:color w:val="000000" w:themeColor="text1"/>
          <w:sz w:val="24"/>
          <w:szCs w:val="24"/>
        </w:rPr>
        <w:t xml:space="preserve">parts of </w:t>
      </w:r>
      <w:r w:rsidR="00090E77">
        <w:rPr>
          <w:color w:val="000000" w:themeColor="text1"/>
          <w:sz w:val="24"/>
          <w:szCs w:val="24"/>
        </w:rPr>
        <w:t xml:space="preserve">CETA </w:t>
      </w:r>
      <w:r w:rsidR="003D7C1B">
        <w:rPr>
          <w:color w:val="000000" w:themeColor="text1"/>
          <w:sz w:val="24"/>
          <w:szCs w:val="24"/>
        </w:rPr>
        <w:t>are</w:t>
      </w:r>
      <w:r w:rsidR="003D7C1B" w:rsidRPr="003D7C1B">
        <w:rPr>
          <w:color w:val="000000" w:themeColor="text1"/>
          <w:sz w:val="24"/>
          <w:szCs w:val="24"/>
        </w:rPr>
        <w:t xml:space="preserve"> </w:t>
      </w:r>
      <w:r w:rsidR="003D7C1B">
        <w:rPr>
          <w:color w:val="000000" w:themeColor="text1"/>
          <w:sz w:val="24"/>
          <w:szCs w:val="24"/>
        </w:rPr>
        <w:t>in</w:t>
      </w:r>
      <w:r w:rsidR="003D7C1B" w:rsidRPr="003D7C1B">
        <w:rPr>
          <w:color w:val="000000" w:themeColor="text1"/>
          <w:sz w:val="24"/>
          <w:szCs w:val="24"/>
        </w:rPr>
        <w:t>compatible with the Treaties</w:t>
      </w:r>
      <w:r>
        <w:rPr>
          <w:color w:val="000000" w:themeColor="text1"/>
          <w:sz w:val="24"/>
          <w:szCs w:val="24"/>
        </w:rPr>
        <w:t>.</w:t>
      </w:r>
      <w:r w:rsidR="003D7C1B">
        <w:rPr>
          <w:rStyle w:val="Voetnootmarkering"/>
          <w:color w:val="000000" w:themeColor="text1"/>
          <w:sz w:val="24"/>
          <w:szCs w:val="24"/>
        </w:rPr>
        <w:footnoteReference w:id="15"/>
      </w:r>
      <w:r>
        <w:rPr>
          <w:color w:val="000000" w:themeColor="text1"/>
          <w:sz w:val="24"/>
          <w:szCs w:val="24"/>
        </w:rPr>
        <w:t xml:space="preserve"> </w:t>
      </w:r>
      <w:r w:rsidR="00F27615">
        <w:rPr>
          <w:color w:val="000000" w:themeColor="text1"/>
          <w:sz w:val="24"/>
          <w:szCs w:val="24"/>
        </w:rPr>
        <w:t>Other</w:t>
      </w:r>
      <w:r w:rsidR="00B763F1">
        <w:rPr>
          <w:color w:val="000000" w:themeColor="text1"/>
          <w:sz w:val="24"/>
          <w:szCs w:val="24"/>
        </w:rPr>
        <w:t xml:space="preserve"> </w:t>
      </w:r>
      <w:r>
        <w:rPr>
          <w:color w:val="000000" w:themeColor="text1"/>
          <w:sz w:val="24"/>
          <w:szCs w:val="24"/>
        </w:rPr>
        <w:t>question</w:t>
      </w:r>
      <w:r w:rsidR="00F27615">
        <w:rPr>
          <w:color w:val="000000" w:themeColor="text1"/>
          <w:sz w:val="24"/>
          <w:szCs w:val="24"/>
        </w:rPr>
        <w:t>s</w:t>
      </w:r>
      <w:r>
        <w:rPr>
          <w:color w:val="000000" w:themeColor="text1"/>
          <w:sz w:val="24"/>
          <w:szCs w:val="24"/>
        </w:rPr>
        <w:t xml:space="preserve"> </w:t>
      </w:r>
      <w:r w:rsidR="00B763F1">
        <w:rPr>
          <w:color w:val="000000" w:themeColor="text1"/>
          <w:sz w:val="24"/>
          <w:szCs w:val="24"/>
        </w:rPr>
        <w:t xml:space="preserve">that </w:t>
      </w:r>
      <w:r w:rsidR="00F27615">
        <w:rPr>
          <w:color w:val="000000" w:themeColor="text1"/>
          <w:sz w:val="24"/>
          <w:szCs w:val="24"/>
        </w:rPr>
        <w:t>are</w:t>
      </w:r>
      <w:r w:rsidR="00B763F1">
        <w:rPr>
          <w:color w:val="000000" w:themeColor="text1"/>
          <w:sz w:val="24"/>
          <w:szCs w:val="24"/>
        </w:rPr>
        <w:t xml:space="preserve"> looked at </w:t>
      </w:r>
      <w:r w:rsidR="00F27615">
        <w:rPr>
          <w:color w:val="000000" w:themeColor="text1"/>
          <w:sz w:val="24"/>
          <w:szCs w:val="24"/>
        </w:rPr>
        <w:t>include</w:t>
      </w:r>
      <w:r w:rsidR="00B763F1">
        <w:rPr>
          <w:color w:val="000000" w:themeColor="text1"/>
          <w:sz w:val="24"/>
          <w:szCs w:val="24"/>
        </w:rPr>
        <w:t xml:space="preserve"> </w:t>
      </w:r>
      <w:r>
        <w:rPr>
          <w:color w:val="000000" w:themeColor="text1"/>
          <w:sz w:val="24"/>
          <w:szCs w:val="24"/>
        </w:rPr>
        <w:t xml:space="preserve">whether </w:t>
      </w:r>
      <w:r w:rsidR="00B763F1">
        <w:rPr>
          <w:color w:val="000000" w:themeColor="text1"/>
          <w:sz w:val="24"/>
          <w:szCs w:val="24"/>
        </w:rPr>
        <w:t>the</w:t>
      </w:r>
      <w:r w:rsidR="731A9F31" w:rsidRPr="00ED0973">
        <w:rPr>
          <w:color w:val="000000" w:themeColor="text1"/>
          <w:sz w:val="24"/>
          <w:szCs w:val="24"/>
        </w:rPr>
        <w:t xml:space="preserve"> need for ISDS</w:t>
      </w:r>
      <w:r w:rsidR="003956DF" w:rsidRPr="00ED0973">
        <w:rPr>
          <w:color w:val="000000" w:themeColor="text1"/>
          <w:sz w:val="24"/>
          <w:szCs w:val="24"/>
        </w:rPr>
        <w:t>/ICS</w:t>
      </w:r>
      <w:r w:rsidR="731A9F31" w:rsidRPr="00ED0973">
        <w:rPr>
          <w:color w:val="000000" w:themeColor="text1"/>
          <w:sz w:val="24"/>
          <w:szCs w:val="24"/>
        </w:rPr>
        <w:t xml:space="preserve"> in the relationship between the EU</w:t>
      </w:r>
      <w:r w:rsidR="00B763F1">
        <w:rPr>
          <w:color w:val="000000" w:themeColor="text1"/>
          <w:sz w:val="24"/>
          <w:szCs w:val="24"/>
        </w:rPr>
        <w:t xml:space="preserve">, the USA and Canada </w:t>
      </w:r>
      <w:r w:rsidR="000003BD" w:rsidRPr="00ED0973">
        <w:rPr>
          <w:color w:val="000000" w:themeColor="text1"/>
          <w:sz w:val="24"/>
          <w:szCs w:val="24"/>
        </w:rPr>
        <w:t>has been demonstrated</w:t>
      </w:r>
      <w:r w:rsidR="00511ECB">
        <w:rPr>
          <w:color w:val="000000" w:themeColor="text1"/>
          <w:sz w:val="24"/>
          <w:szCs w:val="24"/>
        </w:rPr>
        <w:t>, in line wi</w:t>
      </w:r>
      <w:r w:rsidR="00F934BD">
        <w:rPr>
          <w:color w:val="000000" w:themeColor="text1"/>
          <w:sz w:val="24"/>
          <w:szCs w:val="24"/>
        </w:rPr>
        <w:t>th the evidence based approach</w:t>
      </w:r>
      <w:r w:rsidR="00511ECB">
        <w:rPr>
          <w:color w:val="000000" w:themeColor="text1"/>
          <w:sz w:val="24"/>
          <w:szCs w:val="24"/>
        </w:rPr>
        <w:t xml:space="preserve"> that the Commission underlines as the basis for its own action</w:t>
      </w:r>
      <w:r w:rsidR="00E374A1">
        <w:rPr>
          <w:color w:val="000000" w:themeColor="text1"/>
          <w:sz w:val="24"/>
          <w:szCs w:val="24"/>
        </w:rPr>
        <w:t xml:space="preserve">, and </w:t>
      </w:r>
      <w:r w:rsidR="00CC2DDA">
        <w:rPr>
          <w:color w:val="000000" w:themeColor="text1"/>
          <w:sz w:val="24"/>
          <w:szCs w:val="24"/>
        </w:rPr>
        <w:t>whether the Commission followed its own guidelines on trade impact assessments</w:t>
      </w:r>
      <w:r w:rsidR="00B763F1">
        <w:rPr>
          <w:color w:val="000000" w:themeColor="text1"/>
          <w:sz w:val="24"/>
          <w:szCs w:val="24"/>
        </w:rPr>
        <w:t>. In order to answer these questions</w:t>
      </w:r>
      <w:r w:rsidR="000003BD" w:rsidRPr="00ED0973">
        <w:rPr>
          <w:color w:val="000000" w:themeColor="text1"/>
          <w:sz w:val="24"/>
          <w:szCs w:val="24"/>
        </w:rPr>
        <w:t xml:space="preserve">, </w:t>
      </w:r>
      <w:r w:rsidR="731A9F31" w:rsidRPr="00ED0973">
        <w:rPr>
          <w:color w:val="000000" w:themeColor="text1"/>
          <w:sz w:val="24"/>
          <w:szCs w:val="24"/>
        </w:rPr>
        <w:t xml:space="preserve">first a brief look at the history and characteristics of ISDS is taken, </w:t>
      </w:r>
      <w:r w:rsidR="00777A78">
        <w:rPr>
          <w:color w:val="000000" w:themeColor="text1"/>
          <w:sz w:val="24"/>
          <w:szCs w:val="24"/>
        </w:rPr>
        <w:t>at some statistics</w:t>
      </w:r>
      <w:r w:rsidR="00E17C22">
        <w:rPr>
          <w:color w:val="000000" w:themeColor="text1"/>
          <w:sz w:val="24"/>
          <w:szCs w:val="24"/>
        </w:rPr>
        <w:t xml:space="preserve">, </w:t>
      </w:r>
      <w:r w:rsidR="731A9F31" w:rsidRPr="00ED0973">
        <w:rPr>
          <w:color w:val="000000" w:themeColor="text1"/>
          <w:sz w:val="24"/>
          <w:szCs w:val="24"/>
        </w:rPr>
        <w:t xml:space="preserve">and at some of the disputes involving the protection of public interests that have been initiated </w:t>
      </w:r>
      <w:r w:rsidR="0093144F" w:rsidRPr="00ED0973">
        <w:rPr>
          <w:color w:val="000000" w:themeColor="text1"/>
          <w:sz w:val="24"/>
          <w:szCs w:val="24"/>
        </w:rPr>
        <w:t>under treaties that include ISDS mechanisms</w:t>
      </w:r>
      <w:r w:rsidR="731A9F31" w:rsidRPr="00ED0973">
        <w:rPr>
          <w:color w:val="000000" w:themeColor="text1"/>
          <w:sz w:val="24"/>
          <w:szCs w:val="24"/>
        </w:rPr>
        <w:t xml:space="preserve"> (para 2). Then, the key challenges from the point of EU la</w:t>
      </w:r>
      <w:r w:rsidR="005D0940">
        <w:rPr>
          <w:color w:val="000000" w:themeColor="text1"/>
          <w:sz w:val="24"/>
          <w:szCs w:val="24"/>
        </w:rPr>
        <w:t>w will be dealt with</w:t>
      </w:r>
      <w:r w:rsidR="007A17CB">
        <w:rPr>
          <w:color w:val="000000" w:themeColor="text1"/>
          <w:sz w:val="24"/>
          <w:szCs w:val="24"/>
        </w:rPr>
        <w:t xml:space="preserve">. After </w:t>
      </w:r>
      <w:r w:rsidR="00E9483F">
        <w:rPr>
          <w:color w:val="000000" w:themeColor="text1"/>
          <w:sz w:val="24"/>
          <w:szCs w:val="24"/>
        </w:rPr>
        <w:t>a brief introduction about the ICS (para 3.1),</w:t>
      </w:r>
      <w:r w:rsidR="005D0940">
        <w:rPr>
          <w:color w:val="000000" w:themeColor="text1"/>
          <w:sz w:val="24"/>
          <w:szCs w:val="24"/>
        </w:rPr>
        <w:t xml:space="preserve"> </w:t>
      </w:r>
      <w:r w:rsidR="00917C98">
        <w:rPr>
          <w:color w:val="000000" w:themeColor="text1"/>
          <w:sz w:val="24"/>
          <w:szCs w:val="24"/>
        </w:rPr>
        <w:t>the autonomy o</w:t>
      </w:r>
      <w:r w:rsidR="00EF33A1">
        <w:rPr>
          <w:color w:val="000000" w:themeColor="text1"/>
          <w:sz w:val="24"/>
          <w:szCs w:val="24"/>
        </w:rPr>
        <w:t xml:space="preserve">f the EU legal order (para 3.2), </w:t>
      </w:r>
      <w:r w:rsidR="731A9F31" w:rsidRPr="00ED0973">
        <w:rPr>
          <w:color w:val="000000" w:themeColor="text1"/>
          <w:sz w:val="24"/>
          <w:szCs w:val="24"/>
        </w:rPr>
        <w:t>the issue of the exclusive competence of the CJEU to decide on claims regarding non-contractual liability of the EU</w:t>
      </w:r>
      <w:r w:rsidR="00917C98">
        <w:rPr>
          <w:color w:val="000000" w:themeColor="text1"/>
          <w:sz w:val="24"/>
          <w:szCs w:val="24"/>
        </w:rPr>
        <w:t xml:space="preserve"> (para 3.3)</w:t>
      </w:r>
      <w:r w:rsidR="0093144F" w:rsidRPr="00ED0973">
        <w:rPr>
          <w:color w:val="000000" w:themeColor="text1"/>
          <w:sz w:val="24"/>
          <w:szCs w:val="24"/>
        </w:rPr>
        <w:t>,</w:t>
      </w:r>
      <w:r w:rsidR="731A9F31" w:rsidRPr="00ED0973">
        <w:rPr>
          <w:color w:val="000000" w:themeColor="text1"/>
          <w:sz w:val="24"/>
          <w:szCs w:val="24"/>
        </w:rPr>
        <w:t xml:space="preserve"> the balancing of tra</w:t>
      </w:r>
      <w:r w:rsidR="005D0940">
        <w:rPr>
          <w:color w:val="000000" w:themeColor="text1"/>
          <w:sz w:val="24"/>
          <w:szCs w:val="24"/>
        </w:rPr>
        <w:t>de and environment issues</w:t>
      </w:r>
      <w:r w:rsidR="00EF33A1">
        <w:rPr>
          <w:color w:val="000000" w:themeColor="text1"/>
          <w:sz w:val="24"/>
          <w:szCs w:val="24"/>
        </w:rPr>
        <w:t xml:space="preserve"> (par</w:t>
      </w:r>
      <w:r w:rsidR="006550A0">
        <w:rPr>
          <w:color w:val="000000" w:themeColor="text1"/>
          <w:sz w:val="24"/>
          <w:szCs w:val="24"/>
        </w:rPr>
        <w:t xml:space="preserve">a 3.4), the </w:t>
      </w:r>
      <w:r w:rsidR="00AD3A07">
        <w:rPr>
          <w:color w:val="000000" w:themeColor="text1"/>
          <w:sz w:val="24"/>
          <w:szCs w:val="24"/>
        </w:rPr>
        <w:t xml:space="preserve">independency </w:t>
      </w:r>
      <w:r w:rsidR="00CC597D">
        <w:rPr>
          <w:color w:val="000000" w:themeColor="text1"/>
          <w:sz w:val="24"/>
          <w:szCs w:val="24"/>
        </w:rPr>
        <w:t xml:space="preserve">of ICS judges </w:t>
      </w:r>
      <w:r w:rsidR="00FF033F">
        <w:rPr>
          <w:color w:val="000000" w:themeColor="text1"/>
          <w:sz w:val="24"/>
          <w:szCs w:val="24"/>
        </w:rPr>
        <w:t xml:space="preserve">(para 3.5) and the </w:t>
      </w:r>
      <w:r w:rsidR="002E2AD9">
        <w:rPr>
          <w:color w:val="000000" w:themeColor="text1"/>
          <w:sz w:val="24"/>
          <w:szCs w:val="24"/>
        </w:rPr>
        <w:t>need for ISDS/ICS in agreements between the EU and Canada or the U.S.A.</w:t>
      </w:r>
      <w:r w:rsidR="00CE72DD">
        <w:rPr>
          <w:color w:val="000000" w:themeColor="text1"/>
          <w:sz w:val="24"/>
          <w:szCs w:val="24"/>
        </w:rPr>
        <w:t xml:space="preserve"> </w:t>
      </w:r>
      <w:r w:rsidR="000B56C6">
        <w:rPr>
          <w:color w:val="000000" w:themeColor="text1"/>
          <w:sz w:val="24"/>
          <w:szCs w:val="24"/>
        </w:rPr>
        <w:t xml:space="preserve">(para 3.6) </w:t>
      </w:r>
      <w:r w:rsidR="00CE72DD">
        <w:rPr>
          <w:color w:val="000000" w:themeColor="text1"/>
          <w:sz w:val="24"/>
          <w:szCs w:val="24"/>
        </w:rPr>
        <w:t>are discussed.</w:t>
      </w:r>
      <w:r w:rsidR="002E2AD9">
        <w:rPr>
          <w:color w:val="000000" w:themeColor="text1"/>
          <w:sz w:val="24"/>
          <w:szCs w:val="24"/>
        </w:rPr>
        <w:t xml:space="preserve"> </w:t>
      </w:r>
      <w:r w:rsidR="00CC597D">
        <w:rPr>
          <w:color w:val="000000" w:themeColor="text1"/>
          <w:sz w:val="24"/>
          <w:szCs w:val="24"/>
        </w:rPr>
        <w:t xml:space="preserve"> </w:t>
      </w:r>
      <w:r w:rsidR="731A9F31" w:rsidRPr="00ED0973">
        <w:rPr>
          <w:color w:val="000000" w:themeColor="text1"/>
          <w:sz w:val="24"/>
          <w:szCs w:val="24"/>
        </w:rPr>
        <w:t>Concluding remarks are presented in the final para</w:t>
      </w:r>
      <w:r w:rsidR="005D0940">
        <w:rPr>
          <w:color w:val="000000" w:themeColor="text1"/>
          <w:sz w:val="24"/>
          <w:szCs w:val="24"/>
        </w:rPr>
        <w:t>graph</w:t>
      </w:r>
      <w:r w:rsidR="731A9F31" w:rsidRPr="00ED0973">
        <w:rPr>
          <w:color w:val="000000" w:themeColor="text1"/>
          <w:sz w:val="24"/>
          <w:szCs w:val="24"/>
        </w:rPr>
        <w:t xml:space="preserve"> 4.</w:t>
      </w:r>
    </w:p>
    <w:p w14:paraId="204C91F4" w14:textId="69899839" w:rsidR="0098585B" w:rsidRPr="00EA16F0" w:rsidRDefault="731A9F31" w:rsidP="00212753">
      <w:pPr>
        <w:pStyle w:val="Kop1"/>
      </w:pPr>
      <w:r w:rsidRPr="00EA16F0">
        <w:t xml:space="preserve">2. </w:t>
      </w:r>
      <w:r w:rsidR="00443972" w:rsidRPr="00EA16F0">
        <w:t xml:space="preserve">A short history of </w:t>
      </w:r>
      <w:r w:rsidRPr="00EA16F0">
        <w:t>ISDS and the protection of public interests</w:t>
      </w:r>
    </w:p>
    <w:p w14:paraId="204C91F7" w14:textId="324F34F3" w:rsidR="004A69A1" w:rsidRPr="00ED0973" w:rsidRDefault="006C279A" w:rsidP="00D73158">
      <w:pPr>
        <w:widowControl w:val="0"/>
        <w:autoSpaceDE w:val="0"/>
        <w:autoSpaceDN w:val="0"/>
        <w:adjustRightInd w:val="0"/>
        <w:spacing w:after="0" w:line="240" w:lineRule="auto"/>
        <w:jc w:val="both"/>
        <w:rPr>
          <w:color w:val="000000" w:themeColor="text1"/>
          <w:sz w:val="24"/>
          <w:szCs w:val="24"/>
        </w:rPr>
      </w:pPr>
      <w:r>
        <w:rPr>
          <w:color w:val="000000" w:themeColor="text1"/>
          <w:sz w:val="24"/>
          <w:szCs w:val="24"/>
        </w:rPr>
        <w:t>A</w:t>
      </w:r>
      <w:r w:rsidR="00531AE7" w:rsidRPr="00ED0973">
        <w:rPr>
          <w:color w:val="000000" w:themeColor="text1"/>
          <w:sz w:val="24"/>
          <w:szCs w:val="24"/>
        </w:rPr>
        <w:t>rgument</w:t>
      </w:r>
      <w:r>
        <w:rPr>
          <w:color w:val="000000" w:themeColor="text1"/>
          <w:sz w:val="24"/>
          <w:szCs w:val="24"/>
        </w:rPr>
        <w:t>s</w:t>
      </w:r>
      <w:r w:rsidR="00531AE7" w:rsidRPr="00ED0973">
        <w:rPr>
          <w:color w:val="000000" w:themeColor="text1"/>
          <w:sz w:val="24"/>
          <w:szCs w:val="24"/>
        </w:rPr>
        <w:t xml:space="preserve"> </w:t>
      </w:r>
      <w:r w:rsidR="00A931BD" w:rsidRPr="00ED0973">
        <w:rPr>
          <w:color w:val="000000" w:themeColor="text1"/>
          <w:sz w:val="24"/>
          <w:szCs w:val="24"/>
        </w:rPr>
        <w:t xml:space="preserve">in favour of </w:t>
      </w:r>
      <w:r w:rsidR="00B763F1">
        <w:rPr>
          <w:color w:val="000000" w:themeColor="text1"/>
          <w:sz w:val="24"/>
          <w:szCs w:val="24"/>
        </w:rPr>
        <w:t xml:space="preserve">the inclusion of </w:t>
      </w:r>
      <w:r w:rsidR="00A931BD" w:rsidRPr="00ED0973">
        <w:rPr>
          <w:color w:val="000000" w:themeColor="text1"/>
          <w:sz w:val="24"/>
          <w:szCs w:val="24"/>
        </w:rPr>
        <w:t xml:space="preserve">ISDS </w:t>
      </w:r>
      <w:r w:rsidR="00B763F1">
        <w:rPr>
          <w:color w:val="000000" w:themeColor="text1"/>
          <w:sz w:val="24"/>
          <w:szCs w:val="24"/>
        </w:rPr>
        <w:t xml:space="preserve">mechanisms </w:t>
      </w:r>
      <w:r w:rsidR="00E70136" w:rsidRPr="00ED0973">
        <w:rPr>
          <w:color w:val="000000" w:themeColor="text1"/>
          <w:sz w:val="24"/>
          <w:szCs w:val="24"/>
        </w:rPr>
        <w:t xml:space="preserve">that can be encountered </w:t>
      </w:r>
      <w:r w:rsidR="00A931BD" w:rsidRPr="00ED0973">
        <w:rPr>
          <w:color w:val="000000" w:themeColor="text1"/>
          <w:sz w:val="24"/>
          <w:szCs w:val="24"/>
        </w:rPr>
        <w:t xml:space="preserve">frequently </w:t>
      </w:r>
      <w:r>
        <w:rPr>
          <w:color w:val="000000" w:themeColor="text1"/>
          <w:sz w:val="24"/>
          <w:szCs w:val="24"/>
        </w:rPr>
        <w:t>are</w:t>
      </w:r>
      <w:r w:rsidR="00531AE7" w:rsidRPr="00ED0973">
        <w:rPr>
          <w:color w:val="000000" w:themeColor="text1"/>
          <w:sz w:val="24"/>
          <w:szCs w:val="24"/>
        </w:rPr>
        <w:t xml:space="preserve"> tha</w:t>
      </w:r>
      <w:r w:rsidR="00E343A0" w:rsidRPr="00ED0973">
        <w:rPr>
          <w:color w:val="000000" w:themeColor="text1"/>
          <w:sz w:val="24"/>
          <w:szCs w:val="24"/>
        </w:rPr>
        <w:t xml:space="preserve">t </w:t>
      </w:r>
      <w:r w:rsidR="00E70136" w:rsidRPr="00ED0973">
        <w:rPr>
          <w:color w:val="000000" w:themeColor="text1"/>
          <w:sz w:val="24"/>
          <w:szCs w:val="24"/>
        </w:rPr>
        <w:t>it</w:t>
      </w:r>
      <w:r w:rsidR="00E343A0" w:rsidRPr="00ED0973">
        <w:rPr>
          <w:color w:val="000000" w:themeColor="text1"/>
          <w:sz w:val="24"/>
          <w:szCs w:val="24"/>
        </w:rPr>
        <w:t xml:space="preserve"> ha</w:t>
      </w:r>
      <w:r w:rsidR="00EF2927" w:rsidRPr="00ED0973">
        <w:rPr>
          <w:color w:val="000000" w:themeColor="text1"/>
          <w:sz w:val="24"/>
          <w:szCs w:val="24"/>
        </w:rPr>
        <w:t xml:space="preserve">s been around </w:t>
      </w:r>
      <w:r w:rsidR="005E7BEB" w:rsidRPr="00ED0973">
        <w:rPr>
          <w:color w:val="000000" w:themeColor="text1"/>
          <w:sz w:val="24"/>
          <w:szCs w:val="24"/>
        </w:rPr>
        <w:t xml:space="preserve">in </w:t>
      </w:r>
      <w:r>
        <w:rPr>
          <w:color w:val="000000" w:themeColor="text1"/>
          <w:sz w:val="24"/>
          <w:szCs w:val="24"/>
        </w:rPr>
        <w:t>Bilateral Investment Treaties (</w:t>
      </w:r>
      <w:r w:rsidR="005E7BEB" w:rsidRPr="00ED0973">
        <w:rPr>
          <w:color w:val="000000" w:themeColor="text1"/>
          <w:sz w:val="24"/>
          <w:szCs w:val="24"/>
        </w:rPr>
        <w:t>BITs</w:t>
      </w:r>
      <w:r>
        <w:rPr>
          <w:color w:val="000000" w:themeColor="text1"/>
          <w:sz w:val="24"/>
          <w:szCs w:val="24"/>
        </w:rPr>
        <w:t>)</w:t>
      </w:r>
      <w:r w:rsidR="005E7BEB" w:rsidRPr="00ED0973">
        <w:rPr>
          <w:color w:val="000000" w:themeColor="text1"/>
          <w:sz w:val="24"/>
          <w:szCs w:val="24"/>
        </w:rPr>
        <w:t xml:space="preserve"> since 1959,</w:t>
      </w:r>
      <w:r w:rsidR="00CB6199" w:rsidRPr="00ED0973">
        <w:rPr>
          <w:color w:val="000000" w:themeColor="text1"/>
          <w:sz w:val="24"/>
          <w:szCs w:val="24"/>
          <w:vertAlign w:val="superscript"/>
        </w:rPr>
        <w:footnoteReference w:id="16"/>
      </w:r>
      <w:r w:rsidR="005E7BEB" w:rsidRPr="00ED0973">
        <w:rPr>
          <w:color w:val="000000" w:themeColor="text1"/>
          <w:sz w:val="24"/>
          <w:szCs w:val="24"/>
        </w:rPr>
        <w:t xml:space="preserve"> </w:t>
      </w:r>
      <w:r w:rsidR="00355864" w:rsidRPr="00ED0973">
        <w:rPr>
          <w:color w:val="000000" w:themeColor="text1"/>
          <w:sz w:val="24"/>
          <w:szCs w:val="24"/>
        </w:rPr>
        <w:t xml:space="preserve">or </w:t>
      </w:r>
      <w:r w:rsidR="00A276F6" w:rsidRPr="00ED0973">
        <w:rPr>
          <w:color w:val="000000" w:themeColor="text1"/>
          <w:sz w:val="24"/>
          <w:szCs w:val="24"/>
        </w:rPr>
        <w:t xml:space="preserve">since </w:t>
      </w:r>
      <w:r w:rsidR="00F903B9" w:rsidRPr="00ED0973">
        <w:rPr>
          <w:color w:val="000000" w:themeColor="text1"/>
          <w:sz w:val="24"/>
          <w:szCs w:val="24"/>
        </w:rPr>
        <w:t>the mid-20</w:t>
      </w:r>
      <w:r w:rsidR="00F903B9" w:rsidRPr="00ED0973">
        <w:rPr>
          <w:color w:val="000000" w:themeColor="text1"/>
          <w:sz w:val="24"/>
          <w:szCs w:val="24"/>
          <w:vertAlign w:val="superscript"/>
        </w:rPr>
        <w:t>th</w:t>
      </w:r>
      <w:r w:rsidR="003D7C1B">
        <w:rPr>
          <w:color w:val="000000" w:themeColor="text1"/>
          <w:sz w:val="24"/>
          <w:szCs w:val="24"/>
        </w:rPr>
        <w:t xml:space="preserve"> c</w:t>
      </w:r>
      <w:r w:rsidR="00F903B9" w:rsidRPr="00ED0973">
        <w:rPr>
          <w:color w:val="000000" w:themeColor="text1"/>
          <w:sz w:val="24"/>
          <w:szCs w:val="24"/>
        </w:rPr>
        <w:t>entury</w:t>
      </w:r>
      <w:r w:rsidR="00954179" w:rsidRPr="00ED0973">
        <w:rPr>
          <w:color w:val="000000" w:themeColor="text1"/>
          <w:sz w:val="24"/>
          <w:szCs w:val="24"/>
        </w:rPr>
        <w:t>,</w:t>
      </w:r>
      <w:r w:rsidR="009C4403" w:rsidRPr="00ED0973">
        <w:rPr>
          <w:rStyle w:val="Voetnootmarkering"/>
          <w:color w:val="000000" w:themeColor="text1"/>
          <w:sz w:val="24"/>
          <w:szCs w:val="24"/>
        </w:rPr>
        <w:footnoteReference w:id="17"/>
      </w:r>
      <w:r w:rsidR="00954179" w:rsidRPr="00ED0973">
        <w:rPr>
          <w:color w:val="000000" w:themeColor="text1"/>
          <w:sz w:val="24"/>
          <w:szCs w:val="24"/>
        </w:rPr>
        <w:t xml:space="preserve"> </w:t>
      </w:r>
      <w:r w:rsidR="00E343A0" w:rsidRPr="00ED0973">
        <w:rPr>
          <w:color w:val="000000" w:themeColor="text1"/>
          <w:sz w:val="24"/>
          <w:szCs w:val="24"/>
        </w:rPr>
        <w:t xml:space="preserve">and </w:t>
      </w:r>
      <w:r w:rsidR="007F0C43" w:rsidRPr="00ED0973">
        <w:rPr>
          <w:color w:val="000000" w:themeColor="text1"/>
          <w:sz w:val="24"/>
          <w:szCs w:val="24"/>
        </w:rPr>
        <w:t xml:space="preserve">that </w:t>
      </w:r>
      <w:r w:rsidR="00E343A0" w:rsidRPr="00ED0973">
        <w:rPr>
          <w:color w:val="000000" w:themeColor="text1"/>
          <w:sz w:val="24"/>
          <w:szCs w:val="24"/>
        </w:rPr>
        <w:t>no-one has criticised these older treaties.</w:t>
      </w:r>
      <w:r w:rsidR="00E343A0" w:rsidRPr="00ED0973">
        <w:rPr>
          <w:rStyle w:val="Voetnootmarkering"/>
          <w:color w:val="000000" w:themeColor="text1"/>
          <w:sz w:val="24"/>
          <w:szCs w:val="24"/>
        </w:rPr>
        <w:footnoteReference w:id="18"/>
      </w:r>
      <w:r w:rsidR="00E343A0" w:rsidRPr="00ED0973">
        <w:rPr>
          <w:color w:val="000000" w:themeColor="text1"/>
          <w:sz w:val="24"/>
          <w:szCs w:val="24"/>
        </w:rPr>
        <w:t xml:space="preserve"> </w:t>
      </w:r>
      <w:r w:rsidR="002014DD" w:rsidRPr="00ED0973">
        <w:rPr>
          <w:color w:val="000000" w:themeColor="text1"/>
          <w:sz w:val="24"/>
          <w:szCs w:val="24"/>
        </w:rPr>
        <w:t xml:space="preserve">In </w:t>
      </w:r>
      <w:r w:rsidR="003606D1" w:rsidRPr="00ED0973">
        <w:rPr>
          <w:color w:val="000000" w:themeColor="text1"/>
          <w:sz w:val="24"/>
          <w:szCs w:val="24"/>
        </w:rPr>
        <w:t xml:space="preserve">reality, </w:t>
      </w:r>
      <w:r w:rsidR="001E7DA8">
        <w:rPr>
          <w:color w:val="000000" w:themeColor="text1"/>
          <w:sz w:val="24"/>
          <w:szCs w:val="24"/>
        </w:rPr>
        <w:t xml:space="preserve">critique exists </w:t>
      </w:r>
      <w:r w:rsidR="00E645E0">
        <w:rPr>
          <w:color w:val="000000" w:themeColor="text1"/>
          <w:sz w:val="24"/>
          <w:szCs w:val="24"/>
        </w:rPr>
        <w:t xml:space="preserve">at least </w:t>
      </w:r>
      <w:r w:rsidR="001E7DA8">
        <w:rPr>
          <w:color w:val="000000" w:themeColor="text1"/>
          <w:sz w:val="24"/>
          <w:szCs w:val="24"/>
        </w:rPr>
        <w:t>since the late 1990’s when NAFTA came into being.</w:t>
      </w:r>
      <w:r w:rsidR="001E7DA8">
        <w:rPr>
          <w:rStyle w:val="Voetnootmarkering"/>
          <w:color w:val="000000" w:themeColor="text1"/>
          <w:sz w:val="24"/>
          <w:szCs w:val="24"/>
        </w:rPr>
        <w:footnoteReference w:id="19"/>
      </w:r>
      <w:r w:rsidR="001E7DA8">
        <w:rPr>
          <w:color w:val="000000" w:themeColor="text1"/>
          <w:sz w:val="24"/>
          <w:szCs w:val="24"/>
        </w:rPr>
        <w:t xml:space="preserve"> </w:t>
      </w:r>
      <w:r w:rsidR="00E645E0">
        <w:rPr>
          <w:color w:val="000000" w:themeColor="text1"/>
          <w:sz w:val="24"/>
          <w:szCs w:val="24"/>
        </w:rPr>
        <w:t>As for the 1959 myth</w:t>
      </w:r>
      <w:r>
        <w:rPr>
          <w:color w:val="000000" w:themeColor="text1"/>
          <w:sz w:val="24"/>
          <w:szCs w:val="24"/>
        </w:rPr>
        <w:t xml:space="preserve">, </w:t>
      </w:r>
      <w:r w:rsidR="002014DD" w:rsidRPr="00ED0973">
        <w:rPr>
          <w:color w:val="000000" w:themeColor="text1"/>
          <w:sz w:val="24"/>
          <w:szCs w:val="24"/>
        </w:rPr>
        <w:t>Germany and Pakistan concluded the first ever BIT</w:t>
      </w:r>
      <w:r>
        <w:rPr>
          <w:color w:val="000000" w:themeColor="text1"/>
          <w:sz w:val="24"/>
          <w:szCs w:val="24"/>
        </w:rPr>
        <w:t xml:space="preserve"> in that year</w:t>
      </w:r>
      <w:r w:rsidR="008F037C" w:rsidRPr="00ED0973">
        <w:rPr>
          <w:color w:val="000000" w:themeColor="text1"/>
          <w:sz w:val="24"/>
          <w:szCs w:val="24"/>
        </w:rPr>
        <w:t>,</w:t>
      </w:r>
      <w:r w:rsidR="002014DD" w:rsidRPr="00ED0973">
        <w:rPr>
          <w:color w:val="000000" w:themeColor="text1"/>
          <w:sz w:val="24"/>
          <w:szCs w:val="24"/>
          <w:vertAlign w:val="superscript"/>
        </w:rPr>
        <w:footnoteReference w:id="20"/>
      </w:r>
      <w:r>
        <w:rPr>
          <w:color w:val="000000" w:themeColor="text1"/>
          <w:sz w:val="24"/>
          <w:szCs w:val="24"/>
        </w:rPr>
        <w:t xml:space="preserve"> but it</w:t>
      </w:r>
      <w:r w:rsidR="008F037C" w:rsidRPr="00ED0973">
        <w:rPr>
          <w:color w:val="000000" w:themeColor="text1"/>
          <w:sz w:val="24"/>
          <w:szCs w:val="24"/>
        </w:rPr>
        <w:t xml:space="preserve"> did not contain </w:t>
      </w:r>
      <w:r w:rsidR="008F037C" w:rsidRPr="00ED0973">
        <w:rPr>
          <w:color w:val="000000" w:themeColor="text1"/>
          <w:sz w:val="24"/>
          <w:szCs w:val="24"/>
        </w:rPr>
        <w:lastRenderedPageBreak/>
        <w:t>ISDS provisions.</w:t>
      </w:r>
      <w:r w:rsidR="003378CF" w:rsidRPr="00ED0973">
        <w:rPr>
          <w:color w:val="000000" w:themeColor="text1"/>
          <w:sz w:val="24"/>
          <w:szCs w:val="24"/>
        </w:rPr>
        <w:t xml:space="preserve"> </w:t>
      </w:r>
      <w:r w:rsidR="001D5A81">
        <w:rPr>
          <w:color w:val="000000" w:themeColor="text1"/>
          <w:sz w:val="24"/>
          <w:szCs w:val="24"/>
        </w:rPr>
        <w:t>T</w:t>
      </w:r>
      <w:r w:rsidR="00D7237A" w:rsidRPr="00ED0973">
        <w:rPr>
          <w:color w:val="000000" w:themeColor="text1"/>
          <w:sz w:val="24"/>
          <w:szCs w:val="24"/>
        </w:rPr>
        <w:t>he 1970 BIT between the Netherlands and Kenya,</w:t>
      </w:r>
      <w:r w:rsidR="00D7237A" w:rsidRPr="00ED0973">
        <w:rPr>
          <w:color w:val="000000" w:themeColor="text1"/>
          <w:sz w:val="24"/>
          <w:szCs w:val="24"/>
          <w:vertAlign w:val="superscript"/>
        </w:rPr>
        <w:footnoteReference w:id="21"/>
      </w:r>
      <w:r w:rsidR="00D7237A" w:rsidRPr="00ED0973">
        <w:rPr>
          <w:color w:val="000000" w:themeColor="text1"/>
          <w:sz w:val="24"/>
          <w:szCs w:val="24"/>
        </w:rPr>
        <w:t xml:space="preserve"> mentioned by </w:t>
      </w:r>
      <w:r w:rsidR="00460F7C" w:rsidRPr="00ED0973">
        <w:rPr>
          <w:color w:val="000000" w:themeColor="text1"/>
          <w:sz w:val="24"/>
          <w:szCs w:val="24"/>
        </w:rPr>
        <w:t>an MEP involved in trade issues</w:t>
      </w:r>
      <w:r w:rsidR="00D7237A" w:rsidRPr="00ED0973">
        <w:rPr>
          <w:color w:val="000000" w:themeColor="text1"/>
          <w:sz w:val="24"/>
          <w:szCs w:val="24"/>
          <w:vertAlign w:val="superscript"/>
        </w:rPr>
        <w:footnoteReference w:id="22"/>
      </w:r>
      <w:r w:rsidR="00F9657F" w:rsidRPr="00ED0973">
        <w:rPr>
          <w:color w:val="000000" w:themeColor="text1"/>
          <w:sz w:val="24"/>
          <w:szCs w:val="24"/>
        </w:rPr>
        <w:t xml:space="preserve"> as an early </w:t>
      </w:r>
      <w:r w:rsidR="003606D1" w:rsidRPr="00ED0973">
        <w:rPr>
          <w:color w:val="000000" w:themeColor="text1"/>
          <w:sz w:val="24"/>
          <w:szCs w:val="24"/>
        </w:rPr>
        <w:t xml:space="preserve">ISDS </w:t>
      </w:r>
      <w:r w:rsidR="00F9657F" w:rsidRPr="00ED0973">
        <w:rPr>
          <w:color w:val="000000" w:themeColor="text1"/>
          <w:sz w:val="24"/>
          <w:szCs w:val="24"/>
        </w:rPr>
        <w:t>reference</w:t>
      </w:r>
      <w:r w:rsidR="009B4781" w:rsidRPr="00ED0973">
        <w:rPr>
          <w:color w:val="000000" w:themeColor="text1"/>
          <w:sz w:val="24"/>
          <w:szCs w:val="24"/>
        </w:rPr>
        <w:t>,</w:t>
      </w:r>
      <w:r w:rsidR="00B43567" w:rsidRPr="00ED0973">
        <w:rPr>
          <w:color w:val="000000" w:themeColor="text1"/>
          <w:sz w:val="24"/>
          <w:szCs w:val="24"/>
        </w:rPr>
        <w:t xml:space="preserve"> </w:t>
      </w:r>
      <w:r w:rsidR="003378CF" w:rsidRPr="00ED0973">
        <w:rPr>
          <w:color w:val="000000" w:themeColor="text1"/>
          <w:sz w:val="24"/>
          <w:szCs w:val="24"/>
        </w:rPr>
        <w:t xml:space="preserve">also </w:t>
      </w:r>
      <w:r w:rsidR="00D7237A" w:rsidRPr="00ED0973">
        <w:rPr>
          <w:color w:val="000000" w:themeColor="text1"/>
          <w:sz w:val="24"/>
          <w:szCs w:val="24"/>
        </w:rPr>
        <w:t xml:space="preserve">does not </w:t>
      </w:r>
      <w:r w:rsidR="00D7237A" w:rsidRPr="00ED0973">
        <w:rPr>
          <w:i/>
          <w:iCs/>
          <w:color w:val="000000" w:themeColor="text1"/>
          <w:sz w:val="24"/>
          <w:szCs w:val="24"/>
        </w:rPr>
        <w:t>oblige</w:t>
      </w:r>
      <w:r w:rsidR="00D7237A" w:rsidRPr="00ED0973">
        <w:rPr>
          <w:color w:val="000000" w:themeColor="text1"/>
          <w:sz w:val="24"/>
          <w:szCs w:val="24"/>
        </w:rPr>
        <w:t xml:space="preserve"> the par</w:t>
      </w:r>
      <w:r w:rsidR="003378CF" w:rsidRPr="00ED0973">
        <w:rPr>
          <w:color w:val="000000" w:themeColor="text1"/>
          <w:sz w:val="24"/>
          <w:szCs w:val="24"/>
        </w:rPr>
        <w:t xml:space="preserve">ties to agree with </w:t>
      </w:r>
      <w:r w:rsidR="00D7237A" w:rsidRPr="00ED0973">
        <w:rPr>
          <w:color w:val="000000" w:themeColor="text1"/>
          <w:sz w:val="24"/>
          <w:szCs w:val="24"/>
        </w:rPr>
        <w:t>arbitration</w:t>
      </w:r>
      <w:r w:rsidR="005160BC" w:rsidRPr="00ED0973">
        <w:rPr>
          <w:color w:val="000000" w:themeColor="text1"/>
          <w:sz w:val="24"/>
          <w:szCs w:val="24"/>
        </w:rPr>
        <w:t xml:space="preserve"> in cases where an investor objects to the way in which he is treated by the host state</w:t>
      </w:r>
      <w:r w:rsidR="00B43567" w:rsidRPr="00ED0973">
        <w:rPr>
          <w:color w:val="000000" w:themeColor="text1"/>
          <w:sz w:val="24"/>
          <w:szCs w:val="24"/>
        </w:rPr>
        <w:t xml:space="preserve">. </w:t>
      </w:r>
      <w:r w:rsidR="00E64FBE" w:rsidRPr="00ED0973">
        <w:rPr>
          <w:color w:val="000000" w:themeColor="text1"/>
          <w:sz w:val="24"/>
          <w:szCs w:val="24"/>
        </w:rPr>
        <w:t xml:space="preserve">The </w:t>
      </w:r>
      <w:r w:rsidR="001B789C" w:rsidRPr="00ED0973">
        <w:rPr>
          <w:color w:val="000000" w:themeColor="text1"/>
          <w:sz w:val="24"/>
          <w:szCs w:val="24"/>
        </w:rPr>
        <w:t>earliest example of a treaty with</w:t>
      </w:r>
      <w:r w:rsidR="00EE6CC4" w:rsidRPr="00ED0973">
        <w:rPr>
          <w:color w:val="000000" w:themeColor="text1"/>
          <w:sz w:val="24"/>
          <w:szCs w:val="24"/>
        </w:rPr>
        <w:t xml:space="preserve"> an ISDS </w:t>
      </w:r>
      <w:r w:rsidR="00E64FBE" w:rsidRPr="00ED0973">
        <w:rPr>
          <w:color w:val="000000" w:themeColor="text1"/>
          <w:sz w:val="24"/>
          <w:szCs w:val="24"/>
        </w:rPr>
        <w:t xml:space="preserve">clause </w:t>
      </w:r>
      <w:r w:rsidR="00DC0CE3">
        <w:rPr>
          <w:color w:val="000000" w:themeColor="text1"/>
          <w:sz w:val="24"/>
          <w:szCs w:val="24"/>
        </w:rPr>
        <w:t>that obliges the host state to accept</w:t>
      </w:r>
      <w:r w:rsidR="0032772E">
        <w:rPr>
          <w:color w:val="000000" w:themeColor="text1"/>
          <w:sz w:val="24"/>
          <w:szCs w:val="24"/>
        </w:rPr>
        <w:t xml:space="preserve"> this form of</w:t>
      </w:r>
      <w:r w:rsidR="00DC0CE3">
        <w:rPr>
          <w:color w:val="000000" w:themeColor="text1"/>
          <w:sz w:val="24"/>
          <w:szCs w:val="24"/>
        </w:rPr>
        <w:t xml:space="preserve"> </w:t>
      </w:r>
      <w:r w:rsidR="0032772E">
        <w:rPr>
          <w:color w:val="000000" w:themeColor="text1"/>
          <w:sz w:val="24"/>
          <w:szCs w:val="24"/>
        </w:rPr>
        <w:t xml:space="preserve">arbitration </w:t>
      </w:r>
      <w:r w:rsidR="005850C0" w:rsidRPr="00ED0973">
        <w:rPr>
          <w:color w:val="000000" w:themeColor="text1"/>
          <w:sz w:val="24"/>
          <w:szCs w:val="24"/>
        </w:rPr>
        <w:t>seems to be</w:t>
      </w:r>
      <w:r w:rsidR="00E64FBE" w:rsidRPr="00ED0973">
        <w:rPr>
          <w:color w:val="000000" w:themeColor="text1"/>
          <w:sz w:val="24"/>
          <w:szCs w:val="24"/>
        </w:rPr>
        <w:t xml:space="preserve"> the </w:t>
      </w:r>
      <w:r w:rsidR="00EE6CC4" w:rsidRPr="00ED0973">
        <w:rPr>
          <w:color w:val="000000" w:themeColor="text1"/>
          <w:sz w:val="24"/>
          <w:szCs w:val="24"/>
        </w:rPr>
        <w:t xml:space="preserve">1968 Netherlands–Indonesia </w:t>
      </w:r>
      <w:r w:rsidR="00A931BD" w:rsidRPr="00ED0973">
        <w:rPr>
          <w:color w:val="000000" w:themeColor="text1"/>
          <w:sz w:val="24"/>
          <w:szCs w:val="24"/>
        </w:rPr>
        <w:t>BIT</w:t>
      </w:r>
      <w:r w:rsidR="00E64FBE" w:rsidRPr="00ED0973">
        <w:rPr>
          <w:color w:val="000000" w:themeColor="text1"/>
          <w:sz w:val="24"/>
          <w:szCs w:val="24"/>
        </w:rPr>
        <w:t>.</w:t>
      </w:r>
      <w:r w:rsidR="00C4098E" w:rsidRPr="00ED0973">
        <w:rPr>
          <w:rStyle w:val="Voetnootmarkering"/>
          <w:color w:val="000000" w:themeColor="text1"/>
          <w:sz w:val="24"/>
          <w:szCs w:val="24"/>
        </w:rPr>
        <w:footnoteReference w:id="23"/>
      </w:r>
      <w:r w:rsidR="0032772E">
        <w:rPr>
          <w:color w:val="000000" w:themeColor="text1"/>
          <w:sz w:val="24"/>
          <w:szCs w:val="24"/>
        </w:rPr>
        <w:t xml:space="preserve"> </w:t>
      </w:r>
    </w:p>
    <w:p w14:paraId="59F3FA9D" w14:textId="2014796D" w:rsidR="009139C7" w:rsidRPr="00ED0973" w:rsidRDefault="00A931BD" w:rsidP="00F948D1">
      <w:pPr>
        <w:spacing w:after="0" w:line="240" w:lineRule="auto"/>
        <w:jc w:val="both"/>
        <w:rPr>
          <w:color w:val="000000" w:themeColor="text1"/>
          <w:sz w:val="24"/>
          <w:szCs w:val="24"/>
        </w:rPr>
      </w:pPr>
      <w:r w:rsidRPr="00ED0973">
        <w:rPr>
          <w:color w:val="000000" w:themeColor="text1"/>
          <w:sz w:val="24"/>
          <w:szCs w:val="24"/>
        </w:rPr>
        <w:tab/>
      </w:r>
      <w:r w:rsidR="001D5A81">
        <w:rPr>
          <w:color w:val="000000" w:themeColor="text1"/>
          <w:sz w:val="24"/>
          <w:szCs w:val="24"/>
        </w:rPr>
        <w:t>O</w:t>
      </w:r>
      <w:r w:rsidR="00B763F1">
        <w:rPr>
          <w:color w:val="000000" w:themeColor="text1"/>
          <w:sz w:val="24"/>
          <w:szCs w:val="24"/>
        </w:rPr>
        <w:t>nly by the</w:t>
      </w:r>
      <w:r w:rsidR="00C3636E" w:rsidRPr="00ED0973">
        <w:rPr>
          <w:color w:val="000000" w:themeColor="text1"/>
          <w:sz w:val="24"/>
          <w:szCs w:val="24"/>
        </w:rPr>
        <w:t xml:space="preserve"> 1990</w:t>
      </w:r>
      <w:r w:rsidR="00CE1841" w:rsidRPr="00ED0973">
        <w:rPr>
          <w:color w:val="000000" w:themeColor="text1"/>
          <w:sz w:val="24"/>
          <w:szCs w:val="24"/>
        </w:rPr>
        <w:t>s did ISDS emerge</w:t>
      </w:r>
      <w:r w:rsidR="00B763F1">
        <w:rPr>
          <w:color w:val="000000" w:themeColor="text1"/>
          <w:sz w:val="24"/>
          <w:szCs w:val="24"/>
        </w:rPr>
        <w:t xml:space="preserve"> as </w:t>
      </w:r>
      <w:r w:rsidR="00D7237A" w:rsidRPr="00ED0973">
        <w:rPr>
          <w:color w:val="000000" w:themeColor="text1"/>
          <w:sz w:val="24"/>
          <w:szCs w:val="24"/>
        </w:rPr>
        <w:t xml:space="preserve">a standard part of </w:t>
      </w:r>
      <w:r w:rsidR="007D7D00" w:rsidRPr="00ED0973">
        <w:rPr>
          <w:color w:val="000000" w:themeColor="text1"/>
          <w:sz w:val="24"/>
          <w:szCs w:val="24"/>
        </w:rPr>
        <w:t xml:space="preserve">the majority of </w:t>
      </w:r>
      <w:r w:rsidR="00D7237A" w:rsidRPr="00ED0973">
        <w:rPr>
          <w:color w:val="000000" w:themeColor="text1"/>
          <w:sz w:val="24"/>
          <w:szCs w:val="24"/>
        </w:rPr>
        <w:t>investment protection treaties.</w:t>
      </w:r>
      <w:r w:rsidR="00D7237A" w:rsidRPr="00ED0973">
        <w:rPr>
          <w:color w:val="000000" w:themeColor="text1"/>
          <w:sz w:val="24"/>
          <w:szCs w:val="24"/>
          <w:vertAlign w:val="superscript"/>
        </w:rPr>
        <w:footnoteReference w:id="24"/>
      </w:r>
      <w:r w:rsidR="001D5A81">
        <w:rPr>
          <w:color w:val="000000" w:themeColor="text1"/>
          <w:sz w:val="24"/>
          <w:szCs w:val="24"/>
        </w:rPr>
        <w:t xml:space="preserve"> At the start, </w:t>
      </w:r>
      <w:r w:rsidR="00794B5A" w:rsidRPr="00ED0973">
        <w:rPr>
          <w:color w:val="000000" w:themeColor="text1"/>
          <w:sz w:val="24"/>
          <w:szCs w:val="24"/>
        </w:rPr>
        <w:t>BITs were usually concluded b</w:t>
      </w:r>
      <w:r w:rsidR="00B763F1">
        <w:rPr>
          <w:color w:val="000000" w:themeColor="text1"/>
          <w:sz w:val="24"/>
          <w:szCs w:val="24"/>
        </w:rPr>
        <w:t>etween capital-exporting</w:t>
      </w:r>
      <w:r w:rsidR="00C77A43" w:rsidRPr="00ED0973">
        <w:rPr>
          <w:color w:val="000000" w:themeColor="text1"/>
          <w:sz w:val="24"/>
          <w:szCs w:val="24"/>
        </w:rPr>
        <w:t xml:space="preserve"> countries and developing countries</w:t>
      </w:r>
      <w:r w:rsidR="001D5A81">
        <w:rPr>
          <w:color w:val="000000" w:themeColor="text1"/>
          <w:sz w:val="24"/>
          <w:szCs w:val="24"/>
        </w:rPr>
        <w:t xml:space="preserve">. </w:t>
      </w:r>
      <w:r w:rsidR="0032772E">
        <w:rPr>
          <w:color w:val="000000" w:themeColor="text1"/>
          <w:sz w:val="24"/>
          <w:szCs w:val="24"/>
        </w:rPr>
        <w:t>Only g</w:t>
      </w:r>
      <w:r w:rsidR="008F0122">
        <w:rPr>
          <w:color w:val="000000" w:themeColor="text1"/>
          <w:sz w:val="24"/>
          <w:szCs w:val="24"/>
        </w:rPr>
        <w:t>radually,</w:t>
      </w:r>
      <w:r w:rsidR="00C77A43" w:rsidRPr="00ED0973">
        <w:rPr>
          <w:color w:val="000000" w:themeColor="text1"/>
          <w:sz w:val="24"/>
          <w:szCs w:val="24"/>
        </w:rPr>
        <w:t xml:space="preserve"> BITs were also concluded</w:t>
      </w:r>
      <w:r w:rsidR="00520CC6" w:rsidRPr="00ED0973">
        <w:rPr>
          <w:color w:val="000000" w:themeColor="text1"/>
          <w:sz w:val="24"/>
          <w:szCs w:val="24"/>
        </w:rPr>
        <w:t xml:space="preserve"> between developed countries</w:t>
      </w:r>
      <w:r w:rsidR="00F12F3F" w:rsidRPr="00ED0973">
        <w:rPr>
          <w:color w:val="000000" w:themeColor="text1"/>
          <w:sz w:val="24"/>
          <w:szCs w:val="24"/>
        </w:rPr>
        <w:t>.</w:t>
      </w:r>
      <w:r w:rsidR="008F0122">
        <w:rPr>
          <w:color w:val="000000" w:themeColor="text1"/>
          <w:sz w:val="24"/>
          <w:szCs w:val="24"/>
        </w:rPr>
        <w:t xml:space="preserve"> </w:t>
      </w:r>
      <w:r w:rsidR="001A1E44">
        <w:rPr>
          <w:color w:val="000000" w:themeColor="text1"/>
          <w:sz w:val="24"/>
          <w:szCs w:val="24"/>
        </w:rPr>
        <w:t>More r</w:t>
      </w:r>
      <w:r w:rsidR="008F0122">
        <w:rPr>
          <w:color w:val="000000" w:themeColor="text1"/>
          <w:sz w:val="24"/>
          <w:szCs w:val="24"/>
        </w:rPr>
        <w:t xml:space="preserve">ecently, </w:t>
      </w:r>
      <w:r w:rsidR="001A1E44">
        <w:rPr>
          <w:color w:val="000000" w:themeColor="text1"/>
          <w:sz w:val="24"/>
          <w:szCs w:val="24"/>
        </w:rPr>
        <w:t xml:space="preserve">however, </w:t>
      </w:r>
      <w:r w:rsidR="00D031F1" w:rsidRPr="00ED0973">
        <w:rPr>
          <w:color w:val="000000" w:themeColor="text1"/>
          <w:sz w:val="24"/>
          <w:szCs w:val="24"/>
        </w:rPr>
        <w:t>a growing number of countries is tu</w:t>
      </w:r>
      <w:r w:rsidR="0055207F" w:rsidRPr="00ED0973">
        <w:rPr>
          <w:color w:val="000000" w:themeColor="text1"/>
          <w:sz w:val="24"/>
          <w:szCs w:val="24"/>
        </w:rPr>
        <w:t>rning away from ISDS mechanisms</w:t>
      </w:r>
      <w:r w:rsidR="001F79EB" w:rsidRPr="00ED0973">
        <w:rPr>
          <w:color w:val="000000" w:themeColor="text1"/>
          <w:sz w:val="24"/>
          <w:szCs w:val="24"/>
        </w:rPr>
        <w:t>.</w:t>
      </w:r>
      <w:r w:rsidR="001F79EB" w:rsidRPr="00ED0973">
        <w:rPr>
          <w:color w:val="000000" w:themeColor="text1"/>
          <w:sz w:val="24"/>
          <w:szCs w:val="24"/>
          <w:vertAlign w:val="superscript"/>
        </w:rPr>
        <w:footnoteReference w:id="25"/>
      </w:r>
      <w:r w:rsidR="001F79EB" w:rsidRPr="00ED0973">
        <w:rPr>
          <w:color w:val="000000" w:themeColor="text1"/>
          <w:sz w:val="24"/>
          <w:szCs w:val="24"/>
        </w:rPr>
        <w:t xml:space="preserve"> For a while, Australia also opposed ISDS provisions in its trade </w:t>
      </w:r>
      <w:r w:rsidR="0032331A">
        <w:rPr>
          <w:color w:val="000000" w:themeColor="text1"/>
          <w:sz w:val="24"/>
          <w:szCs w:val="24"/>
        </w:rPr>
        <w:t xml:space="preserve">agreements with other countries </w:t>
      </w:r>
      <w:r w:rsidR="004F3BD5">
        <w:rPr>
          <w:color w:val="000000" w:themeColor="text1"/>
          <w:sz w:val="24"/>
          <w:szCs w:val="24"/>
        </w:rPr>
        <w:t xml:space="preserve">categorically. </w:t>
      </w:r>
      <w:r w:rsidR="001F79EB" w:rsidRPr="00ED0973">
        <w:rPr>
          <w:color w:val="000000" w:themeColor="text1"/>
          <w:sz w:val="24"/>
          <w:szCs w:val="24"/>
        </w:rPr>
        <w:t xml:space="preserve"> </w:t>
      </w:r>
      <w:r w:rsidR="00E16E7A">
        <w:rPr>
          <w:color w:val="000000" w:themeColor="text1"/>
          <w:sz w:val="24"/>
          <w:szCs w:val="24"/>
        </w:rPr>
        <w:t>A</w:t>
      </w:r>
      <w:r w:rsidR="001F79EB" w:rsidRPr="00ED0973">
        <w:rPr>
          <w:color w:val="000000" w:themeColor="text1"/>
          <w:sz w:val="24"/>
          <w:szCs w:val="24"/>
        </w:rPr>
        <w:t>fter a change of government in 2013</w:t>
      </w:r>
      <w:r w:rsidR="00E16E7A">
        <w:rPr>
          <w:color w:val="000000" w:themeColor="text1"/>
          <w:sz w:val="24"/>
          <w:szCs w:val="24"/>
        </w:rPr>
        <w:t>,</w:t>
      </w:r>
      <w:r w:rsidR="001F79EB" w:rsidRPr="00ED0973">
        <w:rPr>
          <w:color w:val="000000" w:themeColor="text1"/>
          <w:sz w:val="24"/>
          <w:szCs w:val="24"/>
        </w:rPr>
        <w:t xml:space="preserve"> it </w:t>
      </w:r>
      <w:r w:rsidR="000D0612" w:rsidRPr="00ED0973">
        <w:rPr>
          <w:color w:val="000000" w:themeColor="text1"/>
          <w:sz w:val="24"/>
          <w:szCs w:val="24"/>
        </w:rPr>
        <w:t xml:space="preserve">introduced </w:t>
      </w:r>
      <w:r w:rsidR="001F79EB" w:rsidRPr="00ED0973">
        <w:rPr>
          <w:color w:val="000000" w:themeColor="text1"/>
          <w:sz w:val="24"/>
          <w:szCs w:val="24"/>
        </w:rPr>
        <w:t xml:space="preserve">an </w:t>
      </w:r>
      <w:r w:rsidR="00E16E7A">
        <w:rPr>
          <w:color w:val="000000" w:themeColor="text1"/>
          <w:sz w:val="24"/>
          <w:szCs w:val="24"/>
        </w:rPr>
        <w:t xml:space="preserve">interesting </w:t>
      </w:r>
      <w:r w:rsidR="001F79EB" w:rsidRPr="00ED0973">
        <w:rPr>
          <w:i/>
          <w:iCs/>
          <w:color w:val="000000" w:themeColor="text1"/>
          <w:sz w:val="24"/>
          <w:szCs w:val="24"/>
        </w:rPr>
        <w:t>ad hoc</w:t>
      </w:r>
      <w:r w:rsidR="001F79EB" w:rsidRPr="00ED0973">
        <w:rPr>
          <w:color w:val="000000" w:themeColor="text1"/>
          <w:sz w:val="24"/>
          <w:szCs w:val="24"/>
        </w:rPr>
        <w:t xml:space="preserve"> approach</w:t>
      </w:r>
      <w:r w:rsidR="008F0122">
        <w:rPr>
          <w:color w:val="000000" w:themeColor="text1"/>
          <w:sz w:val="24"/>
          <w:szCs w:val="24"/>
        </w:rPr>
        <w:t xml:space="preserve"> instead</w:t>
      </w:r>
      <w:r w:rsidR="001F79EB" w:rsidRPr="00ED0973">
        <w:rPr>
          <w:color w:val="000000" w:themeColor="text1"/>
          <w:sz w:val="24"/>
          <w:szCs w:val="24"/>
        </w:rPr>
        <w:t xml:space="preserve">. </w:t>
      </w:r>
      <w:r w:rsidR="004D1B57" w:rsidRPr="00ED0973">
        <w:rPr>
          <w:color w:val="000000" w:themeColor="text1"/>
          <w:sz w:val="24"/>
          <w:szCs w:val="24"/>
        </w:rPr>
        <w:t xml:space="preserve">When </w:t>
      </w:r>
      <w:r w:rsidR="000D151E">
        <w:rPr>
          <w:color w:val="000000" w:themeColor="text1"/>
          <w:sz w:val="24"/>
          <w:szCs w:val="24"/>
        </w:rPr>
        <w:t>entering</w:t>
      </w:r>
      <w:r w:rsidR="004D1B57" w:rsidRPr="00ED0973">
        <w:rPr>
          <w:color w:val="000000" w:themeColor="text1"/>
          <w:sz w:val="24"/>
          <w:szCs w:val="24"/>
        </w:rPr>
        <w:t xml:space="preserve"> </w:t>
      </w:r>
      <w:r w:rsidR="001F79EB" w:rsidRPr="00ED0973">
        <w:rPr>
          <w:color w:val="000000" w:themeColor="text1"/>
          <w:sz w:val="24"/>
          <w:szCs w:val="24"/>
        </w:rPr>
        <w:t xml:space="preserve">into </w:t>
      </w:r>
      <w:r w:rsidR="004D1B57" w:rsidRPr="00ED0973">
        <w:rPr>
          <w:color w:val="000000" w:themeColor="text1"/>
          <w:sz w:val="24"/>
          <w:szCs w:val="24"/>
        </w:rPr>
        <w:t xml:space="preserve">new </w:t>
      </w:r>
      <w:r w:rsidR="001F79EB" w:rsidRPr="00ED0973">
        <w:rPr>
          <w:color w:val="000000" w:themeColor="text1"/>
          <w:sz w:val="24"/>
          <w:szCs w:val="24"/>
        </w:rPr>
        <w:t>free trade agreements</w:t>
      </w:r>
      <w:r w:rsidR="000D151E">
        <w:rPr>
          <w:color w:val="000000" w:themeColor="text1"/>
          <w:sz w:val="24"/>
          <w:szCs w:val="24"/>
        </w:rPr>
        <w:t xml:space="preserve"> Australia now</w:t>
      </w:r>
      <w:r w:rsidR="004D1B57" w:rsidRPr="00ED0973">
        <w:rPr>
          <w:color w:val="000000" w:themeColor="text1"/>
          <w:sz w:val="24"/>
          <w:szCs w:val="24"/>
        </w:rPr>
        <w:t xml:space="preserve"> chooses </w:t>
      </w:r>
      <w:r w:rsidR="001F79EB" w:rsidRPr="00ED0973">
        <w:rPr>
          <w:color w:val="000000" w:themeColor="text1"/>
          <w:sz w:val="24"/>
          <w:szCs w:val="24"/>
        </w:rPr>
        <w:t>– depending on the specifi</w:t>
      </w:r>
      <w:r w:rsidR="00F60859" w:rsidRPr="00ED0973">
        <w:rPr>
          <w:color w:val="000000" w:themeColor="text1"/>
          <w:sz w:val="24"/>
          <w:szCs w:val="24"/>
        </w:rPr>
        <w:t xml:space="preserve">c circumstances </w:t>
      </w:r>
      <w:r w:rsidR="00BC1A70">
        <w:rPr>
          <w:color w:val="000000" w:themeColor="text1"/>
          <w:sz w:val="24"/>
          <w:szCs w:val="24"/>
        </w:rPr>
        <w:t>of the case</w:t>
      </w:r>
      <w:r w:rsidR="00EF1A13">
        <w:rPr>
          <w:color w:val="000000" w:themeColor="text1"/>
          <w:sz w:val="24"/>
          <w:szCs w:val="24"/>
        </w:rPr>
        <w:t xml:space="preserve"> </w:t>
      </w:r>
      <w:r w:rsidR="00F60859" w:rsidRPr="00ED0973">
        <w:rPr>
          <w:color w:val="000000" w:themeColor="text1"/>
          <w:sz w:val="24"/>
          <w:szCs w:val="24"/>
        </w:rPr>
        <w:t>– whether there is a need to</w:t>
      </w:r>
      <w:r w:rsidR="001F79EB" w:rsidRPr="00ED0973">
        <w:rPr>
          <w:color w:val="000000" w:themeColor="text1"/>
          <w:sz w:val="24"/>
          <w:szCs w:val="24"/>
        </w:rPr>
        <w:t xml:space="preserve"> include ISDS provisions.</w:t>
      </w:r>
      <w:r w:rsidR="00A22B91" w:rsidRPr="00ED0973">
        <w:rPr>
          <w:color w:val="000000" w:themeColor="text1"/>
          <w:sz w:val="24"/>
          <w:szCs w:val="24"/>
        </w:rPr>
        <w:t xml:space="preserve"> </w:t>
      </w:r>
      <w:r w:rsidR="001F79EB" w:rsidRPr="00ED0973">
        <w:rPr>
          <w:color w:val="000000" w:themeColor="text1"/>
          <w:sz w:val="24"/>
          <w:szCs w:val="24"/>
        </w:rPr>
        <w:t xml:space="preserve">Interestingly enough, this </w:t>
      </w:r>
      <w:r w:rsidR="00F60859" w:rsidRPr="00ED0973">
        <w:rPr>
          <w:color w:val="000000" w:themeColor="text1"/>
          <w:sz w:val="24"/>
          <w:szCs w:val="24"/>
        </w:rPr>
        <w:t xml:space="preserve">policy </w:t>
      </w:r>
      <w:r w:rsidR="001F79EB" w:rsidRPr="00ED0973">
        <w:rPr>
          <w:color w:val="000000" w:themeColor="text1"/>
          <w:sz w:val="24"/>
          <w:szCs w:val="24"/>
        </w:rPr>
        <w:t>did not stand in the way of a China-Australia agreement with ISDS provisions</w:t>
      </w:r>
      <w:r w:rsidR="00A80DA2" w:rsidRPr="00ED0973">
        <w:rPr>
          <w:color w:val="000000" w:themeColor="text1"/>
          <w:sz w:val="24"/>
          <w:szCs w:val="24"/>
        </w:rPr>
        <w:t>.</w:t>
      </w:r>
      <w:r w:rsidR="00A22B91" w:rsidRPr="00ED0973">
        <w:rPr>
          <w:color w:val="000000" w:themeColor="text1"/>
          <w:sz w:val="24"/>
          <w:szCs w:val="24"/>
          <w:vertAlign w:val="superscript"/>
        </w:rPr>
        <w:footnoteReference w:id="26"/>
      </w:r>
      <w:r w:rsidR="006A79D8" w:rsidRPr="00ED0973">
        <w:rPr>
          <w:color w:val="000000" w:themeColor="text1"/>
          <w:sz w:val="24"/>
          <w:szCs w:val="24"/>
        </w:rPr>
        <w:t xml:space="preserve"> </w:t>
      </w:r>
      <w:r w:rsidR="00A80DA2" w:rsidRPr="00ED0973">
        <w:rPr>
          <w:color w:val="000000" w:themeColor="text1"/>
          <w:sz w:val="24"/>
          <w:szCs w:val="24"/>
        </w:rPr>
        <w:t xml:space="preserve">In that respect, it seems that </w:t>
      </w:r>
      <w:r w:rsidR="001F79EB" w:rsidRPr="00ED0973">
        <w:rPr>
          <w:color w:val="000000" w:themeColor="text1"/>
          <w:sz w:val="24"/>
          <w:szCs w:val="24"/>
        </w:rPr>
        <w:t>the so-called ‘China problem’</w:t>
      </w:r>
      <w:r w:rsidR="004B0E19" w:rsidRPr="00ED0973">
        <w:rPr>
          <w:color w:val="000000" w:themeColor="text1"/>
          <w:sz w:val="24"/>
          <w:szCs w:val="24"/>
        </w:rPr>
        <w:t xml:space="preserve"> -</w:t>
      </w:r>
      <w:r w:rsidR="001F79EB" w:rsidRPr="00ED0973">
        <w:rPr>
          <w:color w:val="000000" w:themeColor="text1"/>
          <w:sz w:val="24"/>
          <w:szCs w:val="24"/>
        </w:rPr>
        <w:t xml:space="preserve"> the </w:t>
      </w:r>
      <w:r w:rsidR="00442399">
        <w:rPr>
          <w:color w:val="000000" w:themeColor="text1"/>
          <w:sz w:val="24"/>
          <w:szCs w:val="24"/>
        </w:rPr>
        <w:t>claim</w:t>
      </w:r>
      <w:r w:rsidR="004B0E19" w:rsidRPr="00ED0973">
        <w:rPr>
          <w:color w:val="000000" w:themeColor="text1"/>
          <w:sz w:val="24"/>
          <w:szCs w:val="24"/>
        </w:rPr>
        <w:t xml:space="preserve"> that if </w:t>
      </w:r>
      <w:r w:rsidR="001F79EB" w:rsidRPr="00ED0973">
        <w:rPr>
          <w:color w:val="000000" w:themeColor="text1"/>
          <w:sz w:val="24"/>
          <w:szCs w:val="24"/>
        </w:rPr>
        <w:t xml:space="preserve">ISDS/ICS </w:t>
      </w:r>
      <w:r w:rsidR="004B0E19" w:rsidRPr="00ED0973">
        <w:rPr>
          <w:color w:val="000000" w:themeColor="text1"/>
          <w:sz w:val="24"/>
          <w:szCs w:val="24"/>
        </w:rPr>
        <w:t>was excluded from</w:t>
      </w:r>
      <w:r w:rsidR="001F79EB" w:rsidRPr="00ED0973">
        <w:rPr>
          <w:color w:val="000000" w:themeColor="text1"/>
          <w:sz w:val="24"/>
          <w:szCs w:val="24"/>
        </w:rPr>
        <w:t xml:space="preserve"> </w:t>
      </w:r>
      <w:r w:rsidR="004B0E19" w:rsidRPr="00ED0973">
        <w:rPr>
          <w:color w:val="000000" w:themeColor="text1"/>
          <w:sz w:val="24"/>
          <w:szCs w:val="24"/>
        </w:rPr>
        <w:t xml:space="preserve">CETA and </w:t>
      </w:r>
      <w:r w:rsidR="001F79EB" w:rsidRPr="00ED0973">
        <w:rPr>
          <w:color w:val="000000" w:themeColor="text1"/>
          <w:sz w:val="24"/>
          <w:szCs w:val="24"/>
        </w:rPr>
        <w:t xml:space="preserve">TTIP, it </w:t>
      </w:r>
      <w:r w:rsidR="002260E3" w:rsidRPr="00ED0973">
        <w:rPr>
          <w:color w:val="000000" w:themeColor="text1"/>
          <w:sz w:val="24"/>
          <w:szCs w:val="24"/>
        </w:rPr>
        <w:t>would be impossible to</w:t>
      </w:r>
      <w:r w:rsidR="001D5A81">
        <w:rPr>
          <w:color w:val="000000" w:themeColor="text1"/>
          <w:sz w:val="24"/>
          <w:szCs w:val="24"/>
        </w:rPr>
        <w:t xml:space="preserve"> include ISDS </w:t>
      </w:r>
      <w:r w:rsidR="001F79EB" w:rsidRPr="00ED0973">
        <w:rPr>
          <w:color w:val="000000" w:themeColor="text1"/>
          <w:sz w:val="24"/>
          <w:szCs w:val="24"/>
        </w:rPr>
        <w:t>i</w:t>
      </w:r>
      <w:r w:rsidR="002260E3" w:rsidRPr="00ED0973">
        <w:rPr>
          <w:color w:val="000000" w:themeColor="text1"/>
          <w:sz w:val="24"/>
          <w:szCs w:val="24"/>
        </w:rPr>
        <w:t xml:space="preserve">n a future </w:t>
      </w:r>
      <w:r w:rsidR="000D151E">
        <w:rPr>
          <w:color w:val="000000" w:themeColor="text1"/>
          <w:sz w:val="24"/>
          <w:szCs w:val="24"/>
        </w:rPr>
        <w:t xml:space="preserve">EU </w:t>
      </w:r>
      <w:r w:rsidR="002260E3" w:rsidRPr="00ED0973">
        <w:rPr>
          <w:color w:val="000000" w:themeColor="text1"/>
          <w:sz w:val="24"/>
          <w:szCs w:val="24"/>
        </w:rPr>
        <w:t xml:space="preserve">agreement with China </w:t>
      </w:r>
      <w:r w:rsidR="00EB4DEE" w:rsidRPr="00ED0973">
        <w:rPr>
          <w:color w:val="000000" w:themeColor="text1"/>
          <w:sz w:val="24"/>
          <w:szCs w:val="24"/>
        </w:rPr>
        <w:t>–</w:t>
      </w:r>
      <w:r w:rsidR="002260E3" w:rsidRPr="00ED0973">
        <w:rPr>
          <w:color w:val="000000" w:themeColor="text1"/>
          <w:sz w:val="24"/>
          <w:szCs w:val="24"/>
        </w:rPr>
        <w:t xml:space="preserve"> </w:t>
      </w:r>
      <w:r w:rsidR="00A86803">
        <w:rPr>
          <w:color w:val="000000" w:themeColor="text1"/>
          <w:sz w:val="24"/>
          <w:szCs w:val="24"/>
        </w:rPr>
        <w:t>forms yet another myth</w:t>
      </w:r>
      <w:r w:rsidR="00EB4DEE" w:rsidRPr="00ED0973">
        <w:rPr>
          <w:color w:val="000000" w:themeColor="text1"/>
          <w:sz w:val="24"/>
          <w:szCs w:val="24"/>
        </w:rPr>
        <w:t>.</w:t>
      </w:r>
      <w:r w:rsidR="008F2318">
        <w:rPr>
          <w:color w:val="000000" w:themeColor="text1"/>
          <w:sz w:val="24"/>
          <w:szCs w:val="24"/>
        </w:rPr>
        <w:t xml:space="preserve"> I will return to this issue below in para 3.6.</w:t>
      </w:r>
    </w:p>
    <w:p w14:paraId="71FA73A1" w14:textId="76BCB632" w:rsidR="00AD1950" w:rsidRDefault="00A8570A" w:rsidP="00AD1950">
      <w:pPr>
        <w:widowControl w:val="0"/>
        <w:autoSpaceDE w:val="0"/>
        <w:autoSpaceDN w:val="0"/>
        <w:adjustRightInd w:val="0"/>
        <w:spacing w:after="0" w:line="240" w:lineRule="auto"/>
        <w:jc w:val="both"/>
        <w:rPr>
          <w:color w:val="000000" w:themeColor="text1"/>
          <w:sz w:val="24"/>
          <w:szCs w:val="24"/>
        </w:rPr>
      </w:pPr>
      <w:r w:rsidRPr="00ED0973">
        <w:rPr>
          <w:color w:val="000000" w:themeColor="text1"/>
          <w:sz w:val="24"/>
          <w:szCs w:val="24"/>
        </w:rPr>
        <w:tab/>
      </w:r>
      <w:r w:rsidR="008B23DE" w:rsidRPr="00ED0973">
        <w:rPr>
          <w:color w:val="000000" w:themeColor="text1"/>
          <w:sz w:val="24"/>
          <w:szCs w:val="24"/>
        </w:rPr>
        <w:t xml:space="preserve">Because </w:t>
      </w:r>
      <w:r w:rsidR="004D4BCB" w:rsidRPr="00ED0973">
        <w:rPr>
          <w:color w:val="000000" w:themeColor="text1"/>
          <w:sz w:val="24"/>
          <w:szCs w:val="24"/>
        </w:rPr>
        <w:t xml:space="preserve">ISDS mechanisms </w:t>
      </w:r>
      <w:r w:rsidR="00FD79BF" w:rsidRPr="00ED0973">
        <w:rPr>
          <w:color w:val="000000" w:themeColor="text1"/>
          <w:sz w:val="24"/>
          <w:szCs w:val="24"/>
        </w:rPr>
        <w:t xml:space="preserve">in BITs and other agreements </w:t>
      </w:r>
      <w:r w:rsidR="004D4BCB" w:rsidRPr="00ED0973">
        <w:rPr>
          <w:color w:val="000000" w:themeColor="text1"/>
          <w:sz w:val="24"/>
          <w:szCs w:val="24"/>
        </w:rPr>
        <w:t xml:space="preserve">are a </w:t>
      </w:r>
      <w:r w:rsidR="00C97E9B" w:rsidRPr="00ED0973">
        <w:rPr>
          <w:color w:val="000000" w:themeColor="text1"/>
          <w:sz w:val="24"/>
          <w:szCs w:val="24"/>
        </w:rPr>
        <w:t xml:space="preserve">fairly </w:t>
      </w:r>
      <w:r w:rsidR="00F12F3F" w:rsidRPr="00ED0973">
        <w:rPr>
          <w:color w:val="000000" w:themeColor="text1"/>
          <w:sz w:val="24"/>
          <w:szCs w:val="24"/>
        </w:rPr>
        <w:t xml:space="preserve">recent </w:t>
      </w:r>
      <w:r w:rsidR="00804784" w:rsidRPr="00ED0973">
        <w:rPr>
          <w:color w:val="000000" w:themeColor="text1"/>
          <w:sz w:val="24"/>
          <w:szCs w:val="24"/>
        </w:rPr>
        <w:t xml:space="preserve">phenomenon, </w:t>
      </w:r>
      <w:r w:rsidR="00774ACE" w:rsidRPr="00ED0973">
        <w:rPr>
          <w:color w:val="000000" w:themeColor="text1"/>
          <w:sz w:val="24"/>
          <w:szCs w:val="24"/>
        </w:rPr>
        <w:t>experiences with</w:t>
      </w:r>
      <w:r w:rsidR="00FD79BF" w:rsidRPr="00ED0973">
        <w:rPr>
          <w:color w:val="000000" w:themeColor="text1"/>
          <w:sz w:val="24"/>
          <w:szCs w:val="24"/>
        </w:rPr>
        <w:t xml:space="preserve"> </w:t>
      </w:r>
      <w:r w:rsidR="00C97E9B" w:rsidRPr="00ED0973">
        <w:rPr>
          <w:color w:val="000000" w:themeColor="text1"/>
          <w:sz w:val="24"/>
          <w:szCs w:val="24"/>
        </w:rPr>
        <w:t>the application in practice of this ty</w:t>
      </w:r>
      <w:r w:rsidR="00774ACE" w:rsidRPr="00ED0973">
        <w:rPr>
          <w:color w:val="000000" w:themeColor="text1"/>
          <w:sz w:val="24"/>
          <w:szCs w:val="24"/>
        </w:rPr>
        <w:t>pe of dispute settlement is limited. Only a few</w:t>
      </w:r>
      <w:r w:rsidR="00C544DE" w:rsidRPr="00ED0973">
        <w:rPr>
          <w:color w:val="000000" w:themeColor="text1"/>
          <w:sz w:val="24"/>
          <w:szCs w:val="24"/>
        </w:rPr>
        <w:t xml:space="preserve"> </w:t>
      </w:r>
      <w:r w:rsidR="00585B67" w:rsidRPr="00ED0973">
        <w:rPr>
          <w:color w:val="000000" w:themeColor="text1"/>
          <w:sz w:val="24"/>
          <w:szCs w:val="24"/>
        </w:rPr>
        <w:t xml:space="preserve">ISDS claims started emerging in the late 1990s and early 2000s. </w:t>
      </w:r>
      <w:r w:rsidR="007B4B10" w:rsidRPr="00ED0973">
        <w:rPr>
          <w:color w:val="000000" w:themeColor="text1"/>
          <w:sz w:val="24"/>
          <w:szCs w:val="24"/>
        </w:rPr>
        <w:t>G</w:t>
      </w:r>
      <w:r w:rsidR="00585B67" w:rsidRPr="00ED0973">
        <w:rPr>
          <w:color w:val="000000" w:themeColor="text1"/>
          <w:sz w:val="24"/>
          <w:szCs w:val="24"/>
        </w:rPr>
        <w:t xml:space="preserve">radually, </w:t>
      </w:r>
      <w:r w:rsidR="000D151E">
        <w:rPr>
          <w:color w:val="000000" w:themeColor="text1"/>
          <w:sz w:val="24"/>
          <w:szCs w:val="24"/>
        </w:rPr>
        <w:t>the number of claims ro</w:t>
      </w:r>
      <w:r w:rsidR="00585B67" w:rsidRPr="00ED0973">
        <w:rPr>
          <w:color w:val="000000" w:themeColor="text1"/>
          <w:sz w:val="24"/>
          <w:szCs w:val="24"/>
        </w:rPr>
        <w:t>se</w:t>
      </w:r>
      <w:r w:rsidR="00C97E9B" w:rsidRPr="00ED0973">
        <w:rPr>
          <w:color w:val="000000" w:themeColor="text1"/>
          <w:sz w:val="24"/>
          <w:szCs w:val="24"/>
        </w:rPr>
        <w:t xml:space="preserve">, as the </w:t>
      </w:r>
      <w:r w:rsidR="00585B67" w:rsidRPr="00ED0973">
        <w:rPr>
          <w:color w:val="000000" w:themeColor="text1"/>
          <w:sz w:val="24"/>
          <w:szCs w:val="24"/>
        </w:rPr>
        <w:t xml:space="preserve">figure </w:t>
      </w:r>
      <w:r w:rsidR="00375677">
        <w:rPr>
          <w:color w:val="000000" w:themeColor="text1"/>
          <w:sz w:val="24"/>
          <w:szCs w:val="24"/>
        </w:rPr>
        <w:t>below</w:t>
      </w:r>
      <w:r w:rsidR="00C97E9B" w:rsidRPr="00ED0973">
        <w:rPr>
          <w:color w:val="000000" w:themeColor="text1"/>
          <w:sz w:val="24"/>
          <w:szCs w:val="24"/>
        </w:rPr>
        <w:t xml:space="preserve"> </w:t>
      </w:r>
      <w:r w:rsidR="00585B67" w:rsidRPr="00ED0973">
        <w:rPr>
          <w:color w:val="000000" w:themeColor="text1"/>
          <w:sz w:val="24"/>
          <w:szCs w:val="24"/>
        </w:rPr>
        <w:t>illustrates</w:t>
      </w:r>
      <w:r w:rsidR="00972812" w:rsidRPr="00ED0973">
        <w:rPr>
          <w:color w:val="000000" w:themeColor="text1"/>
          <w:sz w:val="24"/>
          <w:szCs w:val="24"/>
        </w:rPr>
        <w:t>.</w:t>
      </w:r>
      <w:r w:rsidR="00285AAD">
        <w:rPr>
          <w:color w:val="000000" w:themeColor="text1"/>
          <w:sz w:val="24"/>
          <w:szCs w:val="24"/>
        </w:rPr>
        <w:t xml:space="preserve"> </w:t>
      </w:r>
      <w:r w:rsidR="00C97E9B" w:rsidRPr="00ED0973">
        <w:rPr>
          <w:color w:val="000000" w:themeColor="text1"/>
          <w:sz w:val="24"/>
          <w:szCs w:val="24"/>
        </w:rPr>
        <w:t xml:space="preserve">In the period </w:t>
      </w:r>
      <w:r w:rsidR="00154A9A" w:rsidRPr="00ED0973">
        <w:rPr>
          <w:color w:val="000000" w:themeColor="text1"/>
          <w:sz w:val="24"/>
          <w:szCs w:val="24"/>
        </w:rPr>
        <w:t>until</w:t>
      </w:r>
      <w:r w:rsidR="008746E0" w:rsidRPr="00ED0973">
        <w:rPr>
          <w:color w:val="000000" w:themeColor="text1"/>
          <w:sz w:val="24"/>
          <w:szCs w:val="24"/>
        </w:rPr>
        <w:t xml:space="preserve"> 1998, less than 10 cases emerged</w:t>
      </w:r>
      <w:r w:rsidR="007B4B10" w:rsidRPr="00ED0973">
        <w:rPr>
          <w:color w:val="000000" w:themeColor="text1"/>
          <w:sz w:val="24"/>
          <w:szCs w:val="24"/>
        </w:rPr>
        <w:t xml:space="preserve"> on average</w:t>
      </w:r>
      <w:r w:rsidR="008746E0" w:rsidRPr="00ED0973">
        <w:rPr>
          <w:color w:val="000000" w:themeColor="text1"/>
          <w:sz w:val="24"/>
          <w:szCs w:val="24"/>
        </w:rPr>
        <w:t xml:space="preserve"> per year</w:t>
      </w:r>
      <w:r w:rsidR="00BD442A" w:rsidRPr="00ED0973">
        <w:rPr>
          <w:color w:val="000000" w:themeColor="text1"/>
          <w:sz w:val="24"/>
          <w:szCs w:val="24"/>
        </w:rPr>
        <w:t xml:space="preserve"> worldwide</w:t>
      </w:r>
      <w:r w:rsidR="005C1D4C" w:rsidRPr="00ED0973">
        <w:rPr>
          <w:color w:val="000000" w:themeColor="text1"/>
          <w:sz w:val="24"/>
          <w:szCs w:val="24"/>
        </w:rPr>
        <w:t xml:space="preserve">. From 1999 </w:t>
      </w:r>
      <w:r w:rsidR="00154A9A" w:rsidRPr="00ED0973">
        <w:rPr>
          <w:color w:val="000000" w:themeColor="text1"/>
          <w:sz w:val="24"/>
          <w:szCs w:val="24"/>
        </w:rPr>
        <w:t>until</w:t>
      </w:r>
      <w:r w:rsidR="005C1D4C" w:rsidRPr="00ED0973">
        <w:rPr>
          <w:color w:val="000000" w:themeColor="text1"/>
          <w:sz w:val="24"/>
          <w:szCs w:val="24"/>
        </w:rPr>
        <w:t xml:space="preserve"> </w:t>
      </w:r>
      <w:r w:rsidR="00C97E9B" w:rsidRPr="00ED0973">
        <w:rPr>
          <w:color w:val="000000" w:themeColor="text1"/>
          <w:sz w:val="24"/>
          <w:szCs w:val="24"/>
        </w:rPr>
        <w:t xml:space="preserve">2010, </w:t>
      </w:r>
      <w:r w:rsidR="00EF4D69" w:rsidRPr="00ED0973">
        <w:rPr>
          <w:color w:val="000000" w:themeColor="text1"/>
          <w:sz w:val="24"/>
          <w:szCs w:val="24"/>
        </w:rPr>
        <w:t xml:space="preserve">on the average </w:t>
      </w:r>
      <w:r w:rsidR="00C97E9B" w:rsidRPr="00ED0973">
        <w:rPr>
          <w:color w:val="000000" w:themeColor="text1"/>
          <w:sz w:val="24"/>
          <w:szCs w:val="24"/>
        </w:rPr>
        <w:t>less than 40 new ISDS cases emerged per year</w:t>
      </w:r>
      <w:r w:rsidR="005C1D4C" w:rsidRPr="00ED0973">
        <w:rPr>
          <w:color w:val="000000" w:themeColor="text1"/>
          <w:sz w:val="24"/>
          <w:szCs w:val="24"/>
        </w:rPr>
        <w:t>. After 2011</w:t>
      </w:r>
      <w:r w:rsidR="00003520" w:rsidRPr="00ED0973">
        <w:rPr>
          <w:color w:val="000000" w:themeColor="text1"/>
          <w:sz w:val="24"/>
          <w:szCs w:val="24"/>
        </w:rPr>
        <w:t xml:space="preserve">, </w:t>
      </w:r>
      <w:r w:rsidR="008B6176" w:rsidRPr="00ED0973">
        <w:rPr>
          <w:color w:val="000000" w:themeColor="text1"/>
          <w:sz w:val="24"/>
          <w:szCs w:val="24"/>
        </w:rPr>
        <w:t xml:space="preserve">the </w:t>
      </w:r>
      <w:r w:rsidR="008527E9" w:rsidRPr="00ED0973">
        <w:rPr>
          <w:color w:val="000000" w:themeColor="text1"/>
          <w:sz w:val="24"/>
          <w:szCs w:val="24"/>
        </w:rPr>
        <w:t>numbers rose to over 50 per year</w:t>
      </w:r>
      <w:r w:rsidR="00003520" w:rsidRPr="00ED0973">
        <w:rPr>
          <w:color w:val="000000" w:themeColor="text1"/>
          <w:sz w:val="24"/>
          <w:szCs w:val="24"/>
        </w:rPr>
        <w:t xml:space="preserve"> and reached</w:t>
      </w:r>
      <w:r w:rsidR="00210162" w:rsidRPr="00ED0973">
        <w:rPr>
          <w:color w:val="000000" w:themeColor="text1"/>
          <w:sz w:val="24"/>
          <w:szCs w:val="24"/>
        </w:rPr>
        <w:t xml:space="preserve"> a </w:t>
      </w:r>
      <w:r w:rsidR="00ED6676" w:rsidRPr="00ED0973">
        <w:rPr>
          <w:color w:val="000000" w:themeColor="text1"/>
          <w:sz w:val="24"/>
          <w:szCs w:val="24"/>
        </w:rPr>
        <w:t xml:space="preserve">record high of 70 new </w:t>
      </w:r>
      <w:r w:rsidR="000D151E" w:rsidRPr="000D151E">
        <w:rPr>
          <w:color w:val="000000" w:themeColor="text1"/>
          <w:sz w:val="24"/>
          <w:szCs w:val="24"/>
        </w:rPr>
        <w:t>cases in 2015,</w:t>
      </w:r>
      <w:r w:rsidR="000D151E" w:rsidRPr="000D151E">
        <w:t xml:space="preserve"> </w:t>
      </w:r>
      <w:r w:rsidR="000D151E" w:rsidRPr="000D151E">
        <w:rPr>
          <w:color w:val="000000" w:themeColor="text1"/>
          <w:sz w:val="24"/>
          <w:szCs w:val="24"/>
        </w:rPr>
        <w:t xml:space="preserve">bringing </w:t>
      </w:r>
      <w:r w:rsidR="000D151E" w:rsidRPr="00ED0973">
        <w:rPr>
          <w:color w:val="000000" w:themeColor="text1"/>
          <w:sz w:val="24"/>
          <w:szCs w:val="24"/>
        </w:rPr>
        <w:t>the total number of known ISDS cases to 696.</w:t>
      </w:r>
      <w:r w:rsidR="000D151E" w:rsidRPr="00ED0973">
        <w:rPr>
          <w:rStyle w:val="Voetnootmarkering"/>
          <w:color w:val="000000" w:themeColor="text1"/>
          <w:sz w:val="24"/>
          <w:szCs w:val="24"/>
        </w:rPr>
        <w:footnoteReference w:id="27"/>
      </w:r>
    </w:p>
    <w:p w14:paraId="2CFE2BE1" w14:textId="77777777" w:rsidR="00375677" w:rsidRDefault="00375677" w:rsidP="00AD1950">
      <w:pPr>
        <w:widowControl w:val="0"/>
        <w:autoSpaceDE w:val="0"/>
        <w:autoSpaceDN w:val="0"/>
        <w:adjustRightInd w:val="0"/>
        <w:spacing w:after="0" w:line="240" w:lineRule="auto"/>
        <w:jc w:val="both"/>
        <w:rPr>
          <w:color w:val="000000" w:themeColor="text1"/>
          <w:sz w:val="24"/>
          <w:szCs w:val="24"/>
        </w:rPr>
      </w:pPr>
    </w:p>
    <w:p w14:paraId="5436CBE6" w14:textId="2DE61BC0" w:rsidR="00AD1950" w:rsidRDefault="00375677" w:rsidP="00375677">
      <w:pPr>
        <w:widowControl w:val="0"/>
        <w:autoSpaceDE w:val="0"/>
        <w:autoSpaceDN w:val="0"/>
        <w:adjustRightInd w:val="0"/>
        <w:spacing w:after="0" w:line="240" w:lineRule="auto"/>
        <w:jc w:val="center"/>
        <w:rPr>
          <w:color w:val="000000" w:themeColor="text1"/>
          <w:sz w:val="24"/>
          <w:szCs w:val="24"/>
        </w:rPr>
      </w:pPr>
      <w:r>
        <w:rPr>
          <w:noProof/>
          <w:color w:val="000000" w:themeColor="text1"/>
          <w:sz w:val="24"/>
          <w:szCs w:val="24"/>
          <w:lang w:val="nl-NL" w:eastAsia="nl-NL"/>
        </w:rPr>
        <w:lastRenderedPageBreak/>
        <w:drawing>
          <wp:inline distT="0" distB="0" distL="0" distR="0" wp14:anchorId="0C9ED3FB" wp14:editId="69F7364D">
            <wp:extent cx="4109085" cy="18288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085" cy="1828800"/>
                    </a:xfrm>
                    <a:prstGeom prst="rect">
                      <a:avLst/>
                    </a:prstGeom>
                    <a:noFill/>
                  </pic:spPr>
                </pic:pic>
              </a:graphicData>
            </a:graphic>
          </wp:inline>
        </w:drawing>
      </w:r>
    </w:p>
    <w:p w14:paraId="0171F457" w14:textId="40A682D1" w:rsidR="00882C13" w:rsidRPr="000D151E" w:rsidRDefault="00375677" w:rsidP="000D151E">
      <w:pPr>
        <w:widowControl w:val="0"/>
        <w:autoSpaceDE w:val="0"/>
        <w:autoSpaceDN w:val="0"/>
        <w:adjustRightInd w:val="0"/>
        <w:spacing w:after="0" w:line="240" w:lineRule="auto"/>
        <w:rPr>
          <w:color w:val="000000" w:themeColor="text1"/>
          <w:sz w:val="18"/>
          <w:szCs w:val="18"/>
        </w:rPr>
      </w:pPr>
      <w:r>
        <w:rPr>
          <w:color w:val="000000" w:themeColor="text1"/>
          <w:sz w:val="18"/>
          <w:szCs w:val="18"/>
        </w:rPr>
        <w:t xml:space="preserve">        </w:t>
      </w:r>
      <w:r w:rsidRPr="00ED0973">
        <w:rPr>
          <w:color w:val="000000" w:themeColor="text1"/>
          <w:sz w:val="18"/>
          <w:szCs w:val="18"/>
        </w:rPr>
        <w:t>Source: UNCTAD, Recent Developments in Investor-State Dispute Settlement, IIA Issues Note N</w:t>
      </w:r>
      <w:r w:rsidRPr="00ED0973">
        <w:rPr>
          <w:color w:val="000000" w:themeColor="text1"/>
          <w:sz w:val="18"/>
          <w:szCs w:val="18"/>
          <w:vertAlign w:val="superscript"/>
        </w:rPr>
        <w:t>o</w:t>
      </w:r>
      <w:r w:rsidRPr="00ED0973">
        <w:rPr>
          <w:color w:val="000000" w:themeColor="text1"/>
          <w:sz w:val="18"/>
          <w:szCs w:val="18"/>
        </w:rPr>
        <w:t xml:space="preserve"> 2, June 2016</w:t>
      </w:r>
      <w:r>
        <w:rPr>
          <w:color w:val="000000" w:themeColor="text1"/>
          <w:sz w:val="18"/>
          <w:szCs w:val="18"/>
        </w:rPr>
        <w:t xml:space="preserve"> </w:t>
      </w:r>
      <w:r w:rsidR="00285AAD">
        <w:rPr>
          <w:color w:val="000000" w:themeColor="text1"/>
          <w:sz w:val="24"/>
          <w:szCs w:val="24"/>
        </w:rPr>
        <w:t>I</w:t>
      </w:r>
      <w:r w:rsidR="00D27DF1">
        <w:rPr>
          <w:color w:val="000000" w:themeColor="text1"/>
          <w:sz w:val="24"/>
          <w:szCs w:val="24"/>
        </w:rPr>
        <w:t xml:space="preserve">ntroducing </w:t>
      </w:r>
      <w:r w:rsidR="00285AAD" w:rsidRPr="00285AAD">
        <w:rPr>
          <w:color w:val="000000" w:themeColor="text1"/>
          <w:sz w:val="24"/>
          <w:szCs w:val="24"/>
        </w:rPr>
        <w:t>ICS</w:t>
      </w:r>
      <w:r w:rsidR="00D27DF1">
        <w:rPr>
          <w:color w:val="000000" w:themeColor="text1"/>
          <w:sz w:val="24"/>
          <w:szCs w:val="24"/>
        </w:rPr>
        <w:t>/ISDS</w:t>
      </w:r>
      <w:r w:rsidR="00285AAD" w:rsidRPr="00285AAD">
        <w:rPr>
          <w:color w:val="000000" w:themeColor="text1"/>
          <w:sz w:val="24"/>
          <w:szCs w:val="24"/>
        </w:rPr>
        <w:t xml:space="preserve"> in CETA and TTIP could allow for a sharp increase in the popularity of this type of dispute settlement</w:t>
      </w:r>
      <w:r w:rsidR="00C51EBB">
        <w:rPr>
          <w:color w:val="000000" w:themeColor="text1"/>
          <w:sz w:val="24"/>
          <w:szCs w:val="24"/>
        </w:rPr>
        <w:t xml:space="preserve">, if only because the </w:t>
      </w:r>
      <w:r w:rsidR="00466393">
        <w:rPr>
          <w:color w:val="000000" w:themeColor="text1"/>
          <w:sz w:val="24"/>
          <w:szCs w:val="24"/>
        </w:rPr>
        <w:t>U.S. investments</w:t>
      </w:r>
      <w:r w:rsidR="00C51EBB">
        <w:rPr>
          <w:color w:val="000000" w:themeColor="text1"/>
          <w:sz w:val="24"/>
          <w:szCs w:val="24"/>
        </w:rPr>
        <w:t xml:space="preserve"> in the EU even without TTIP already amount</w:t>
      </w:r>
      <w:r w:rsidR="00466393">
        <w:rPr>
          <w:color w:val="000000" w:themeColor="text1"/>
          <w:sz w:val="24"/>
          <w:szCs w:val="24"/>
        </w:rPr>
        <w:t xml:space="preserve"> to </w:t>
      </w:r>
      <w:r w:rsidR="00C51EBB">
        <w:rPr>
          <w:color w:val="000000" w:themeColor="text1"/>
          <w:sz w:val="24"/>
          <w:szCs w:val="24"/>
        </w:rPr>
        <w:t xml:space="preserve">a staggering </w:t>
      </w:r>
      <w:r w:rsidR="00466393">
        <w:rPr>
          <w:color w:val="000000" w:themeColor="text1"/>
          <w:sz w:val="24"/>
          <w:szCs w:val="24"/>
        </w:rPr>
        <w:t>1810.8 billion Euro</w:t>
      </w:r>
      <w:r w:rsidR="00C51EBB">
        <w:rPr>
          <w:color w:val="000000" w:themeColor="text1"/>
          <w:sz w:val="24"/>
          <w:szCs w:val="24"/>
        </w:rPr>
        <w:t xml:space="preserve">. The </w:t>
      </w:r>
      <w:r w:rsidR="00466393">
        <w:rPr>
          <w:color w:val="000000" w:themeColor="text1"/>
          <w:sz w:val="24"/>
          <w:szCs w:val="24"/>
        </w:rPr>
        <w:t>Canad</w:t>
      </w:r>
      <w:r w:rsidR="00C51EBB">
        <w:rPr>
          <w:color w:val="000000" w:themeColor="text1"/>
          <w:sz w:val="24"/>
          <w:szCs w:val="24"/>
        </w:rPr>
        <w:t>i</w:t>
      </w:r>
      <w:r w:rsidR="00466393">
        <w:rPr>
          <w:color w:val="000000" w:themeColor="text1"/>
          <w:sz w:val="24"/>
          <w:szCs w:val="24"/>
        </w:rPr>
        <w:t>a</w:t>
      </w:r>
      <w:r w:rsidR="00C51EBB">
        <w:rPr>
          <w:color w:val="000000" w:themeColor="text1"/>
          <w:sz w:val="24"/>
          <w:szCs w:val="24"/>
        </w:rPr>
        <w:t>n investments amount to</w:t>
      </w:r>
      <w:r w:rsidR="00466393">
        <w:rPr>
          <w:color w:val="000000" w:themeColor="text1"/>
          <w:sz w:val="24"/>
          <w:szCs w:val="24"/>
        </w:rPr>
        <w:t xml:space="preserve"> 165.9 billion Euro</w:t>
      </w:r>
      <w:r w:rsidR="00C51EBB">
        <w:rPr>
          <w:color w:val="000000" w:themeColor="text1"/>
          <w:sz w:val="24"/>
          <w:szCs w:val="24"/>
        </w:rPr>
        <w:t>, before CETA</w:t>
      </w:r>
      <w:r w:rsidR="00466393">
        <w:rPr>
          <w:color w:val="000000" w:themeColor="text1"/>
          <w:sz w:val="24"/>
          <w:szCs w:val="24"/>
        </w:rPr>
        <w:t>.</w:t>
      </w:r>
      <w:r w:rsidR="00C51EBB">
        <w:rPr>
          <w:rStyle w:val="Voetnootmarkering"/>
          <w:color w:val="000000" w:themeColor="text1"/>
          <w:sz w:val="24"/>
          <w:szCs w:val="24"/>
        </w:rPr>
        <w:footnoteReference w:id="28"/>
      </w:r>
    </w:p>
    <w:p w14:paraId="6576CEDB" w14:textId="639F94BD" w:rsidR="0034458C" w:rsidRPr="00ED0973" w:rsidRDefault="00C34019"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Most of the cases were</w:t>
      </w:r>
      <w:r w:rsidR="001236AF" w:rsidRPr="00ED0973">
        <w:rPr>
          <w:color w:val="000000" w:themeColor="text1"/>
          <w:sz w:val="24"/>
          <w:szCs w:val="24"/>
        </w:rPr>
        <w:t xml:space="preserve"> </w:t>
      </w:r>
      <w:r w:rsidR="00681286" w:rsidRPr="00ED0973">
        <w:rPr>
          <w:color w:val="000000" w:themeColor="text1"/>
          <w:sz w:val="24"/>
          <w:szCs w:val="24"/>
        </w:rPr>
        <w:t>initiated against developing countries</w:t>
      </w:r>
      <w:r w:rsidRPr="00ED0973">
        <w:rPr>
          <w:color w:val="000000" w:themeColor="text1"/>
          <w:sz w:val="24"/>
          <w:szCs w:val="24"/>
        </w:rPr>
        <w:t xml:space="preserve">, although lately the percentage </w:t>
      </w:r>
      <w:r w:rsidR="00370774" w:rsidRPr="00ED0973">
        <w:rPr>
          <w:color w:val="000000" w:themeColor="text1"/>
          <w:sz w:val="24"/>
          <w:szCs w:val="24"/>
        </w:rPr>
        <w:t>of</w:t>
      </w:r>
      <w:r w:rsidRPr="00ED0973">
        <w:rPr>
          <w:color w:val="000000" w:themeColor="text1"/>
          <w:sz w:val="24"/>
          <w:szCs w:val="24"/>
        </w:rPr>
        <w:t xml:space="preserve"> cases brought against developed countries is slowly rising</w:t>
      </w:r>
      <w:r w:rsidR="00882C13" w:rsidRPr="00ED0973">
        <w:rPr>
          <w:color w:val="000000" w:themeColor="text1"/>
          <w:sz w:val="24"/>
          <w:szCs w:val="24"/>
        </w:rPr>
        <w:t>,</w:t>
      </w:r>
      <w:r w:rsidRPr="00ED0973">
        <w:rPr>
          <w:color w:val="000000" w:themeColor="text1"/>
          <w:sz w:val="24"/>
          <w:szCs w:val="24"/>
        </w:rPr>
        <w:t xml:space="preserve"> </w:t>
      </w:r>
      <w:r w:rsidR="000D151E">
        <w:rPr>
          <w:color w:val="000000" w:themeColor="text1"/>
          <w:sz w:val="24"/>
          <w:szCs w:val="24"/>
        </w:rPr>
        <w:t>standing at about 40 per cent</w:t>
      </w:r>
      <w:r w:rsidR="00370774" w:rsidRPr="00ED0973">
        <w:rPr>
          <w:color w:val="000000" w:themeColor="text1"/>
          <w:sz w:val="24"/>
          <w:szCs w:val="24"/>
        </w:rPr>
        <w:t xml:space="preserve"> in 2015</w:t>
      </w:r>
      <w:r w:rsidR="001236AF" w:rsidRPr="00ED0973">
        <w:rPr>
          <w:color w:val="000000" w:themeColor="text1"/>
          <w:sz w:val="24"/>
          <w:szCs w:val="24"/>
        </w:rPr>
        <w:t xml:space="preserve">. </w:t>
      </w:r>
      <w:r w:rsidR="008264B2" w:rsidRPr="00ED0973">
        <w:rPr>
          <w:color w:val="000000" w:themeColor="text1"/>
          <w:sz w:val="24"/>
          <w:szCs w:val="24"/>
        </w:rPr>
        <w:t>About</w:t>
      </w:r>
      <w:r w:rsidR="001236AF" w:rsidRPr="00ED0973">
        <w:rPr>
          <w:color w:val="000000" w:themeColor="text1"/>
          <w:sz w:val="24"/>
          <w:szCs w:val="24"/>
        </w:rPr>
        <w:t xml:space="preserve"> one third of the cases</w:t>
      </w:r>
      <w:r w:rsidR="008264B2" w:rsidRPr="00ED0973">
        <w:rPr>
          <w:color w:val="000000" w:themeColor="text1"/>
          <w:sz w:val="24"/>
          <w:szCs w:val="24"/>
        </w:rPr>
        <w:t xml:space="preserve"> initiated in </w:t>
      </w:r>
      <w:r w:rsidR="00370774" w:rsidRPr="00ED0973">
        <w:rPr>
          <w:color w:val="000000" w:themeColor="text1"/>
          <w:sz w:val="24"/>
          <w:szCs w:val="24"/>
        </w:rPr>
        <w:t>2015</w:t>
      </w:r>
      <w:r w:rsidR="001236AF" w:rsidRPr="00ED0973">
        <w:rPr>
          <w:color w:val="000000" w:themeColor="text1"/>
          <w:sz w:val="24"/>
          <w:szCs w:val="24"/>
        </w:rPr>
        <w:t xml:space="preserve"> </w:t>
      </w:r>
      <w:r w:rsidR="008264B2" w:rsidRPr="00ED0973">
        <w:rPr>
          <w:color w:val="000000" w:themeColor="text1"/>
          <w:sz w:val="24"/>
          <w:szCs w:val="24"/>
        </w:rPr>
        <w:t xml:space="preserve">was </w:t>
      </w:r>
      <w:r w:rsidR="001236AF" w:rsidRPr="00ED0973">
        <w:rPr>
          <w:color w:val="000000" w:themeColor="text1"/>
          <w:sz w:val="24"/>
          <w:szCs w:val="24"/>
        </w:rPr>
        <w:t>between EU member states.</w:t>
      </w:r>
      <w:r w:rsidR="00BA59F8">
        <w:rPr>
          <w:color w:val="000000" w:themeColor="text1"/>
          <w:sz w:val="24"/>
          <w:szCs w:val="24"/>
        </w:rPr>
        <w:t xml:space="preserve"> </w:t>
      </w:r>
      <w:r w:rsidR="006500A1" w:rsidRPr="00ED0973">
        <w:rPr>
          <w:color w:val="000000" w:themeColor="text1"/>
          <w:sz w:val="24"/>
          <w:szCs w:val="24"/>
        </w:rPr>
        <w:t xml:space="preserve">A large part of the ISDS claims </w:t>
      </w:r>
      <w:r w:rsidR="00AB3AE0" w:rsidRPr="00ED0973">
        <w:rPr>
          <w:color w:val="000000" w:themeColor="text1"/>
          <w:sz w:val="24"/>
          <w:szCs w:val="24"/>
        </w:rPr>
        <w:t>concerns</w:t>
      </w:r>
      <w:r w:rsidR="00D51A33" w:rsidRPr="00ED0973">
        <w:rPr>
          <w:color w:val="000000" w:themeColor="text1"/>
          <w:sz w:val="24"/>
          <w:szCs w:val="24"/>
        </w:rPr>
        <w:t xml:space="preserve"> sustainable development </w:t>
      </w:r>
      <w:r w:rsidR="00934EDA" w:rsidRPr="00ED0973">
        <w:rPr>
          <w:color w:val="000000" w:themeColor="text1"/>
          <w:sz w:val="24"/>
          <w:szCs w:val="24"/>
        </w:rPr>
        <w:t>issues</w:t>
      </w:r>
      <w:r w:rsidR="00D51A33" w:rsidRPr="00ED0973">
        <w:rPr>
          <w:color w:val="000000" w:themeColor="text1"/>
          <w:sz w:val="24"/>
          <w:szCs w:val="24"/>
        </w:rPr>
        <w:t xml:space="preserve">. Approximately 30 per cent of </w:t>
      </w:r>
      <w:r w:rsidR="0066668E" w:rsidRPr="00ED0973">
        <w:rPr>
          <w:color w:val="000000" w:themeColor="text1"/>
          <w:sz w:val="24"/>
          <w:szCs w:val="24"/>
        </w:rPr>
        <w:t xml:space="preserve">ISDS </w:t>
      </w:r>
      <w:r w:rsidR="00D51A33" w:rsidRPr="00ED0973">
        <w:rPr>
          <w:color w:val="000000" w:themeColor="text1"/>
          <w:sz w:val="24"/>
          <w:szCs w:val="24"/>
        </w:rPr>
        <w:t xml:space="preserve">cases </w:t>
      </w:r>
      <w:r w:rsidR="0066668E" w:rsidRPr="00ED0973">
        <w:rPr>
          <w:color w:val="000000" w:themeColor="text1"/>
          <w:sz w:val="24"/>
          <w:szCs w:val="24"/>
        </w:rPr>
        <w:t xml:space="preserve">initiated in 2015 </w:t>
      </w:r>
      <w:r w:rsidR="00D51A33" w:rsidRPr="00ED0973">
        <w:rPr>
          <w:color w:val="000000" w:themeColor="text1"/>
          <w:sz w:val="24"/>
          <w:szCs w:val="24"/>
        </w:rPr>
        <w:t>concerned the regulation of renewable energy producers, all of which were brought against EU mem</w:t>
      </w:r>
      <w:r w:rsidR="001749AE" w:rsidRPr="00ED0973">
        <w:rPr>
          <w:color w:val="000000" w:themeColor="text1"/>
          <w:sz w:val="24"/>
          <w:szCs w:val="24"/>
        </w:rPr>
        <w:t>ber States</w:t>
      </w:r>
      <w:r w:rsidR="00D51A33" w:rsidRPr="00ED0973">
        <w:rPr>
          <w:color w:val="000000" w:themeColor="text1"/>
          <w:sz w:val="24"/>
          <w:szCs w:val="24"/>
        </w:rPr>
        <w:t>.</w:t>
      </w:r>
      <w:r w:rsidR="00EC115B" w:rsidRPr="00ED0973">
        <w:rPr>
          <w:rStyle w:val="Voetnootmarkering"/>
          <w:color w:val="000000" w:themeColor="text1"/>
          <w:sz w:val="24"/>
          <w:szCs w:val="24"/>
        </w:rPr>
        <w:footnoteReference w:id="29"/>
      </w:r>
      <w:r w:rsidR="00D51A33" w:rsidRPr="00ED0973">
        <w:rPr>
          <w:color w:val="000000" w:themeColor="text1"/>
          <w:sz w:val="24"/>
          <w:szCs w:val="24"/>
        </w:rPr>
        <w:t xml:space="preserve"> </w:t>
      </w:r>
      <w:r w:rsidR="00934EDA" w:rsidRPr="00ED0973">
        <w:rPr>
          <w:color w:val="000000" w:themeColor="text1"/>
          <w:sz w:val="24"/>
          <w:szCs w:val="24"/>
        </w:rPr>
        <w:t>Other</w:t>
      </w:r>
      <w:r w:rsidR="00D51A33" w:rsidRPr="00ED0973">
        <w:rPr>
          <w:color w:val="000000" w:themeColor="text1"/>
          <w:sz w:val="24"/>
          <w:szCs w:val="24"/>
        </w:rPr>
        <w:t xml:space="preserve"> sustainability related cases concerned </w:t>
      </w:r>
      <w:r w:rsidR="00934EDA" w:rsidRPr="00ED0973">
        <w:rPr>
          <w:color w:val="000000" w:themeColor="text1"/>
          <w:sz w:val="24"/>
          <w:szCs w:val="24"/>
        </w:rPr>
        <w:t xml:space="preserve">protection of the </w:t>
      </w:r>
      <w:r w:rsidR="00E44E19" w:rsidRPr="00ED0973">
        <w:rPr>
          <w:color w:val="000000" w:themeColor="text1"/>
          <w:sz w:val="24"/>
          <w:szCs w:val="24"/>
        </w:rPr>
        <w:t>environment</w:t>
      </w:r>
      <w:r w:rsidR="00D51A33" w:rsidRPr="00ED0973">
        <w:rPr>
          <w:color w:val="000000" w:themeColor="text1"/>
          <w:sz w:val="24"/>
          <w:szCs w:val="24"/>
        </w:rPr>
        <w:t>,</w:t>
      </w:r>
      <w:r w:rsidR="002C4FD9" w:rsidRPr="00ED0973">
        <w:rPr>
          <w:color w:val="000000" w:themeColor="text1"/>
          <w:sz w:val="24"/>
          <w:szCs w:val="24"/>
        </w:rPr>
        <w:t xml:space="preserve"> </w:t>
      </w:r>
      <w:r w:rsidR="0000646F" w:rsidRPr="00ED0973">
        <w:rPr>
          <w:color w:val="000000" w:themeColor="text1"/>
          <w:sz w:val="24"/>
          <w:szCs w:val="24"/>
        </w:rPr>
        <w:t>climate change,</w:t>
      </w:r>
      <w:r w:rsidR="00D51A33" w:rsidRPr="00ED0973">
        <w:rPr>
          <w:color w:val="000000" w:themeColor="text1"/>
          <w:sz w:val="24"/>
          <w:szCs w:val="24"/>
        </w:rPr>
        <w:t xml:space="preserve"> indigenous protected areas, anti–corruption and taxation.</w:t>
      </w:r>
      <w:r w:rsidR="00624DD7" w:rsidRPr="00ED0973">
        <w:rPr>
          <w:color w:val="000000" w:themeColor="text1"/>
          <w:sz w:val="24"/>
          <w:szCs w:val="24"/>
        </w:rPr>
        <w:t xml:space="preserve"> Examples of some of</w:t>
      </w:r>
      <w:r w:rsidR="0093144F" w:rsidRPr="00ED0973">
        <w:rPr>
          <w:color w:val="000000" w:themeColor="text1"/>
          <w:sz w:val="24"/>
          <w:szCs w:val="24"/>
        </w:rPr>
        <w:t xml:space="preserve"> </w:t>
      </w:r>
      <w:r w:rsidR="00624DD7" w:rsidRPr="00ED0973">
        <w:rPr>
          <w:color w:val="000000" w:themeColor="text1"/>
          <w:sz w:val="24"/>
          <w:szCs w:val="24"/>
        </w:rPr>
        <w:t xml:space="preserve">the current </w:t>
      </w:r>
      <w:r w:rsidR="00A56184" w:rsidRPr="00ED0973">
        <w:rPr>
          <w:color w:val="000000" w:themeColor="text1"/>
          <w:sz w:val="24"/>
          <w:szCs w:val="24"/>
        </w:rPr>
        <w:t xml:space="preserve">or recently concluded </w:t>
      </w:r>
      <w:r w:rsidR="00624DD7" w:rsidRPr="00ED0973">
        <w:rPr>
          <w:color w:val="000000" w:themeColor="text1"/>
          <w:sz w:val="24"/>
          <w:szCs w:val="24"/>
        </w:rPr>
        <w:t xml:space="preserve">ISDS claims against host states show </w:t>
      </w:r>
      <w:r w:rsidR="00341D59" w:rsidRPr="00ED0973">
        <w:rPr>
          <w:color w:val="000000" w:themeColor="text1"/>
          <w:sz w:val="24"/>
          <w:szCs w:val="24"/>
        </w:rPr>
        <w:t xml:space="preserve">just </w:t>
      </w:r>
      <w:r w:rsidR="00624DD7" w:rsidRPr="00ED0973">
        <w:rPr>
          <w:color w:val="000000" w:themeColor="text1"/>
          <w:sz w:val="24"/>
          <w:szCs w:val="24"/>
        </w:rPr>
        <w:t xml:space="preserve">how wide the scope of public interest related issues covered by investment protection </w:t>
      </w:r>
      <w:r w:rsidR="00341D59" w:rsidRPr="00ED0973">
        <w:rPr>
          <w:color w:val="000000" w:themeColor="text1"/>
          <w:sz w:val="24"/>
          <w:szCs w:val="24"/>
        </w:rPr>
        <w:t>clauses</w:t>
      </w:r>
      <w:r w:rsidR="00624DD7" w:rsidRPr="00ED0973">
        <w:rPr>
          <w:color w:val="000000" w:themeColor="text1"/>
          <w:sz w:val="24"/>
          <w:szCs w:val="24"/>
        </w:rPr>
        <w:t xml:space="preserve"> actually is</w:t>
      </w:r>
      <w:r w:rsidR="0093144F" w:rsidRPr="00ED0973">
        <w:rPr>
          <w:color w:val="000000" w:themeColor="text1"/>
          <w:sz w:val="24"/>
          <w:szCs w:val="24"/>
        </w:rPr>
        <w:t xml:space="preserve">. </w:t>
      </w:r>
      <w:r w:rsidR="008F44F3" w:rsidRPr="00ED0973">
        <w:rPr>
          <w:color w:val="000000" w:themeColor="text1"/>
          <w:sz w:val="24"/>
          <w:szCs w:val="24"/>
        </w:rPr>
        <w:t>Not issuing a permit for an oil pipeline</w:t>
      </w:r>
      <w:r w:rsidR="00F27B19" w:rsidRPr="00ED0973">
        <w:rPr>
          <w:color w:val="000000" w:themeColor="text1"/>
          <w:sz w:val="24"/>
          <w:szCs w:val="24"/>
        </w:rPr>
        <w:t>,</w:t>
      </w:r>
      <w:r w:rsidR="000005E0" w:rsidRPr="00ED0973">
        <w:rPr>
          <w:rStyle w:val="Voetnootmarkering"/>
          <w:color w:val="000000" w:themeColor="text1"/>
          <w:sz w:val="24"/>
          <w:szCs w:val="24"/>
        </w:rPr>
        <w:footnoteReference w:id="30"/>
      </w:r>
      <w:r w:rsidR="00F27B19" w:rsidRPr="00ED0973">
        <w:rPr>
          <w:color w:val="000000" w:themeColor="text1"/>
          <w:sz w:val="24"/>
          <w:szCs w:val="24"/>
        </w:rPr>
        <w:t xml:space="preserve"> </w:t>
      </w:r>
      <w:r w:rsidR="008F44F3" w:rsidRPr="00ED0973">
        <w:rPr>
          <w:color w:val="000000" w:themeColor="text1"/>
          <w:sz w:val="24"/>
          <w:szCs w:val="24"/>
        </w:rPr>
        <w:t>goldmine,</w:t>
      </w:r>
      <w:r w:rsidR="000005E0" w:rsidRPr="00ED0973">
        <w:rPr>
          <w:color w:val="000000" w:themeColor="text1"/>
          <w:sz w:val="24"/>
          <w:szCs w:val="24"/>
          <w:vertAlign w:val="superscript"/>
        </w:rPr>
        <w:footnoteReference w:id="31"/>
      </w:r>
      <w:r w:rsidR="00F27B19" w:rsidRPr="00ED0973">
        <w:rPr>
          <w:color w:val="000000" w:themeColor="text1"/>
          <w:sz w:val="24"/>
          <w:szCs w:val="24"/>
        </w:rPr>
        <w:t xml:space="preserve"> </w:t>
      </w:r>
      <w:r w:rsidR="00C11550">
        <w:rPr>
          <w:color w:val="000000" w:themeColor="text1"/>
          <w:sz w:val="24"/>
          <w:szCs w:val="24"/>
        </w:rPr>
        <w:t>metallic mining,</w:t>
      </w:r>
      <w:r w:rsidR="00C11550">
        <w:rPr>
          <w:rStyle w:val="Voetnootmarkering"/>
          <w:color w:val="000000" w:themeColor="text1"/>
          <w:sz w:val="24"/>
          <w:szCs w:val="24"/>
        </w:rPr>
        <w:footnoteReference w:id="32"/>
      </w:r>
      <w:r w:rsidR="00C11550">
        <w:rPr>
          <w:color w:val="000000" w:themeColor="text1"/>
          <w:sz w:val="24"/>
          <w:szCs w:val="24"/>
        </w:rPr>
        <w:t xml:space="preserve"> </w:t>
      </w:r>
      <w:r w:rsidR="001B789C" w:rsidRPr="00ED0973">
        <w:rPr>
          <w:color w:val="000000" w:themeColor="text1"/>
          <w:sz w:val="24"/>
          <w:szCs w:val="24"/>
        </w:rPr>
        <w:t>quarry,</w:t>
      </w:r>
      <w:bookmarkStart w:id="0" w:name="_Ref462696658"/>
      <w:r w:rsidR="001B789C" w:rsidRPr="00ED0973">
        <w:rPr>
          <w:rStyle w:val="Voetnootmarkering"/>
          <w:color w:val="000000" w:themeColor="text1"/>
          <w:sz w:val="24"/>
          <w:szCs w:val="24"/>
        </w:rPr>
        <w:footnoteReference w:id="33"/>
      </w:r>
      <w:bookmarkEnd w:id="0"/>
      <w:r w:rsidR="001B789C" w:rsidRPr="00ED0973">
        <w:rPr>
          <w:color w:val="000000" w:themeColor="text1"/>
          <w:sz w:val="24"/>
          <w:szCs w:val="24"/>
        </w:rPr>
        <w:t xml:space="preserve"> </w:t>
      </w:r>
      <w:r w:rsidR="00F27B19" w:rsidRPr="00ED0973">
        <w:rPr>
          <w:color w:val="000000" w:themeColor="text1"/>
          <w:sz w:val="24"/>
          <w:szCs w:val="24"/>
        </w:rPr>
        <w:t xml:space="preserve">or waste disposal </w:t>
      </w:r>
      <w:r w:rsidR="00F27B19" w:rsidRPr="00ED0973">
        <w:rPr>
          <w:color w:val="000000" w:themeColor="text1"/>
          <w:sz w:val="24"/>
          <w:szCs w:val="24"/>
        </w:rPr>
        <w:lastRenderedPageBreak/>
        <w:t>facility,</w:t>
      </w:r>
      <w:r w:rsidR="00F27B19" w:rsidRPr="00ED0973">
        <w:rPr>
          <w:rStyle w:val="Voetnootmarkering"/>
          <w:color w:val="000000" w:themeColor="text1"/>
          <w:sz w:val="24"/>
          <w:szCs w:val="24"/>
        </w:rPr>
        <w:footnoteReference w:id="34"/>
      </w:r>
      <w:r w:rsidR="00F27B19" w:rsidRPr="00ED0973">
        <w:rPr>
          <w:color w:val="000000" w:themeColor="text1"/>
          <w:sz w:val="24"/>
          <w:szCs w:val="24"/>
        </w:rPr>
        <w:t xml:space="preserve"> </w:t>
      </w:r>
      <w:r w:rsidR="00B21E50" w:rsidRPr="00ED0973">
        <w:rPr>
          <w:color w:val="000000" w:themeColor="text1"/>
          <w:sz w:val="24"/>
          <w:szCs w:val="24"/>
        </w:rPr>
        <w:t>issuing a permit with strict environmental conditions,</w:t>
      </w:r>
      <w:r w:rsidR="00B21E50" w:rsidRPr="00ED0973">
        <w:rPr>
          <w:rStyle w:val="Voetnootmarkering"/>
          <w:color w:val="000000" w:themeColor="text1"/>
          <w:sz w:val="24"/>
          <w:szCs w:val="24"/>
        </w:rPr>
        <w:footnoteReference w:id="35"/>
      </w:r>
      <w:r w:rsidR="00B21E50" w:rsidRPr="00ED0973">
        <w:rPr>
          <w:color w:val="000000" w:themeColor="text1"/>
          <w:sz w:val="24"/>
          <w:szCs w:val="24"/>
        </w:rPr>
        <w:t xml:space="preserve"> </w:t>
      </w:r>
      <w:r w:rsidR="008F44F3" w:rsidRPr="00ED0973">
        <w:rPr>
          <w:color w:val="000000" w:themeColor="text1"/>
          <w:sz w:val="24"/>
          <w:szCs w:val="24"/>
        </w:rPr>
        <w:t>revoking a license that allowed for the drilling for shale gas,</w:t>
      </w:r>
      <w:r w:rsidR="00762848" w:rsidRPr="00ED0973">
        <w:rPr>
          <w:color w:val="000000" w:themeColor="text1"/>
          <w:sz w:val="24"/>
          <w:szCs w:val="24"/>
          <w:vertAlign w:val="superscript"/>
        </w:rPr>
        <w:footnoteReference w:id="36"/>
      </w:r>
      <w:r w:rsidR="00762848" w:rsidRPr="00ED0973">
        <w:rPr>
          <w:color w:val="000000" w:themeColor="text1"/>
          <w:sz w:val="24"/>
          <w:szCs w:val="24"/>
        </w:rPr>
        <w:t xml:space="preserve"> </w:t>
      </w:r>
      <w:r w:rsidR="0034458C" w:rsidRPr="00ED0973">
        <w:rPr>
          <w:color w:val="000000" w:themeColor="text1"/>
          <w:sz w:val="24"/>
          <w:szCs w:val="24"/>
        </w:rPr>
        <w:t>termination of an oil concession after the investor violated national law,</w:t>
      </w:r>
      <w:bookmarkStart w:id="1" w:name="_Ref462696898"/>
      <w:r w:rsidR="0034458C" w:rsidRPr="00ED0973">
        <w:rPr>
          <w:rStyle w:val="Voetnootmarkering"/>
          <w:color w:val="000000" w:themeColor="text1"/>
          <w:sz w:val="24"/>
          <w:szCs w:val="24"/>
        </w:rPr>
        <w:footnoteReference w:id="37"/>
      </w:r>
      <w:bookmarkEnd w:id="1"/>
      <w:r w:rsidR="0034458C" w:rsidRPr="00ED0973">
        <w:rPr>
          <w:color w:val="000000" w:themeColor="text1"/>
          <w:sz w:val="24"/>
          <w:szCs w:val="24"/>
        </w:rPr>
        <w:t xml:space="preserve"> </w:t>
      </w:r>
      <w:r w:rsidR="008F44F3" w:rsidRPr="00ED0973">
        <w:rPr>
          <w:color w:val="000000" w:themeColor="text1"/>
          <w:sz w:val="24"/>
          <w:szCs w:val="24"/>
        </w:rPr>
        <w:t>claiming compensation when anti-smokin</w:t>
      </w:r>
      <w:r w:rsidR="000005E0" w:rsidRPr="00ED0973">
        <w:rPr>
          <w:color w:val="000000" w:themeColor="text1"/>
          <w:sz w:val="24"/>
          <w:szCs w:val="24"/>
        </w:rPr>
        <w:t>g measures like plane packaging</w:t>
      </w:r>
      <w:r w:rsidR="008F44F3" w:rsidRPr="00ED0973">
        <w:rPr>
          <w:color w:val="000000" w:themeColor="text1"/>
          <w:sz w:val="24"/>
          <w:szCs w:val="24"/>
        </w:rPr>
        <w:t xml:space="preserve"> are introduced,</w:t>
      </w:r>
      <w:r w:rsidR="00762848" w:rsidRPr="00ED0973">
        <w:rPr>
          <w:rStyle w:val="Voetnootmarkering"/>
          <w:color w:val="000000" w:themeColor="text1"/>
          <w:sz w:val="24"/>
          <w:szCs w:val="24"/>
        </w:rPr>
        <w:footnoteReference w:id="38"/>
      </w:r>
      <w:r w:rsidR="008F44F3" w:rsidRPr="00ED0973">
        <w:rPr>
          <w:color w:val="000000" w:themeColor="text1"/>
          <w:sz w:val="24"/>
          <w:szCs w:val="24"/>
        </w:rPr>
        <w:t xml:space="preserve"> </w:t>
      </w:r>
      <w:r w:rsidR="00030B0A" w:rsidRPr="00ED0973">
        <w:rPr>
          <w:color w:val="000000" w:themeColor="text1"/>
          <w:sz w:val="24"/>
          <w:szCs w:val="24"/>
        </w:rPr>
        <w:t xml:space="preserve">deciding to phase out nuclear energy by the year 2022 in the wake of the Fukushima </w:t>
      </w:r>
      <w:r w:rsidR="00F369DE" w:rsidRPr="00ED0973">
        <w:rPr>
          <w:color w:val="000000" w:themeColor="text1"/>
          <w:sz w:val="24"/>
          <w:szCs w:val="24"/>
        </w:rPr>
        <w:t>disaster in 2011</w:t>
      </w:r>
      <w:r w:rsidR="00D72CAA" w:rsidRPr="00ED0973">
        <w:rPr>
          <w:rStyle w:val="Voetnootmarkering"/>
          <w:color w:val="000000" w:themeColor="text1"/>
          <w:sz w:val="24"/>
          <w:szCs w:val="24"/>
        </w:rPr>
        <w:footnoteReference w:id="39"/>
      </w:r>
      <w:r w:rsidR="00645AAE" w:rsidRPr="00ED0973">
        <w:rPr>
          <w:color w:val="000000" w:themeColor="text1"/>
          <w:sz w:val="24"/>
          <w:szCs w:val="24"/>
        </w:rPr>
        <w:t xml:space="preserve"> </w:t>
      </w:r>
      <w:r w:rsidR="005269D4">
        <w:rPr>
          <w:color w:val="000000" w:themeColor="text1"/>
          <w:sz w:val="24"/>
          <w:szCs w:val="24"/>
        </w:rPr>
        <w:t xml:space="preserve">and restricting the </w:t>
      </w:r>
      <w:r w:rsidR="00CA3DB9">
        <w:rPr>
          <w:color w:val="000000" w:themeColor="text1"/>
          <w:sz w:val="24"/>
          <w:szCs w:val="24"/>
        </w:rPr>
        <w:t xml:space="preserve">fuel </w:t>
      </w:r>
      <w:r w:rsidR="005269D4">
        <w:rPr>
          <w:color w:val="000000" w:themeColor="text1"/>
          <w:sz w:val="24"/>
          <w:szCs w:val="24"/>
        </w:rPr>
        <w:t>additive MMT in fuels</w:t>
      </w:r>
      <w:bookmarkStart w:id="2" w:name="_Ref463215081"/>
      <w:r w:rsidR="005269D4">
        <w:rPr>
          <w:rStyle w:val="Voetnootmarkering"/>
          <w:color w:val="000000" w:themeColor="text1"/>
          <w:sz w:val="24"/>
          <w:szCs w:val="24"/>
        </w:rPr>
        <w:footnoteReference w:id="40"/>
      </w:r>
      <w:bookmarkEnd w:id="2"/>
      <w:r w:rsidR="005269D4">
        <w:rPr>
          <w:color w:val="000000" w:themeColor="text1"/>
          <w:sz w:val="24"/>
          <w:szCs w:val="24"/>
        </w:rPr>
        <w:t xml:space="preserve"> </w:t>
      </w:r>
      <w:r w:rsidR="00A50487">
        <w:rPr>
          <w:color w:val="000000" w:themeColor="text1"/>
          <w:sz w:val="24"/>
          <w:szCs w:val="24"/>
        </w:rPr>
        <w:t xml:space="preserve">are </w:t>
      </w:r>
      <w:r w:rsidR="00A50487">
        <w:rPr>
          <w:color w:val="000000" w:themeColor="text1"/>
          <w:sz w:val="24"/>
          <w:szCs w:val="24"/>
        </w:rPr>
        <w:lastRenderedPageBreak/>
        <w:t>among the</w:t>
      </w:r>
      <w:r w:rsidR="0024703B" w:rsidRPr="00ED0973">
        <w:rPr>
          <w:color w:val="000000" w:themeColor="text1"/>
          <w:sz w:val="24"/>
          <w:szCs w:val="24"/>
        </w:rPr>
        <w:t xml:space="preserve"> </w:t>
      </w:r>
      <w:r w:rsidR="0034458C" w:rsidRPr="00ED0973">
        <w:rPr>
          <w:color w:val="000000" w:themeColor="text1"/>
          <w:sz w:val="24"/>
          <w:szCs w:val="24"/>
        </w:rPr>
        <w:t xml:space="preserve">ISDS </w:t>
      </w:r>
      <w:r w:rsidR="0024703B" w:rsidRPr="00ED0973">
        <w:rPr>
          <w:color w:val="000000" w:themeColor="text1"/>
          <w:sz w:val="24"/>
          <w:szCs w:val="24"/>
        </w:rPr>
        <w:t>claims</w:t>
      </w:r>
      <w:r w:rsidR="0034458C" w:rsidRPr="00ED0973">
        <w:rPr>
          <w:color w:val="000000" w:themeColor="text1"/>
          <w:sz w:val="24"/>
          <w:szCs w:val="24"/>
        </w:rPr>
        <w:t xml:space="preserve"> with sustainability aspects</w:t>
      </w:r>
      <w:r w:rsidR="0024703B" w:rsidRPr="00ED0973">
        <w:rPr>
          <w:color w:val="000000" w:themeColor="text1"/>
          <w:sz w:val="24"/>
          <w:szCs w:val="24"/>
        </w:rPr>
        <w:t xml:space="preserve">. </w:t>
      </w:r>
    </w:p>
    <w:p w14:paraId="2ADF5D6B" w14:textId="77777777" w:rsidR="00F948D1" w:rsidRDefault="0024703B"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t xml:space="preserve">Even if investors do not always win or </w:t>
      </w:r>
      <w:r w:rsidR="009D4856">
        <w:rPr>
          <w:color w:val="000000" w:themeColor="text1"/>
          <w:sz w:val="24"/>
          <w:szCs w:val="24"/>
        </w:rPr>
        <w:t xml:space="preserve">are </w:t>
      </w:r>
      <w:r w:rsidRPr="00ED0973">
        <w:rPr>
          <w:color w:val="000000" w:themeColor="text1"/>
          <w:sz w:val="24"/>
          <w:szCs w:val="24"/>
        </w:rPr>
        <w:t>able to settle,</w:t>
      </w:r>
      <w:r w:rsidR="00645AAE" w:rsidRPr="00ED0973">
        <w:rPr>
          <w:color w:val="000000" w:themeColor="text1"/>
          <w:sz w:val="24"/>
          <w:szCs w:val="24"/>
        </w:rPr>
        <w:t xml:space="preserve"> </w:t>
      </w:r>
      <w:r w:rsidRPr="00ED0973">
        <w:rPr>
          <w:color w:val="000000" w:themeColor="text1"/>
          <w:sz w:val="24"/>
          <w:szCs w:val="24"/>
        </w:rPr>
        <w:t>threatening to bring a claim alone can</w:t>
      </w:r>
      <w:r w:rsidR="00645AAE" w:rsidRPr="00ED0973">
        <w:rPr>
          <w:color w:val="000000" w:themeColor="text1"/>
          <w:sz w:val="24"/>
          <w:szCs w:val="24"/>
        </w:rPr>
        <w:t xml:space="preserve"> have a ‘regul</w:t>
      </w:r>
      <w:r w:rsidR="00090982" w:rsidRPr="00ED0973">
        <w:rPr>
          <w:color w:val="000000" w:themeColor="text1"/>
          <w:sz w:val="24"/>
          <w:szCs w:val="24"/>
        </w:rPr>
        <w:t>atory chill’ effect</w:t>
      </w:r>
      <w:r w:rsidR="00DD33B9" w:rsidRPr="00ED0973">
        <w:rPr>
          <w:color w:val="000000" w:themeColor="text1"/>
          <w:sz w:val="24"/>
          <w:szCs w:val="24"/>
        </w:rPr>
        <w:t>.</w:t>
      </w:r>
      <w:r w:rsidR="007A66E1" w:rsidRPr="00ED0973">
        <w:rPr>
          <w:rStyle w:val="Voetnootmarkering"/>
          <w:color w:val="000000" w:themeColor="text1"/>
          <w:sz w:val="24"/>
          <w:szCs w:val="24"/>
        </w:rPr>
        <w:footnoteReference w:id="41"/>
      </w:r>
      <w:r w:rsidR="00DD33B9" w:rsidRPr="00ED0973">
        <w:rPr>
          <w:color w:val="000000" w:themeColor="text1"/>
          <w:sz w:val="24"/>
          <w:szCs w:val="24"/>
        </w:rPr>
        <w:t xml:space="preserve"> </w:t>
      </w:r>
      <w:r w:rsidR="00BF44E9" w:rsidRPr="00ED0973">
        <w:rPr>
          <w:color w:val="000000" w:themeColor="text1"/>
          <w:sz w:val="24"/>
          <w:szCs w:val="24"/>
        </w:rPr>
        <w:t xml:space="preserve">The </w:t>
      </w:r>
      <w:r w:rsidR="0034458C" w:rsidRPr="00ED0973">
        <w:rPr>
          <w:color w:val="000000" w:themeColor="text1"/>
          <w:sz w:val="24"/>
          <w:szCs w:val="24"/>
        </w:rPr>
        <w:t>claims can be as high as several</w:t>
      </w:r>
      <w:r w:rsidR="00090982" w:rsidRPr="00ED0973">
        <w:rPr>
          <w:color w:val="000000" w:themeColor="text1"/>
          <w:sz w:val="24"/>
          <w:szCs w:val="24"/>
        </w:rPr>
        <w:t xml:space="preserve"> billion</w:t>
      </w:r>
      <w:r w:rsidR="0034458C" w:rsidRPr="00ED0973">
        <w:rPr>
          <w:color w:val="000000" w:themeColor="text1"/>
          <w:sz w:val="24"/>
          <w:szCs w:val="24"/>
        </w:rPr>
        <w:t>s</w:t>
      </w:r>
      <w:r w:rsidR="00090982" w:rsidRPr="00ED0973">
        <w:rPr>
          <w:color w:val="000000" w:themeColor="text1"/>
          <w:sz w:val="24"/>
          <w:szCs w:val="24"/>
        </w:rPr>
        <w:t xml:space="preserve"> </w:t>
      </w:r>
      <w:r w:rsidR="0034458C" w:rsidRPr="00ED0973">
        <w:rPr>
          <w:color w:val="000000" w:themeColor="text1"/>
          <w:sz w:val="24"/>
          <w:szCs w:val="24"/>
        </w:rPr>
        <w:t>of Euros,</w:t>
      </w:r>
      <w:r w:rsidR="0034458C" w:rsidRPr="00ED0973">
        <w:rPr>
          <w:rStyle w:val="Voetnootmarkering"/>
          <w:color w:val="000000" w:themeColor="text1"/>
          <w:sz w:val="24"/>
          <w:szCs w:val="24"/>
        </w:rPr>
        <w:t xml:space="preserve"> </w:t>
      </w:r>
      <w:bookmarkStart w:id="3" w:name="_Ref462696914"/>
      <w:r w:rsidR="0034458C" w:rsidRPr="00ED0973">
        <w:rPr>
          <w:rStyle w:val="Voetnootmarkering"/>
          <w:color w:val="000000" w:themeColor="text1"/>
          <w:sz w:val="24"/>
          <w:szCs w:val="24"/>
        </w:rPr>
        <w:footnoteReference w:id="42"/>
      </w:r>
      <w:bookmarkEnd w:id="3"/>
      <w:r w:rsidR="00BF44E9" w:rsidRPr="00ED0973">
        <w:rPr>
          <w:color w:val="000000" w:themeColor="text1"/>
          <w:sz w:val="24"/>
          <w:szCs w:val="24"/>
        </w:rPr>
        <w:t xml:space="preserve"> but even lower claims </w:t>
      </w:r>
      <w:r w:rsidR="0034458C" w:rsidRPr="00ED0973">
        <w:rPr>
          <w:color w:val="000000" w:themeColor="text1"/>
          <w:sz w:val="24"/>
          <w:szCs w:val="24"/>
        </w:rPr>
        <w:t>can be relatively high for smaller countries, t</w:t>
      </w:r>
      <w:r w:rsidR="00BF44E9" w:rsidRPr="00ED0973">
        <w:rPr>
          <w:color w:val="000000" w:themeColor="text1"/>
          <w:sz w:val="24"/>
          <w:szCs w:val="24"/>
        </w:rPr>
        <w:t>hat initially also face the</w:t>
      </w:r>
      <w:r w:rsidR="0034458C" w:rsidRPr="00ED0973">
        <w:rPr>
          <w:color w:val="000000" w:themeColor="text1"/>
          <w:sz w:val="24"/>
          <w:szCs w:val="24"/>
        </w:rPr>
        <w:t xml:space="preserve"> costs of the proceedings</w:t>
      </w:r>
      <w:r w:rsidR="00DC406B" w:rsidRPr="00ED0973">
        <w:rPr>
          <w:color w:val="000000" w:themeColor="text1"/>
          <w:sz w:val="24"/>
          <w:szCs w:val="24"/>
        </w:rPr>
        <w:t>.</w:t>
      </w:r>
      <w:r w:rsidR="008E378A" w:rsidRPr="00ED0973">
        <w:rPr>
          <w:rStyle w:val="Voetnootmarkering"/>
          <w:color w:val="000000" w:themeColor="text1"/>
          <w:sz w:val="24"/>
          <w:szCs w:val="24"/>
        </w:rPr>
        <w:footnoteReference w:id="43"/>
      </w:r>
      <w:r w:rsidR="00804685" w:rsidRPr="00ED0973">
        <w:rPr>
          <w:color w:val="000000" w:themeColor="text1"/>
          <w:sz w:val="24"/>
          <w:szCs w:val="24"/>
        </w:rPr>
        <w:t xml:space="preserve"> In </w:t>
      </w:r>
      <w:r w:rsidR="001838A0" w:rsidRPr="00ED0973">
        <w:rPr>
          <w:color w:val="000000" w:themeColor="text1"/>
          <w:sz w:val="24"/>
          <w:szCs w:val="24"/>
        </w:rPr>
        <w:t>20</w:t>
      </w:r>
      <w:r w:rsidR="00804685" w:rsidRPr="00ED0973">
        <w:rPr>
          <w:color w:val="000000" w:themeColor="text1"/>
          <w:sz w:val="24"/>
          <w:szCs w:val="24"/>
        </w:rPr>
        <w:t xml:space="preserve">15, </w:t>
      </w:r>
      <w:r w:rsidR="005777BF" w:rsidRPr="00ED0973">
        <w:rPr>
          <w:color w:val="000000" w:themeColor="text1"/>
          <w:sz w:val="24"/>
          <w:szCs w:val="24"/>
        </w:rPr>
        <w:t>s</w:t>
      </w:r>
      <w:r w:rsidR="00543130" w:rsidRPr="00ED0973">
        <w:rPr>
          <w:color w:val="000000" w:themeColor="text1"/>
          <w:sz w:val="24"/>
          <w:szCs w:val="24"/>
        </w:rPr>
        <w:t>ome</w:t>
      </w:r>
      <w:r w:rsidR="001B0229" w:rsidRPr="00ED0973">
        <w:rPr>
          <w:color w:val="000000" w:themeColor="text1"/>
          <w:sz w:val="24"/>
          <w:szCs w:val="24"/>
        </w:rPr>
        <w:t xml:space="preserve"> </w:t>
      </w:r>
      <w:r w:rsidR="00562D82" w:rsidRPr="00ED0973">
        <w:rPr>
          <w:color w:val="000000" w:themeColor="text1"/>
          <w:sz w:val="24"/>
          <w:szCs w:val="24"/>
        </w:rPr>
        <w:t>26%</w:t>
      </w:r>
      <w:r w:rsidR="00D32398" w:rsidRPr="00ED0973">
        <w:rPr>
          <w:color w:val="000000" w:themeColor="text1"/>
          <w:sz w:val="24"/>
          <w:szCs w:val="24"/>
        </w:rPr>
        <w:t xml:space="preserve"> </w:t>
      </w:r>
      <w:r w:rsidR="00B43A46" w:rsidRPr="00ED0973">
        <w:rPr>
          <w:color w:val="000000" w:themeColor="text1"/>
          <w:sz w:val="24"/>
          <w:szCs w:val="24"/>
        </w:rPr>
        <w:t xml:space="preserve">of all concluded cases </w:t>
      </w:r>
      <w:r w:rsidR="00D32398" w:rsidRPr="00ED0973">
        <w:rPr>
          <w:color w:val="000000" w:themeColor="text1"/>
          <w:sz w:val="24"/>
          <w:szCs w:val="24"/>
        </w:rPr>
        <w:t>were decided in favour of the investor</w:t>
      </w:r>
      <w:r w:rsidR="00EC4756" w:rsidRPr="00ED0973">
        <w:rPr>
          <w:color w:val="000000" w:themeColor="text1"/>
          <w:sz w:val="24"/>
          <w:szCs w:val="24"/>
        </w:rPr>
        <w:t xml:space="preserve"> (a bit less than in previous years)</w:t>
      </w:r>
      <w:r w:rsidR="00EC4756" w:rsidRPr="00ED0973">
        <w:rPr>
          <w:rStyle w:val="Voetnootmarkering"/>
          <w:color w:val="000000" w:themeColor="text1"/>
          <w:sz w:val="24"/>
          <w:szCs w:val="24"/>
        </w:rPr>
        <w:footnoteReference w:id="44"/>
      </w:r>
      <w:r w:rsidR="00D32398" w:rsidRPr="00ED0973">
        <w:rPr>
          <w:color w:val="000000" w:themeColor="text1"/>
          <w:sz w:val="24"/>
          <w:szCs w:val="24"/>
        </w:rPr>
        <w:t xml:space="preserve"> </w:t>
      </w:r>
      <w:r w:rsidR="00965B39" w:rsidRPr="00ED0973">
        <w:rPr>
          <w:color w:val="000000" w:themeColor="text1"/>
          <w:sz w:val="24"/>
          <w:szCs w:val="24"/>
        </w:rPr>
        <w:t xml:space="preserve">- </w:t>
      </w:r>
      <w:r w:rsidR="00D32398" w:rsidRPr="00ED0973">
        <w:rPr>
          <w:color w:val="000000" w:themeColor="text1"/>
          <w:sz w:val="24"/>
          <w:szCs w:val="24"/>
        </w:rPr>
        <w:t xml:space="preserve">with monetary compensation awarded, </w:t>
      </w:r>
      <w:r w:rsidR="00C82BF0" w:rsidRPr="00ED0973">
        <w:rPr>
          <w:color w:val="000000" w:themeColor="text1"/>
          <w:sz w:val="24"/>
          <w:szCs w:val="24"/>
        </w:rPr>
        <w:t xml:space="preserve">another 26% was settled, </w:t>
      </w:r>
      <w:r w:rsidR="00D32398" w:rsidRPr="00ED0973">
        <w:rPr>
          <w:color w:val="000000" w:themeColor="text1"/>
          <w:sz w:val="24"/>
          <w:szCs w:val="24"/>
        </w:rPr>
        <w:t>and a</w:t>
      </w:r>
      <w:r w:rsidR="00777A90" w:rsidRPr="00ED0973">
        <w:rPr>
          <w:color w:val="000000" w:themeColor="text1"/>
          <w:sz w:val="24"/>
          <w:szCs w:val="24"/>
        </w:rPr>
        <w:t>bout 36%</w:t>
      </w:r>
      <w:r w:rsidR="00F744C0" w:rsidRPr="00ED0973">
        <w:rPr>
          <w:color w:val="000000" w:themeColor="text1"/>
          <w:sz w:val="24"/>
          <w:szCs w:val="24"/>
        </w:rPr>
        <w:t xml:space="preserve"> </w:t>
      </w:r>
      <w:r w:rsidR="00777A90" w:rsidRPr="00ED0973">
        <w:rPr>
          <w:color w:val="000000" w:themeColor="text1"/>
          <w:sz w:val="24"/>
          <w:szCs w:val="24"/>
        </w:rPr>
        <w:t>was</w:t>
      </w:r>
      <w:r w:rsidR="00F744C0" w:rsidRPr="00ED0973">
        <w:rPr>
          <w:color w:val="000000" w:themeColor="text1"/>
          <w:sz w:val="24"/>
          <w:szCs w:val="24"/>
        </w:rPr>
        <w:t xml:space="preserve"> decided in favour of the State</w:t>
      </w:r>
      <w:r w:rsidR="0008071F" w:rsidRPr="00ED0973">
        <w:rPr>
          <w:color w:val="000000" w:themeColor="text1"/>
          <w:sz w:val="24"/>
          <w:szCs w:val="24"/>
        </w:rPr>
        <w:t xml:space="preserve"> </w:t>
      </w:r>
      <w:r w:rsidR="003833CF" w:rsidRPr="00ED0973">
        <w:rPr>
          <w:color w:val="000000" w:themeColor="text1"/>
          <w:sz w:val="24"/>
          <w:szCs w:val="24"/>
        </w:rPr>
        <w:t>(</w:t>
      </w:r>
      <w:r w:rsidR="00A666E1" w:rsidRPr="00ED0973">
        <w:rPr>
          <w:color w:val="000000" w:themeColor="text1"/>
          <w:sz w:val="24"/>
          <w:szCs w:val="24"/>
        </w:rPr>
        <w:t xml:space="preserve">with </w:t>
      </w:r>
      <w:r w:rsidR="00D0181A" w:rsidRPr="00ED0973">
        <w:rPr>
          <w:color w:val="000000" w:themeColor="text1"/>
          <w:sz w:val="24"/>
          <w:szCs w:val="24"/>
        </w:rPr>
        <w:t xml:space="preserve">about half of the </w:t>
      </w:r>
      <w:r w:rsidR="0008071F" w:rsidRPr="00ED0973">
        <w:rPr>
          <w:color w:val="000000" w:themeColor="text1"/>
          <w:sz w:val="24"/>
          <w:szCs w:val="24"/>
        </w:rPr>
        <w:t>claims dismissed on jurisdictional grounds</w:t>
      </w:r>
      <w:r w:rsidR="00D0181A" w:rsidRPr="00ED0973">
        <w:rPr>
          <w:color w:val="000000" w:themeColor="text1"/>
          <w:sz w:val="24"/>
          <w:szCs w:val="24"/>
        </w:rPr>
        <w:t xml:space="preserve"> and the other half on</w:t>
      </w:r>
      <w:r w:rsidR="0008071F" w:rsidRPr="00ED0973">
        <w:rPr>
          <w:color w:val="000000" w:themeColor="text1"/>
          <w:sz w:val="24"/>
          <w:szCs w:val="24"/>
        </w:rPr>
        <w:t xml:space="preserve"> the merits)</w:t>
      </w:r>
      <w:r w:rsidR="00B43A46" w:rsidRPr="00ED0973">
        <w:rPr>
          <w:color w:val="000000" w:themeColor="text1"/>
          <w:sz w:val="24"/>
          <w:szCs w:val="24"/>
        </w:rPr>
        <w:t>.</w:t>
      </w:r>
      <w:r w:rsidR="0008071F" w:rsidRPr="00ED0973">
        <w:rPr>
          <w:color w:val="000000" w:themeColor="text1"/>
          <w:sz w:val="24"/>
          <w:szCs w:val="24"/>
        </w:rPr>
        <w:t xml:space="preserve"> </w:t>
      </w:r>
      <w:r w:rsidR="00285AAD">
        <w:rPr>
          <w:color w:val="000000" w:themeColor="text1"/>
          <w:sz w:val="24"/>
          <w:szCs w:val="24"/>
        </w:rPr>
        <w:t>The U.S.A. forms an exception: it never lost a case,</w:t>
      </w:r>
      <w:r w:rsidR="00285AAD">
        <w:rPr>
          <w:rStyle w:val="Voetnootmarkering"/>
          <w:color w:val="000000" w:themeColor="text1"/>
          <w:sz w:val="24"/>
          <w:szCs w:val="24"/>
        </w:rPr>
        <w:footnoteReference w:id="45"/>
      </w:r>
      <w:r w:rsidR="00285AAD">
        <w:rPr>
          <w:color w:val="000000" w:themeColor="text1"/>
          <w:sz w:val="24"/>
          <w:szCs w:val="24"/>
        </w:rPr>
        <w:t xml:space="preserve"> and U.S. </w:t>
      </w:r>
      <w:r w:rsidR="00377751">
        <w:rPr>
          <w:color w:val="000000" w:themeColor="text1"/>
          <w:sz w:val="24"/>
          <w:szCs w:val="24"/>
        </w:rPr>
        <w:t xml:space="preserve">companies initiating claims against host states </w:t>
      </w:r>
      <w:r w:rsidR="00285AAD">
        <w:rPr>
          <w:color w:val="000000" w:themeColor="text1"/>
          <w:sz w:val="24"/>
          <w:szCs w:val="24"/>
        </w:rPr>
        <w:t>won over half of the cases.</w:t>
      </w:r>
      <w:r w:rsidR="00285AAD">
        <w:rPr>
          <w:rStyle w:val="Voetnootmarkering"/>
          <w:color w:val="000000" w:themeColor="text1"/>
          <w:sz w:val="24"/>
          <w:szCs w:val="24"/>
        </w:rPr>
        <w:footnoteReference w:id="46"/>
      </w:r>
      <w:r w:rsidR="00377751">
        <w:rPr>
          <w:color w:val="000000" w:themeColor="text1"/>
          <w:sz w:val="24"/>
          <w:szCs w:val="24"/>
        </w:rPr>
        <w:t xml:space="preserve"> </w:t>
      </w:r>
      <w:r w:rsidR="00285AAD">
        <w:rPr>
          <w:color w:val="000000" w:themeColor="text1"/>
          <w:sz w:val="24"/>
          <w:szCs w:val="24"/>
        </w:rPr>
        <w:t>Canada also performed be</w:t>
      </w:r>
      <w:r w:rsidR="00870173">
        <w:rPr>
          <w:color w:val="000000" w:themeColor="text1"/>
          <w:sz w:val="24"/>
          <w:szCs w:val="24"/>
        </w:rPr>
        <w:t>tter than the average state, losing</w:t>
      </w:r>
      <w:r w:rsidR="00285AAD">
        <w:rPr>
          <w:color w:val="000000" w:themeColor="text1"/>
          <w:sz w:val="24"/>
          <w:szCs w:val="24"/>
        </w:rPr>
        <w:t xml:space="preserve"> only three cases</w:t>
      </w:r>
      <w:r w:rsidR="00870173">
        <w:rPr>
          <w:color w:val="000000" w:themeColor="text1"/>
          <w:sz w:val="24"/>
          <w:szCs w:val="24"/>
        </w:rPr>
        <w:t xml:space="preserve"> so far</w:t>
      </w:r>
      <w:r w:rsidR="00285AAD">
        <w:rPr>
          <w:color w:val="000000" w:themeColor="text1"/>
          <w:sz w:val="24"/>
          <w:szCs w:val="24"/>
        </w:rPr>
        <w:t>.</w:t>
      </w:r>
      <w:r w:rsidR="00285AAD">
        <w:rPr>
          <w:rStyle w:val="Voetnootmarkering"/>
          <w:color w:val="000000" w:themeColor="text1"/>
          <w:sz w:val="24"/>
          <w:szCs w:val="24"/>
        </w:rPr>
        <w:footnoteReference w:id="47"/>
      </w:r>
      <w:r w:rsidR="00285AAD">
        <w:rPr>
          <w:color w:val="000000" w:themeColor="text1"/>
          <w:sz w:val="24"/>
          <w:szCs w:val="24"/>
        </w:rPr>
        <w:t xml:space="preserve"> Canadian investors won or settled nine cases and lost 18. </w:t>
      </w:r>
    </w:p>
    <w:p w14:paraId="204C9203" w14:textId="319A3E08" w:rsidR="00453E37" w:rsidRPr="00ED0973" w:rsidRDefault="00870173" w:rsidP="00D73158">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In</w:t>
      </w:r>
      <w:r w:rsidR="00F744C0" w:rsidRPr="00ED0973">
        <w:rPr>
          <w:color w:val="000000" w:themeColor="text1"/>
          <w:sz w:val="24"/>
          <w:szCs w:val="24"/>
        </w:rPr>
        <w:t xml:space="preserve"> </w:t>
      </w:r>
      <w:r w:rsidR="00C82BF0" w:rsidRPr="00ED0973">
        <w:rPr>
          <w:color w:val="000000" w:themeColor="text1"/>
          <w:sz w:val="24"/>
          <w:szCs w:val="24"/>
        </w:rPr>
        <w:t>2015</w:t>
      </w:r>
      <w:r>
        <w:rPr>
          <w:color w:val="000000" w:themeColor="text1"/>
          <w:sz w:val="24"/>
          <w:szCs w:val="24"/>
        </w:rPr>
        <w:t>,</w:t>
      </w:r>
      <w:r w:rsidR="00C82BF0" w:rsidRPr="00ED0973">
        <w:rPr>
          <w:color w:val="000000" w:themeColor="text1"/>
          <w:sz w:val="24"/>
          <w:szCs w:val="24"/>
        </w:rPr>
        <w:t xml:space="preserve"> </w:t>
      </w:r>
      <w:r>
        <w:rPr>
          <w:color w:val="000000" w:themeColor="text1"/>
          <w:sz w:val="24"/>
          <w:szCs w:val="24"/>
        </w:rPr>
        <w:t xml:space="preserve">60 per cent of the decisions on the merits </w:t>
      </w:r>
      <w:r w:rsidR="00F948D1">
        <w:rPr>
          <w:color w:val="000000" w:themeColor="text1"/>
          <w:sz w:val="24"/>
          <w:szCs w:val="24"/>
        </w:rPr>
        <w:t xml:space="preserve">in ISDS cases </w:t>
      </w:r>
      <w:r>
        <w:rPr>
          <w:color w:val="000000" w:themeColor="text1"/>
          <w:sz w:val="24"/>
          <w:szCs w:val="24"/>
        </w:rPr>
        <w:t>was</w:t>
      </w:r>
      <w:r w:rsidR="00F744C0" w:rsidRPr="00ED0973">
        <w:rPr>
          <w:color w:val="000000" w:themeColor="text1"/>
          <w:sz w:val="24"/>
          <w:szCs w:val="24"/>
        </w:rPr>
        <w:t xml:space="preserve"> in favour of the investor, and 40 p</w:t>
      </w:r>
      <w:r w:rsidR="00120FB9" w:rsidRPr="00ED0973">
        <w:rPr>
          <w:color w:val="000000" w:themeColor="text1"/>
          <w:sz w:val="24"/>
          <w:szCs w:val="24"/>
        </w:rPr>
        <w:t>er cent in favour of the State</w:t>
      </w:r>
      <w:r w:rsidR="00F744C0" w:rsidRPr="00ED0973">
        <w:rPr>
          <w:color w:val="000000" w:themeColor="text1"/>
          <w:sz w:val="24"/>
          <w:szCs w:val="24"/>
        </w:rPr>
        <w:t>.</w:t>
      </w:r>
      <w:r w:rsidR="00525DA0" w:rsidRPr="00ED0973">
        <w:rPr>
          <w:color w:val="000000" w:themeColor="text1"/>
          <w:sz w:val="24"/>
          <w:szCs w:val="24"/>
        </w:rPr>
        <w:t xml:space="preserve"> </w:t>
      </w:r>
      <w:r w:rsidR="007C3703" w:rsidRPr="00ED0973">
        <w:rPr>
          <w:color w:val="000000" w:themeColor="text1"/>
          <w:sz w:val="24"/>
          <w:szCs w:val="24"/>
        </w:rPr>
        <w:t>E</w:t>
      </w:r>
      <w:r w:rsidR="00163795" w:rsidRPr="00ED0973">
        <w:rPr>
          <w:color w:val="000000" w:themeColor="text1"/>
          <w:sz w:val="24"/>
          <w:szCs w:val="24"/>
        </w:rPr>
        <w:t>ven if the</w:t>
      </w:r>
      <w:r w:rsidR="007C3703" w:rsidRPr="00ED0973">
        <w:rPr>
          <w:color w:val="000000" w:themeColor="text1"/>
          <w:sz w:val="24"/>
          <w:szCs w:val="24"/>
        </w:rPr>
        <w:t>se numbers</w:t>
      </w:r>
      <w:r w:rsidR="00163795" w:rsidRPr="00ED0973">
        <w:rPr>
          <w:color w:val="000000" w:themeColor="text1"/>
          <w:sz w:val="24"/>
          <w:szCs w:val="24"/>
        </w:rPr>
        <w:t xml:space="preserve"> do not relate solely to claims regarding the advancing of public interests</w:t>
      </w:r>
      <w:r w:rsidR="00FA62BC" w:rsidRPr="00ED0973">
        <w:rPr>
          <w:color w:val="000000" w:themeColor="text1"/>
          <w:sz w:val="24"/>
          <w:szCs w:val="24"/>
        </w:rPr>
        <w:t xml:space="preserve">, they </w:t>
      </w:r>
      <w:r w:rsidR="00A74EC7" w:rsidRPr="00ED0973">
        <w:rPr>
          <w:color w:val="000000" w:themeColor="text1"/>
          <w:sz w:val="24"/>
          <w:szCs w:val="24"/>
        </w:rPr>
        <w:t xml:space="preserve">could </w:t>
      </w:r>
      <w:r w:rsidR="008461BA" w:rsidRPr="00ED0973">
        <w:rPr>
          <w:color w:val="000000" w:themeColor="text1"/>
          <w:sz w:val="24"/>
          <w:szCs w:val="24"/>
        </w:rPr>
        <w:t xml:space="preserve">indicate that </w:t>
      </w:r>
      <w:r w:rsidR="002873FD" w:rsidRPr="00ED0973">
        <w:rPr>
          <w:color w:val="000000" w:themeColor="text1"/>
          <w:sz w:val="24"/>
          <w:szCs w:val="24"/>
        </w:rPr>
        <w:t xml:space="preserve">the </w:t>
      </w:r>
      <w:r w:rsidR="0047362E" w:rsidRPr="00ED0973">
        <w:rPr>
          <w:color w:val="000000" w:themeColor="text1"/>
          <w:sz w:val="24"/>
          <w:szCs w:val="24"/>
        </w:rPr>
        <w:t>ISDS</w:t>
      </w:r>
      <w:r w:rsidR="00DF5352">
        <w:rPr>
          <w:color w:val="000000" w:themeColor="text1"/>
          <w:sz w:val="24"/>
          <w:szCs w:val="24"/>
        </w:rPr>
        <w:t>/ICS</w:t>
      </w:r>
      <w:r w:rsidR="0047362E" w:rsidRPr="00ED0973">
        <w:rPr>
          <w:color w:val="000000" w:themeColor="text1"/>
          <w:sz w:val="24"/>
          <w:szCs w:val="24"/>
        </w:rPr>
        <w:t xml:space="preserve"> system </w:t>
      </w:r>
      <w:r w:rsidR="000142B1" w:rsidRPr="00ED0973">
        <w:rPr>
          <w:color w:val="000000" w:themeColor="text1"/>
          <w:sz w:val="24"/>
          <w:szCs w:val="24"/>
        </w:rPr>
        <w:t xml:space="preserve">leads to </w:t>
      </w:r>
      <w:r w:rsidR="00FD2B0B" w:rsidRPr="00ED0973">
        <w:rPr>
          <w:color w:val="000000" w:themeColor="text1"/>
          <w:sz w:val="24"/>
          <w:szCs w:val="24"/>
        </w:rPr>
        <w:t>outcomes</w:t>
      </w:r>
      <w:r w:rsidR="008461BA" w:rsidRPr="00ED0973">
        <w:rPr>
          <w:color w:val="000000" w:themeColor="text1"/>
          <w:sz w:val="24"/>
          <w:szCs w:val="24"/>
        </w:rPr>
        <w:t xml:space="preserve"> that favour inve</w:t>
      </w:r>
      <w:r w:rsidR="00FA62BC" w:rsidRPr="00ED0973">
        <w:rPr>
          <w:color w:val="000000" w:themeColor="text1"/>
          <w:sz w:val="24"/>
          <w:szCs w:val="24"/>
        </w:rPr>
        <w:t>stors</w:t>
      </w:r>
      <w:r w:rsidR="00D159CA" w:rsidRPr="00ED0973">
        <w:rPr>
          <w:color w:val="000000" w:themeColor="text1"/>
          <w:sz w:val="24"/>
          <w:szCs w:val="24"/>
        </w:rPr>
        <w:t>.</w:t>
      </w:r>
      <w:r w:rsidR="00A74EC7" w:rsidRPr="00ED0973">
        <w:rPr>
          <w:color w:val="000000" w:themeColor="text1"/>
          <w:sz w:val="24"/>
          <w:szCs w:val="24"/>
        </w:rPr>
        <w:t xml:space="preserve"> At the very least, they show that foreign </w:t>
      </w:r>
      <w:r w:rsidR="00A74EC7" w:rsidRPr="00ED0973">
        <w:rPr>
          <w:color w:val="000000" w:themeColor="text1"/>
          <w:sz w:val="24"/>
          <w:szCs w:val="24"/>
        </w:rPr>
        <w:lastRenderedPageBreak/>
        <w:t>investors stand a</w:t>
      </w:r>
      <w:r w:rsidR="00EA4DCB" w:rsidRPr="00ED0973">
        <w:rPr>
          <w:color w:val="000000" w:themeColor="text1"/>
          <w:sz w:val="24"/>
          <w:szCs w:val="24"/>
        </w:rPr>
        <w:t xml:space="preserve"> very</w:t>
      </w:r>
      <w:r w:rsidR="00A74EC7" w:rsidRPr="00ED0973">
        <w:rPr>
          <w:color w:val="000000" w:themeColor="text1"/>
          <w:sz w:val="24"/>
          <w:szCs w:val="24"/>
        </w:rPr>
        <w:t xml:space="preserve"> good chance to </w:t>
      </w:r>
      <w:r w:rsidR="00DA224E" w:rsidRPr="00ED0973">
        <w:rPr>
          <w:color w:val="000000" w:themeColor="text1"/>
          <w:sz w:val="24"/>
          <w:szCs w:val="24"/>
        </w:rPr>
        <w:t xml:space="preserve">persuade host </w:t>
      </w:r>
      <w:r w:rsidR="00037954" w:rsidRPr="00ED0973">
        <w:rPr>
          <w:color w:val="000000" w:themeColor="text1"/>
          <w:sz w:val="24"/>
          <w:szCs w:val="24"/>
        </w:rPr>
        <w:t>states to pay compensation or acco</w:t>
      </w:r>
      <w:r w:rsidR="00FA62BC" w:rsidRPr="00ED0973">
        <w:rPr>
          <w:color w:val="000000" w:themeColor="text1"/>
          <w:sz w:val="24"/>
          <w:szCs w:val="24"/>
        </w:rPr>
        <w:t>mmodate the investors through a settlement</w:t>
      </w:r>
      <w:r w:rsidR="00037954" w:rsidRPr="00ED0973">
        <w:rPr>
          <w:color w:val="000000" w:themeColor="text1"/>
          <w:sz w:val="24"/>
          <w:szCs w:val="24"/>
        </w:rPr>
        <w:t>.</w:t>
      </w:r>
      <w:r w:rsidR="00FA62BC" w:rsidRPr="00ED0973">
        <w:rPr>
          <w:color w:val="000000" w:themeColor="text1"/>
          <w:sz w:val="24"/>
          <w:szCs w:val="24"/>
        </w:rPr>
        <w:t xml:space="preserve"> That </w:t>
      </w:r>
      <w:r w:rsidR="00E93E0C" w:rsidRPr="00ED0973">
        <w:rPr>
          <w:color w:val="000000" w:themeColor="text1"/>
          <w:sz w:val="24"/>
          <w:szCs w:val="24"/>
        </w:rPr>
        <w:t xml:space="preserve">could be at the detriment of </w:t>
      </w:r>
      <w:r w:rsidR="001618AC" w:rsidRPr="00ED0973">
        <w:rPr>
          <w:color w:val="000000" w:themeColor="text1"/>
          <w:sz w:val="24"/>
          <w:szCs w:val="24"/>
        </w:rPr>
        <w:t>(</w:t>
      </w:r>
      <w:r w:rsidR="00E93E0C" w:rsidRPr="00ED0973">
        <w:rPr>
          <w:color w:val="000000" w:themeColor="text1"/>
          <w:sz w:val="24"/>
          <w:szCs w:val="24"/>
        </w:rPr>
        <w:t>the adoption of</w:t>
      </w:r>
      <w:r w:rsidR="001618AC" w:rsidRPr="00ED0973">
        <w:rPr>
          <w:color w:val="000000" w:themeColor="text1"/>
          <w:sz w:val="24"/>
          <w:szCs w:val="24"/>
        </w:rPr>
        <w:t>)</w:t>
      </w:r>
      <w:r w:rsidR="00E93E0C" w:rsidRPr="00ED0973">
        <w:rPr>
          <w:color w:val="000000" w:themeColor="text1"/>
          <w:sz w:val="24"/>
          <w:szCs w:val="24"/>
        </w:rPr>
        <w:t xml:space="preserve"> measures aimed at </w:t>
      </w:r>
      <w:r w:rsidR="003B5B27" w:rsidRPr="00ED0973">
        <w:rPr>
          <w:color w:val="000000" w:themeColor="text1"/>
          <w:sz w:val="24"/>
          <w:szCs w:val="24"/>
        </w:rPr>
        <w:t>protecting human health, nature, the environment in general</w:t>
      </w:r>
      <w:r w:rsidR="001618AC" w:rsidRPr="00ED0973">
        <w:rPr>
          <w:color w:val="000000" w:themeColor="text1"/>
          <w:sz w:val="24"/>
          <w:szCs w:val="24"/>
        </w:rPr>
        <w:t xml:space="preserve"> etc</w:t>
      </w:r>
      <w:r w:rsidR="003B5B27" w:rsidRPr="00ED0973">
        <w:rPr>
          <w:color w:val="000000" w:themeColor="text1"/>
          <w:sz w:val="24"/>
          <w:szCs w:val="24"/>
        </w:rPr>
        <w:t>.</w:t>
      </w:r>
      <w:r w:rsidR="001618AC" w:rsidRPr="00ED0973">
        <w:rPr>
          <w:color w:val="000000" w:themeColor="text1"/>
          <w:sz w:val="24"/>
          <w:szCs w:val="24"/>
        </w:rPr>
        <w:t>,</w:t>
      </w:r>
      <w:r w:rsidR="00243998" w:rsidRPr="00ED0973">
        <w:rPr>
          <w:rStyle w:val="Voetnootmarkering"/>
          <w:color w:val="000000" w:themeColor="text1"/>
          <w:sz w:val="24"/>
          <w:szCs w:val="24"/>
        </w:rPr>
        <w:footnoteReference w:id="48"/>
      </w:r>
      <w:r w:rsidR="003B5B27" w:rsidRPr="00ED0973">
        <w:rPr>
          <w:color w:val="000000" w:themeColor="text1"/>
          <w:sz w:val="24"/>
          <w:szCs w:val="24"/>
        </w:rPr>
        <w:t xml:space="preserve"> </w:t>
      </w:r>
      <w:r w:rsidR="001618AC" w:rsidRPr="00ED0973">
        <w:rPr>
          <w:color w:val="000000" w:themeColor="text1"/>
          <w:sz w:val="24"/>
          <w:szCs w:val="24"/>
        </w:rPr>
        <w:t xml:space="preserve">and even more so in situations where </w:t>
      </w:r>
      <w:r w:rsidR="00AF60EE" w:rsidRPr="00ED0973">
        <w:rPr>
          <w:color w:val="000000" w:themeColor="text1"/>
          <w:sz w:val="24"/>
          <w:szCs w:val="24"/>
        </w:rPr>
        <w:t>scientific evidence is not yet conclusive and measures are (to be) based on the precautionary principle.</w:t>
      </w:r>
      <w:r w:rsidR="008F1D26" w:rsidRPr="00ED0973">
        <w:rPr>
          <w:rStyle w:val="Voetnootmarkering"/>
          <w:color w:val="000000" w:themeColor="text1"/>
          <w:sz w:val="24"/>
          <w:szCs w:val="24"/>
        </w:rPr>
        <w:footnoteReference w:id="49"/>
      </w:r>
      <w:r w:rsidR="00AF60EE" w:rsidRPr="00ED0973">
        <w:rPr>
          <w:color w:val="000000" w:themeColor="text1"/>
          <w:sz w:val="24"/>
          <w:szCs w:val="24"/>
        </w:rPr>
        <w:t xml:space="preserve"> </w:t>
      </w:r>
      <w:r w:rsidR="00DF5352">
        <w:rPr>
          <w:color w:val="000000" w:themeColor="text1"/>
          <w:sz w:val="24"/>
          <w:szCs w:val="24"/>
        </w:rPr>
        <w:t xml:space="preserve">More specifically, </w:t>
      </w:r>
      <w:r w:rsidR="00AD3C6D" w:rsidRPr="00ED0973">
        <w:rPr>
          <w:color w:val="000000" w:themeColor="text1"/>
          <w:sz w:val="24"/>
          <w:szCs w:val="24"/>
        </w:rPr>
        <w:t>ICS</w:t>
      </w:r>
      <w:r w:rsidR="00DF0C99">
        <w:rPr>
          <w:color w:val="000000" w:themeColor="text1"/>
          <w:sz w:val="24"/>
          <w:szCs w:val="24"/>
        </w:rPr>
        <w:t xml:space="preserve"> could seriously</w:t>
      </w:r>
      <w:r w:rsidR="003B5B27" w:rsidRPr="00ED0973">
        <w:rPr>
          <w:color w:val="000000" w:themeColor="text1"/>
          <w:sz w:val="24"/>
          <w:szCs w:val="24"/>
        </w:rPr>
        <w:t xml:space="preserve"> undermi</w:t>
      </w:r>
      <w:r w:rsidR="00EB549D" w:rsidRPr="00ED0973">
        <w:rPr>
          <w:color w:val="000000" w:themeColor="text1"/>
          <w:sz w:val="24"/>
          <w:szCs w:val="24"/>
        </w:rPr>
        <w:t>ne reaching the goals of the Paris climate agreement</w:t>
      </w:r>
      <w:r w:rsidR="00A637B8">
        <w:rPr>
          <w:color w:val="000000" w:themeColor="text1"/>
          <w:sz w:val="24"/>
          <w:szCs w:val="24"/>
        </w:rPr>
        <w:t>,</w:t>
      </w:r>
      <w:r w:rsidR="00EB549D" w:rsidRPr="00ED0973">
        <w:rPr>
          <w:color w:val="000000" w:themeColor="text1"/>
          <w:sz w:val="24"/>
          <w:szCs w:val="24"/>
        </w:rPr>
        <w:t xml:space="preserve"> </w:t>
      </w:r>
      <w:r w:rsidR="003B5B27" w:rsidRPr="00ED0973">
        <w:rPr>
          <w:color w:val="000000" w:themeColor="text1"/>
          <w:sz w:val="24"/>
          <w:szCs w:val="24"/>
        </w:rPr>
        <w:t xml:space="preserve">because investors can fight regulatory changes </w:t>
      </w:r>
      <w:r w:rsidR="00DF5352">
        <w:rPr>
          <w:color w:val="000000" w:themeColor="text1"/>
          <w:sz w:val="24"/>
          <w:szCs w:val="24"/>
        </w:rPr>
        <w:t xml:space="preserve">and other measures </w:t>
      </w:r>
      <w:r w:rsidR="003B5B27" w:rsidRPr="00ED0973">
        <w:rPr>
          <w:color w:val="000000" w:themeColor="text1"/>
          <w:sz w:val="24"/>
          <w:szCs w:val="24"/>
        </w:rPr>
        <w:t xml:space="preserve">aimed at realising the transition towards a more </w:t>
      </w:r>
      <w:r w:rsidR="00A637B8" w:rsidRPr="00A637B8">
        <w:rPr>
          <w:color w:val="000000" w:themeColor="text1"/>
          <w:sz w:val="24"/>
          <w:szCs w:val="24"/>
        </w:rPr>
        <w:t>CO</w:t>
      </w:r>
      <w:r w:rsidR="00A637B8" w:rsidRPr="00A637B8">
        <w:rPr>
          <w:color w:val="000000" w:themeColor="text1"/>
          <w:sz w:val="24"/>
          <w:szCs w:val="24"/>
          <w:vertAlign w:val="subscript"/>
        </w:rPr>
        <w:t>2</w:t>
      </w:r>
      <w:r w:rsidR="00A637B8">
        <w:rPr>
          <w:color w:val="000000" w:themeColor="text1"/>
          <w:sz w:val="24"/>
          <w:szCs w:val="24"/>
        </w:rPr>
        <w:t xml:space="preserve"> </w:t>
      </w:r>
      <w:r w:rsidR="003B5B27" w:rsidRPr="00ED0973">
        <w:rPr>
          <w:color w:val="000000" w:themeColor="text1"/>
          <w:sz w:val="24"/>
          <w:szCs w:val="24"/>
        </w:rPr>
        <w:t>neutral society</w:t>
      </w:r>
      <w:r>
        <w:rPr>
          <w:color w:val="000000" w:themeColor="text1"/>
          <w:sz w:val="24"/>
          <w:szCs w:val="24"/>
        </w:rPr>
        <w:t xml:space="preserve"> if these negatively affect the value of their investments</w:t>
      </w:r>
      <w:r w:rsidR="003B5B27" w:rsidRPr="00ED0973">
        <w:rPr>
          <w:color w:val="000000" w:themeColor="text1"/>
          <w:sz w:val="24"/>
          <w:szCs w:val="24"/>
        </w:rPr>
        <w:t>.</w:t>
      </w:r>
      <w:r w:rsidR="003B5B27" w:rsidRPr="00ED0973">
        <w:rPr>
          <w:rStyle w:val="Voetnootmarkering"/>
          <w:color w:val="000000" w:themeColor="text1"/>
          <w:sz w:val="24"/>
          <w:szCs w:val="24"/>
        </w:rPr>
        <w:footnoteReference w:id="50"/>
      </w:r>
    </w:p>
    <w:p w14:paraId="6AF0C7FC" w14:textId="53E466EB" w:rsidR="00526CCE" w:rsidRDefault="005B1C62" w:rsidP="00AF6E7E">
      <w:pPr>
        <w:spacing w:after="0"/>
        <w:jc w:val="both"/>
        <w:rPr>
          <w:color w:val="000000" w:themeColor="text1"/>
          <w:sz w:val="24"/>
          <w:szCs w:val="24"/>
        </w:rPr>
      </w:pPr>
      <w:r w:rsidRPr="00ED0973">
        <w:rPr>
          <w:color w:val="000000" w:themeColor="text1"/>
          <w:sz w:val="24"/>
          <w:szCs w:val="24"/>
        </w:rPr>
        <w:tab/>
      </w:r>
      <w:r w:rsidR="00A62B21" w:rsidRPr="00ED0973">
        <w:rPr>
          <w:color w:val="000000" w:themeColor="text1"/>
          <w:sz w:val="24"/>
          <w:szCs w:val="24"/>
        </w:rPr>
        <w:t>Under the</w:t>
      </w:r>
      <w:r w:rsidRPr="00ED0973">
        <w:rPr>
          <w:color w:val="000000" w:themeColor="text1"/>
          <w:sz w:val="24"/>
          <w:szCs w:val="24"/>
        </w:rPr>
        <w:t xml:space="preserve"> </w:t>
      </w:r>
      <w:r w:rsidR="00AA09D6" w:rsidRPr="00ED0973">
        <w:rPr>
          <w:color w:val="000000" w:themeColor="text1"/>
          <w:sz w:val="24"/>
          <w:szCs w:val="24"/>
        </w:rPr>
        <w:t xml:space="preserve">Paris </w:t>
      </w:r>
      <w:r w:rsidR="00A62B21" w:rsidRPr="00ED0973">
        <w:rPr>
          <w:color w:val="000000" w:themeColor="text1"/>
          <w:sz w:val="24"/>
          <w:szCs w:val="24"/>
        </w:rPr>
        <w:t>Agreement</w:t>
      </w:r>
      <w:r w:rsidR="00AC4CC6">
        <w:rPr>
          <w:color w:val="000000" w:themeColor="text1"/>
          <w:sz w:val="24"/>
          <w:szCs w:val="24"/>
        </w:rPr>
        <w:t xml:space="preserve"> that entered into force on 4 November 2016</w:t>
      </w:r>
      <w:r w:rsidR="00A62B21" w:rsidRPr="00ED0973">
        <w:rPr>
          <w:color w:val="000000" w:themeColor="text1"/>
          <w:sz w:val="24"/>
          <w:szCs w:val="24"/>
        </w:rPr>
        <w:t xml:space="preserve">, states committed themselves </w:t>
      </w:r>
      <w:r w:rsidR="00AA09D6" w:rsidRPr="00ED0973">
        <w:rPr>
          <w:color w:val="000000" w:themeColor="text1"/>
          <w:sz w:val="24"/>
          <w:szCs w:val="24"/>
        </w:rPr>
        <w:t>to ensure that global average temperatures do not rise more tha</w:t>
      </w:r>
      <w:r w:rsidR="00283A17" w:rsidRPr="00ED0973">
        <w:rPr>
          <w:color w:val="000000" w:themeColor="text1"/>
          <w:sz w:val="24"/>
          <w:szCs w:val="24"/>
        </w:rPr>
        <w:t>n</w:t>
      </w:r>
      <w:r w:rsidR="00870173">
        <w:rPr>
          <w:color w:val="000000" w:themeColor="text1"/>
          <w:sz w:val="24"/>
          <w:szCs w:val="24"/>
        </w:rPr>
        <w:t xml:space="preserve"> </w:t>
      </w:r>
      <w:r w:rsidR="00E5065E" w:rsidRPr="00ED0973">
        <w:rPr>
          <w:color w:val="000000" w:themeColor="text1"/>
          <w:sz w:val="24"/>
          <w:szCs w:val="24"/>
        </w:rPr>
        <w:t>2 degrees</w:t>
      </w:r>
      <w:r w:rsidR="00F76837">
        <w:rPr>
          <w:color w:val="000000" w:themeColor="text1"/>
          <w:sz w:val="24"/>
          <w:szCs w:val="24"/>
        </w:rPr>
        <w:t xml:space="preserve"> compared to the pre-industrial revolution era</w:t>
      </w:r>
      <w:r w:rsidR="00870173">
        <w:rPr>
          <w:color w:val="000000" w:themeColor="text1"/>
          <w:sz w:val="24"/>
          <w:szCs w:val="24"/>
        </w:rPr>
        <w:t>, and preferably even not more than 1.5 degrees</w:t>
      </w:r>
      <w:r w:rsidR="00E5065E" w:rsidRPr="00ED0973">
        <w:rPr>
          <w:color w:val="000000" w:themeColor="text1"/>
          <w:sz w:val="24"/>
          <w:szCs w:val="24"/>
        </w:rPr>
        <w:t xml:space="preserve">. </w:t>
      </w:r>
      <w:r w:rsidR="00DF5352">
        <w:rPr>
          <w:color w:val="000000" w:themeColor="text1"/>
          <w:sz w:val="24"/>
          <w:szCs w:val="24"/>
        </w:rPr>
        <w:t xml:space="preserve">These goals form </w:t>
      </w:r>
      <w:r w:rsidR="00DF5352" w:rsidRPr="00DF5352">
        <w:rPr>
          <w:color w:val="000000" w:themeColor="text1"/>
          <w:sz w:val="24"/>
          <w:szCs w:val="24"/>
        </w:rPr>
        <w:t>a challenge as it is</w:t>
      </w:r>
      <w:r w:rsidR="00DF5352">
        <w:rPr>
          <w:color w:val="000000" w:themeColor="text1"/>
          <w:sz w:val="24"/>
          <w:szCs w:val="24"/>
        </w:rPr>
        <w:t>,</w:t>
      </w:r>
      <w:r w:rsidR="00DF5352" w:rsidRPr="00DF5352">
        <w:rPr>
          <w:color w:val="000000" w:themeColor="text1"/>
          <w:sz w:val="24"/>
          <w:szCs w:val="24"/>
        </w:rPr>
        <w:t xml:space="preserve"> with average global temperatures up already at almost 1 degree and steadily rising.</w:t>
      </w:r>
      <w:r w:rsidR="00DF5352" w:rsidRPr="00DF5352">
        <w:rPr>
          <w:color w:val="000000" w:themeColor="text1"/>
          <w:sz w:val="24"/>
          <w:szCs w:val="24"/>
          <w:vertAlign w:val="superscript"/>
        </w:rPr>
        <w:footnoteReference w:id="51"/>
      </w:r>
      <w:r w:rsidR="00DF5352" w:rsidRPr="00DF5352">
        <w:rPr>
          <w:color w:val="000000" w:themeColor="text1"/>
          <w:sz w:val="24"/>
          <w:szCs w:val="24"/>
        </w:rPr>
        <w:t xml:space="preserve"> </w:t>
      </w:r>
      <w:r w:rsidR="00524348" w:rsidRPr="00ED0973">
        <w:rPr>
          <w:color w:val="000000" w:themeColor="text1"/>
          <w:sz w:val="24"/>
          <w:szCs w:val="24"/>
        </w:rPr>
        <w:t>S</w:t>
      </w:r>
      <w:r w:rsidR="00E73E22" w:rsidRPr="00ED0973">
        <w:rPr>
          <w:color w:val="000000" w:themeColor="text1"/>
          <w:sz w:val="24"/>
          <w:szCs w:val="24"/>
        </w:rPr>
        <w:t>tates c</w:t>
      </w:r>
      <w:r w:rsidR="000B4A97" w:rsidRPr="00ED0973">
        <w:rPr>
          <w:color w:val="000000" w:themeColor="text1"/>
          <w:sz w:val="24"/>
          <w:szCs w:val="24"/>
        </w:rPr>
        <w:t>ould</w:t>
      </w:r>
      <w:r w:rsidR="00524348" w:rsidRPr="00ED0973">
        <w:rPr>
          <w:color w:val="000000" w:themeColor="text1"/>
          <w:sz w:val="24"/>
          <w:szCs w:val="24"/>
        </w:rPr>
        <w:t xml:space="preserve"> choose to achieve this goal</w:t>
      </w:r>
      <w:r w:rsidR="005D184B" w:rsidRPr="00ED0973">
        <w:rPr>
          <w:color w:val="000000" w:themeColor="text1"/>
          <w:sz w:val="24"/>
          <w:szCs w:val="24"/>
        </w:rPr>
        <w:t xml:space="preserve"> by </w:t>
      </w:r>
      <w:r w:rsidR="00E5065E" w:rsidRPr="00ED0973">
        <w:rPr>
          <w:color w:val="000000" w:themeColor="text1"/>
          <w:sz w:val="24"/>
          <w:szCs w:val="24"/>
        </w:rPr>
        <w:t xml:space="preserve">introducing </w:t>
      </w:r>
      <w:r w:rsidR="00283A17" w:rsidRPr="00ED0973">
        <w:rPr>
          <w:color w:val="000000" w:themeColor="text1"/>
          <w:sz w:val="24"/>
          <w:szCs w:val="24"/>
        </w:rPr>
        <w:t>changes in energy production</w:t>
      </w:r>
      <w:r w:rsidR="008247CF" w:rsidRPr="00ED0973">
        <w:rPr>
          <w:color w:val="000000" w:themeColor="text1"/>
          <w:sz w:val="24"/>
          <w:szCs w:val="24"/>
        </w:rPr>
        <w:t xml:space="preserve">, </w:t>
      </w:r>
      <w:r w:rsidR="00E73E22" w:rsidRPr="00ED0973">
        <w:rPr>
          <w:color w:val="000000" w:themeColor="text1"/>
          <w:sz w:val="24"/>
          <w:szCs w:val="24"/>
        </w:rPr>
        <w:t>for instance by</w:t>
      </w:r>
      <w:r w:rsidR="008247CF" w:rsidRPr="00ED0973">
        <w:rPr>
          <w:color w:val="000000" w:themeColor="text1"/>
          <w:sz w:val="24"/>
          <w:szCs w:val="24"/>
        </w:rPr>
        <w:t xml:space="preserve"> </w:t>
      </w:r>
      <w:r w:rsidR="00E73E22" w:rsidRPr="00ED0973">
        <w:rPr>
          <w:color w:val="000000" w:themeColor="text1"/>
          <w:sz w:val="24"/>
          <w:szCs w:val="24"/>
        </w:rPr>
        <w:t xml:space="preserve">introducing obligatory Carbon Capture and Storage (CCS) for </w:t>
      </w:r>
      <w:r w:rsidR="00945DBD" w:rsidRPr="00ED0973">
        <w:rPr>
          <w:color w:val="000000" w:themeColor="text1"/>
          <w:sz w:val="24"/>
          <w:szCs w:val="24"/>
        </w:rPr>
        <w:t>co</w:t>
      </w:r>
      <w:r w:rsidR="006A6D3E" w:rsidRPr="00ED0973">
        <w:rPr>
          <w:color w:val="000000" w:themeColor="text1"/>
          <w:sz w:val="24"/>
          <w:szCs w:val="24"/>
        </w:rPr>
        <w:t>al fired pow</w:t>
      </w:r>
      <w:r w:rsidR="00FA5C58" w:rsidRPr="00ED0973">
        <w:rPr>
          <w:color w:val="000000" w:themeColor="text1"/>
          <w:sz w:val="24"/>
          <w:szCs w:val="24"/>
        </w:rPr>
        <w:t>er plants</w:t>
      </w:r>
      <w:r w:rsidR="00DF5352">
        <w:rPr>
          <w:color w:val="000000" w:themeColor="text1"/>
          <w:sz w:val="24"/>
          <w:szCs w:val="24"/>
        </w:rPr>
        <w:t xml:space="preserve"> (making this type of energy more expensive)</w:t>
      </w:r>
      <w:r w:rsidR="000D151E">
        <w:rPr>
          <w:rStyle w:val="Voetnootmarkering"/>
          <w:color w:val="000000" w:themeColor="text1"/>
          <w:sz w:val="24"/>
          <w:szCs w:val="24"/>
        </w:rPr>
        <w:footnoteReference w:id="52"/>
      </w:r>
      <w:r w:rsidR="00FA5C58" w:rsidRPr="00ED0973">
        <w:rPr>
          <w:color w:val="000000" w:themeColor="text1"/>
          <w:sz w:val="24"/>
          <w:szCs w:val="24"/>
        </w:rPr>
        <w:t xml:space="preserve"> </w:t>
      </w:r>
      <w:r w:rsidR="00DF5352">
        <w:rPr>
          <w:color w:val="000000" w:themeColor="text1"/>
          <w:sz w:val="24"/>
          <w:szCs w:val="24"/>
        </w:rPr>
        <w:t xml:space="preserve">and/or phasing out </w:t>
      </w:r>
      <w:r w:rsidR="009F5F97" w:rsidRPr="00ED0973">
        <w:rPr>
          <w:color w:val="000000" w:themeColor="text1"/>
          <w:sz w:val="24"/>
          <w:szCs w:val="24"/>
        </w:rPr>
        <w:t>energy production</w:t>
      </w:r>
      <w:r w:rsidR="00DF5352">
        <w:rPr>
          <w:color w:val="000000" w:themeColor="text1"/>
          <w:sz w:val="24"/>
          <w:szCs w:val="24"/>
        </w:rPr>
        <w:t xml:space="preserve"> using coal altogether</w:t>
      </w:r>
      <w:r w:rsidR="009F5F97" w:rsidRPr="00ED0973">
        <w:rPr>
          <w:color w:val="000000" w:themeColor="text1"/>
          <w:sz w:val="24"/>
          <w:szCs w:val="24"/>
        </w:rPr>
        <w:t>.</w:t>
      </w:r>
      <w:r w:rsidR="00A77419" w:rsidRPr="00ED0973">
        <w:rPr>
          <w:color w:val="000000" w:themeColor="text1"/>
          <w:sz w:val="24"/>
          <w:szCs w:val="24"/>
        </w:rPr>
        <w:t xml:space="preserve"> </w:t>
      </w:r>
      <w:r w:rsidR="00DF5352">
        <w:rPr>
          <w:color w:val="000000" w:themeColor="text1"/>
          <w:sz w:val="24"/>
          <w:szCs w:val="24"/>
        </w:rPr>
        <w:t>F</w:t>
      </w:r>
      <w:r w:rsidR="008968A6" w:rsidRPr="00ED0973">
        <w:rPr>
          <w:color w:val="000000" w:themeColor="text1"/>
          <w:sz w:val="24"/>
          <w:szCs w:val="24"/>
        </w:rPr>
        <w:t xml:space="preserve">oreign </w:t>
      </w:r>
      <w:r w:rsidR="00DF5352">
        <w:rPr>
          <w:color w:val="000000" w:themeColor="text1"/>
          <w:sz w:val="24"/>
          <w:szCs w:val="24"/>
        </w:rPr>
        <w:t xml:space="preserve">investors in coal could </w:t>
      </w:r>
      <w:r w:rsidR="000A606F" w:rsidRPr="00ED0973">
        <w:rPr>
          <w:color w:val="000000" w:themeColor="text1"/>
          <w:sz w:val="24"/>
          <w:szCs w:val="24"/>
        </w:rPr>
        <w:t>try to dissu</w:t>
      </w:r>
      <w:r w:rsidR="00DF5352">
        <w:rPr>
          <w:color w:val="000000" w:themeColor="text1"/>
          <w:sz w:val="24"/>
          <w:szCs w:val="24"/>
        </w:rPr>
        <w:t>ade governments from such measures</w:t>
      </w:r>
      <w:r w:rsidR="000A606F" w:rsidRPr="00ED0973">
        <w:rPr>
          <w:color w:val="000000" w:themeColor="text1"/>
          <w:sz w:val="24"/>
          <w:szCs w:val="24"/>
        </w:rPr>
        <w:t>, or demand compensation</w:t>
      </w:r>
      <w:r w:rsidR="00091DB0" w:rsidRPr="00ED0973">
        <w:rPr>
          <w:color w:val="000000" w:themeColor="text1"/>
          <w:sz w:val="24"/>
          <w:szCs w:val="24"/>
        </w:rPr>
        <w:t xml:space="preserve"> under ISDS/ICS mechanisms</w:t>
      </w:r>
      <w:r w:rsidR="00DF5352">
        <w:rPr>
          <w:color w:val="000000" w:themeColor="text1"/>
          <w:sz w:val="24"/>
          <w:szCs w:val="24"/>
        </w:rPr>
        <w:t xml:space="preserve">, and in this way </w:t>
      </w:r>
      <w:r w:rsidR="00DA6868" w:rsidRPr="00ED0973">
        <w:rPr>
          <w:color w:val="000000" w:themeColor="text1"/>
          <w:sz w:val="24"/>
          <w:szCs w:val="24"/>
        </w:rPr>
        <w:t>hinder</w:t>
      </w:r>
      <w:r w:rsidR="008119DF" w:rsidRPr="00ED0973">
        <w:rPr>
          <w:color w:val="000000" w:themeColor="text1"/>
          <w:sz w:val="24"/>
          <w:szCs w:val="24"/>
        </w:rPr>
        <w:t xml:space="preserve"> the transition towards </w:t>
      </w:r>
      <w:r w:rsidR="00B9565E" w:rsidRPr="00ED0973">
        <w:rPr>
          <w:color w:val="000000" w:themeColor="text1"/>
          <w:sz w:val="24"/>
          <w:szCs w:val="24"/>
        </w:rPr>
        <w:t xml:space="preserve">carbon neutrality and reaching </w:t>
      </w:r>
      <w:r w:rsidR="00870173">
        <w:rPr>
          <w:color w:val="000000" w:themeColor="text1"/>
          <w:sz w:val="24"/>
          <w:szCs w:val="24"/>
        </w:rPr>
        <w:t xml:space="preserve">the </w:t>
      </w:r>
      <w:r w:rsidR="00DF5352">
        <w:rPr>
          <w:color w:val="000000" w:themeColor="text1"/>
          <w:sz w:val="24"/>
          <w:szCs w:val="24"/>
        </w:rPr>
        <w:t xml:space="preserve">1.5 / </w:t>
      </w:r>
      <w:r w:rsidR="00870173">
        <w:rPr>
          <w:color w:val="000000" w:themeColor="text1"/>
          <w:sz w:val="24"/>
          <w:szCs w:val="24"/>
        </w:rPr>
        <w:t>2 degrees</w:t>
      </w:r>
      <w:r w:rsidR="00826F79" w:rsidRPr="00ED0973">
        <w:rPr>
          <w:color w:val="000000" w:themeColor="text1"/>
          <w:sz w:val="24"/>
          <w:szCs w:val="24"/>
        </w:rPr>
        <w:t xml:space="preserve"> </w:t>
      </w:r>
      <w:r w:rsidR="00DF5352">
        <w:rPr>
          <w:color w:val="000000" w:themeColor="text1"/>
          <w:sz w:val="24"/>
          <w:szCs w:val="24"/>
        </w:rPr>
        <w:t>goals.</w:t>
      </w:r>
      <w:r w:rsidR="001D1E85">
        <w:rPr>
          <w:color w:val="000000" w:themeColor="text1"/>
          <w:sz w:val="24"/>
          <w:szCs w:val="24"/>
        </w:rPr>
        <w:t xml:space="preserve"> </w:t>
      </w:r>
      <w:r w:rsidR="001462A0">
        <w:rPr>
          <w:color w:val="000000" w:themeColor="text1"/>
          <w:sz w:val="24"/>
          <w:szCs w:val="24"/>
        </w:rPr>
        <w:t>While the EU an</w:t>
      </w:r>
      <w:r w:rsidR="0083433F">
        <w:rPr>
          <w:color w:val="000000" w:themeColor="text1"/>
          <w:sz w:val="24"/>
          <w:szCs w:val="24"/>
        </w:rPr>
        <w:t>d Canada support the Paris Agreement, chances are that t</w:t>
      </w:r>
      <w:r w:rsidR="00163E6E">
        <w:rPr>
          <w:color w:val="000000" w:themeColor="text1"/>
          <w:sz w:val="24"/>
          <w:szCs w:val="24"/>
        </w:rPr>
        <w:t xml:space="preserve">he U.S. </w:t>
      </w:r>
      <w:r w:rsidR="0082528B">
        <w:rPr>
          <w:color w:val="000000" w:themeColor="text1"/>
          <w:sz w:val="24"/>
          <w:szCs w:val="24"/>
        </w:rPr>
        <w:t>– responsible for 18% of global greenhouse emissions</w:t>
      </w:r>
      <w:r w:rsidR="00397563">
        <w:rPr>
          <w:color w:val="000000" w:themeColor="text1"/>
          <w:sz w:val="24"/>
          <w:szCs w:val="24"/>
        </w:rPr>
        <w:t xml:space="preserve"> and </w:t>
      </w:r>
      <w:r w:rsidR="00B62918">
        <w:rPr>
          <w:color w:val="000000" w:themeColor="text1"/>
          <w:sz w:val="24"/>
          <w:szCs w:val="24"/>
        </w:rPr>
        <w:t>unwilling to ratify the preceding Kyoto Protocol because de</w:t>
      </w:r>
      <w:r w:rsidR="00F97ACF">
        <w:rPr>
          <w:color w:val="000000" w:themeColor="text1"/>
          <w:sz w:val="24"/>
          <w:szCs w:val="24"/>
        </w:rPr>
        <w:t>veloping countries did not need to reduce emissions</w:t>
      </w:r>
      <w:r w:rsidR="0082528B">
        <w:rPr>
          <w:color w:val="000000" w:themeColor="text1"/>
          <w:sz w:val="24"/>
          <w:szCs w:val="24"/>
        </w:rPr>
        <w:t xml:space="preserve"> - will withd</w:t>
      </w:r>
      <w:r w:rsidR="00EA47E8">
        <w:rPr>
          <w:color w:val="000000" w:themeColor="text1"/>
          <w:sz w:val="24"/>
          <w:szCs w:val="24"/>
        </w:rPr>
        <w:t>raw from the treaty under the new administration</w:t>
      </w:r>
      <w:r w:rsidR="00F97ACF">
        <w:rPr>
          <w:color w:val="000000" w:themeColor="text1"/>
          <w:sz w:val="24"/>
          <w:szCs w:val="24"/>
        </w:rPr>
        <w:t xml:space="preserve">, in </w:t>
      </w:r>
      <w:r w:rsidR="00F97ACF">
        <w:rPr>
          <w:color w:val="000000" w:themeColor="text1"/>
          <w:sz w:val="24"/>
          <w:szCs w:val="24"/>
        </w:rPr>
        <w:lastRenderedPageBreak/>
        <w:t>spite of the fact that this time around, both devel</w:t>
      </w:r>
      <w:r w:rsidR="00EB57AB">
        <w:rPr>
          <w:color w:val="000000" w:themeColor="text1"/>
          <w:sz w:val="24"/>
          <w:szCs w:val="24"/>
        </w:rPr>
        <w:t>oped and developing countries committed themselves to reduce their emissions</w:t>
      </w:r>
      <w:r w:rsidR="00EA47E8">
        <w:rPr>
          <w:color w:val="000000" w:themeColor="text1"/>
          <w:sz w:val="24"/>
          <w:szCs w:val="24"/>
        </w:rPr>
        <w:t>.</w:t>
      </w:r>
      <w:r w:rsidR="00485404">
        <w:rPr>
          <w:color w:val="000000" w:themeColor="text1"/>
          <w:sz w:val="24"/>
          <w:szCs w:val="24"/>
        </w:rPr>
        <w:t xml:space="preserve"> A decision </w:t>
      </w:r>
      <w:r w:rsidR="00E47643">
        <w:rPr>
          <w:color w:val="000000" w:themeColor="text1"/>
          <w:sz w:val="24"/>
          <w:szCs w:val="24"/>
        </w:rPr>
        <w:t xml:space="preserve">in this respect is to be announced in May 2017. </w:t>
      </w:r>
    </w:p>
    <w:p w14:paraId="1256BE1E" w14:textId="3AB202DC" w:rsidR="00AF6E7E" w:rsidRPr="00ED0973" w:rsidRDefault="009127E6" w:rsidP="00526CCE">
      <w:pPr>
        <w:spacing w:after="0"/>
        <w:ind w:firstLine="720"/>
        <w:jc w:val="both"/>
        <w:rPr>
          <w:color w:val="000000" w:themeColor="text1"/>
          <w:sz w:val="24"/>
          <w:szCs w:val="24"/>
        </w:rPr>
      </w:pPr>
      <w:r>
        <w:rPr>
          <w:color w:val="000000" w:themeColor="text1"/>
          <w:sz w:val="24"/>
          <w:szCs w:val="24"/>
        </w:rPr>
        <w:t>Another</w:t>
      </w:r>
      <w:r w:rsidR="00526CCE">
        <w:rPr>
          <w:color w:val="000000" w:themeColor="text1"/>
          <w:sz w:val="24"/>
          <w:szCs w:val="24"/>
        </w:rPr>
        <w:t xml:space="preserve"> argument frequently encountered in favour of ISDS is that where rights </w:t>
      </w:r>
      <w:r w:rsidR="00965D3E">
        <w:rPr>
          <w:color w:val="000000" w:themeColor="text1"/>
          <w:sz w:val="24"/>
          <w:szCs w:val="24"/>
        </w:rPr>
        <w:t xml:space="preserve">for investors </w:t>
      </w:r>
      <w:r w:rsidR="00526CCE">
        <w:rPr>
          <w:color w:val="000000" w:themeColor="text1"/>
          <w:sz w:val="24"/>
          <w:szCs w:val="24"/>
        </w:rPr>
        <w:t>are c</w:t>
      </w:r>
      <w:r w:rsidR="00861304">
        <w:rPr>
          <w:color w:val="000000" w:themeColor="text1"/>
          <w:sz w:val="24"/>
          <w:szCs w:val="24"/>
        </w:rPr>
        <w:t>reated, there should be a mechanism</w:t>
      </w:r>
      <w:r w:rsidR="00526CCE">
        <w:rPr>
          <w:color w:val="000000" w:themeColor="text1"/>
          <w:sz w:val="24"/>
          <w:szCs w:val="24"/>
        </w:rPr>
        <w:t xml:space="preserve"> </w:t>
      </w:r>
      <w:r w:rsidR="00861304">
        <w:rPr>
          <w:color w:val="000000" w:themeColor="text1"/>
          <w:sz w:val="24"/>
          <w:szCs w:val="24"/>
        </w:rPr>
        <w:t xml:space="preserve">for them </w:t>
      </w:r>
      <w:r w:rsidR="00526CCE">
        <w:rPr>
          <w:color w:val="000000" w:themeColor="text1"/>
          <w:sz w:val="24"/>
          <w:szCs w:val="24"/>
        </w:rPr>
        <w:t>to enforce th</w:t>
      </w:r>
      <w:r w:rsidR="00861304">
        <w:rPr>
          <w:color w:val="000000" w:themeColor="text1"/>
          <w:sz w:val="24"/>
          <w:szCs w:val="24"/>
        </w:rPr>
        <w:t>ese rights. At the same time,</w:t>
      </w:r>
      <w:r w:rsidR="00965D3E">
        <w:rPr>
          <w:color w:val="000000" w:themeColor="text1"/>
          <w:sz w:val="24"/>
          <w:szCs w:val="24"/>
        </w:rPr>
        <w:t xml:space="preserve"> </w:t>
      </w:r>
      <w:r w:rsidR="00526CCE">
        <w:rPr>
          <w:color w:val="000000" w:themeColor="text1"/>
          <w:sz w:val="24"/>
          <w:szCs w:val="24"/>
        </w:rPr>
        <w:t>glo</w:t>
      </w:r>
      <w:r w:rsidR="00861304">
        <w:rPr>
          <w:color w:val="000000" w:themeColor="text1"/>
          <w:sz w:val="24"/>
          <w:szCs w:val="24"/>
        </w:rPr>
        <w:t>bal climate agreements</w:t>
      </w:r>
      <w:r w:rsidR="00965D3E">
        <w:rPr>
          <w:color w:val="000000" w:themeColor="text1"/>
          <w:sz w:val="24"/>
          <w:szCs w:val="24"/>
        </w:rPr>
        <w:t xml:space="preserve"> contain norms </w:t>
      </w:r>
      <w:r w:rsidR="006E1CFE">
        <w:rPr>
          <w:color w:val="000000" w:themeColor="text1"/>
          <w:sz w:val="24"/>
          <w:szCs w:val="24"/>
        </w:rPr>
        <w:t>protecting citizens</w:t>
      </w:r>
      <w:r w:rsidR="00965D3E">
        <w:rPr>
          <w:color w:val="000000" w:themeColor="text1"/>
          <w:sz w:val="24"/>
          <w:szCs w:val="24"/>
        </w:rPr>
        <w:t xml:space="preserve"> against</w:t>
      </w:r>
      <w:r w:rsidR="00965D3E" w:rsidRPr="00965D3E">
        <w:rPr>
          <w:color w:val="000000" w:themeColor="text1"/>
          <w:sz w:val="24"/>
          <w:szCs w:val="24"/>
        </w:rPr>
        <w:t xml:space="preserve"> </w:t>
      </w:r>
      <w:r w:rsidR="00861304">
        <w:rPr>
          <w:color w:val="000000" w:themeColor="text1"/>
          <w:sz w:val="24"/>
          <w:szCs w:val="24"/>
        </w:rPr>
        <w:t>greenhouse gas concentrations in the atmosphere that dangerously interfer</w:t>
      </w:r>
      <w:r w:rsidR="00965D3E" w:rsidRPr="00965D3E">
        <w:rPr>
          <w:color w:val="000000" w:themeColor="text1"/>
          <w:sz w:val="24"/>
          <w:szCs w:val="24"/>
        </w:rPr>
        <w:t>e with the climate system</w:t>
      </w:r>
      <w:r w:rsidR="00861304">
        <w:rPr>
          <w:rStyle w:val="Voetnootmarkering"/>
          <w:color w:val="000000" w:themeColor="text1"/>
          <w:sz w:val="24"/>
          <w:szCs w:val="24"/>
        </w:rPr>
        <w:footnoteReference w:id="53"/>
      </w:r>
      <w:r w:rsidR="00861304">
        <w:rPr>
          <w:color w:val="000000" w:themeColor="text1"/>
          <w:sz w:val="24"/>
          <w:szCs w:val="24"/>
        </w:rPr>
        <w:t xml:space="preserve"> and against rising</w:t>
      </w:r>
      <w:r w:rsidR="00965D3E">
        <w:rPr>
          <w:color w:val="000000" w:themeColor="text1"/>
          <w:sz w:val="24"/>
          <w:szCs w:val="24"/>
        </w:rPr>
        <w:t xml:space="preserve"> g</w:t>
      </w:r>
      <w:r w:rsidR="00861304">
        <w:rPr>
          <w:color w:val="000000" w:themeColor="text1"/>
          <w:sz w:val="24"/>
          <w:szCs w:val="24"/>
        </w:rPr>
        <w:t>lobal average temperatures</w:t>
      </w:r>
      <w:r w:rsidR="00965D3E">
        <w:rPr>
          <w:color w:val="000000" w:themeColor="text1"/>
          <w:sz w:val="24"/>
          <w:szCs w:val="24"/>
        </w:rPr>
        <w:t>.</w:t>
      </w:r>
      <w:r w:rsidR="00861304">
        <w:rPr>
          <w:rStyle w:val="Voetnootmarkering"/>
          <w:color w:val="000000" w:themeColor="text1"/>
          <w:sz w:val="24"/>
          <w:szCs w:val="24"/>
        </w:rPr>
        <w:footnoteReference w:id="54"/>
      </w:r>
      <w:r w:rsidR="00965D3E">
        <w:rPr>
          <w:color w:val="000000" w:themeColor="text1"/>
          <w:sz w:val="24"/>
          <w:szCs w:val="24"/>
        </w:rPr>
        <w:t xml:space="preserve"> </w:t>
      </w:r>
      <w:r w:rsidR="00861304">
        <w:rPr>
          <w:color w:val="000000" w:themeColor="text1"/>
          <w:sz w:val="24"/>
          <w:szCs w:val="24"/>
        </w:rPr>
        <w:t>Yet these agreements all lack a dispute settlement mechanism where</w:t>
      </w:r>
      <w:r w:rsidR="00526CCE">
        <w:rPr>
          <w:color w:val="000000" w:themeColor="text1"/>
          <w:sz w:val="24"/>
          <w:szCs w:val="24"/>
        </w:rPr>
        <w:t xml:space="preserve"> those negatively affect</w:t>
      </w:r>
      <w:r w:rsidR="00861304">
        <w:rPr>
          <w:color w:val="000000" w:themeColor="text1"/>
          <w:sz w:val="24"/>
          <w:szCs w:val="24"/>
        </w:rPr>
        <w:t>ed by climate change could complain about the lack of suf</w:t>
      </w:r>
      <w:r w:rsidR="00DD0EF1">
        <w:rPr>
          <w:color w:val="000000" w:themeColor="text1"/>
          <w:sz w:val="24"/>
          <w:szCs w:val="24"/>
        </w:rPr>
        <w:t xml:space="preserve">ficient action by state parties, let alone </w:t>
      </w:r>
      <w:r w:rsidR="002F160F">
        <w:rPr>
          <w:color w:val="000000" w:themeColor="text1"/>
          <w:sz w:val="24"/>
          <w:szCs w:val="24"/>
        </w:rPr>
        <w:t>take action against companies responsible for greenhouse gas emissions.</w:t>
      </w:r>
      <w:r w:rsidR="00C914A3">
        <w:rPr>
          <w:color w:val="000000" w:themeColor="text1"/>
          <w:sz w:val="24"/>
          <w:szCs w:val="24"/>
        </w:rPr>
        <w:t xml:space="preserve"> </w:t>
      </w:r>
      <w:r w:rsidR="00B67F3E">
        <w:rPr>
          <w:color w:val="000000" w:themeColor="text1"/>
          <w:sz w:val="24"/>
          <w:szCs w:val="24"/>
        </w:rPr>
        <w:t>I fail to see why the interests of investors would be more important than the interests of citizens</w:t>
      </w:r>
      <w:r w:rsidR="00EE0375">
        <w:rPr>
          <w:color w:val="000000" w:themeColor="text1"/>
          <w:sz w:val="24"/>
          <w:szCs w:val="24"/>
        </w:rPr>
        <w:t>, especially those that literall</w:t>
      </w:r>
      <w:r w:rsidR="00F05C08">
        <w:rPr>
          <w:color w:val="000000" w:themeColor="text1"/>
          <w:sz w:val="24"/>
          <w:szCs w:val="24"/>
        </w:rPr>
        <w:t xml:space="preserve">y are loosing the land they </w:t>
      </w:r>
      <w:r w:rsidR="006D6577">
        <w:rPr>
          <w:color w:val="000000" w:themeColor="text1"/>
          <w:sz w:val="24"/>
          <w:szCs w:val="24"/>
        </w:rPr>
        <w:t>live on due to rising sea levels.</w:t>
      </w:r>
    </w:p>
    <w:p w14:paraId="786A43F3" w14:textId="733E0B8D" w:rsidR="00EA16F0" w:rsidRPr="00EA16F0" w:rsidRDefault="00EA16F0" w:rsidP="00212753">
      <w:pPr>
        <w:pStyle w:val="Kop1"/>
      </w:pPr>
      <w:r>
        <w:t xml:space="preserve">3. </w:t>
      </w:r>
      <w:r w:rsidR="00B86879" w:rsidRPr="00EA16F0">
        <w:t xml:space="preserve">ISDS, </w:t>
      </w:r>
      <w:r w:rsidR="731A9F31" w:rsidRPr="00EA16F0">
        <w:t>ICS</w:t>
      </w:r>
      <w:r w:rsidR="00B86879" w:rsidRPr="00EA16F0">
        <w:t xml:space="preserve"> and EU law</w:t>
      </w:r>
    </w:p>
    <w:p w14:paraId="1FBDAAEE" w14:textId="5FBCAA03" w:rsidR="00EA16F0" w:rsidRDefault="00EA16F0" w:rsidP="00212753">
      <w:pPr>
        <w:pStyle w:val="Kop2"/>
      </w:pPr>
      <w:r>
        <w:t>3.1 From ISDS to ICS</w:t>
      </w:r>
    </w:p>
    <w:p w14:paraId="2CB41117" w14:textId="7DE20A04" w:rsidR="000C2FDD" w:rsidRDefault="00BA2D1B" w:rsidP="000C2FDD">
      <w:pPr>
        <w:spacing w:after="0" w:line="240" w:lineRule="auto"/>
        <w:jc w:val="both"/>
        <w:rPr>
          <w:color w:val="000000" w:themeColor="text1"/>
          <w:sz w:val="24"/>
          <w:szCs w:val="24"/>
        </w:rPr>
      </w:pPr>
      <w:r w:rsidRPr="00ED0973">
        <w:rPr>
          <w:color w:val="000000" w:themeColor="text1"/>
          <w:sz w:val="24"/>
          <w:szCs w:val="24"/>
        </w:rPr>
        <w:t xml:space="preserve">Soon after the entry into force of the Treaty of Lisbon, the European Commission </w:t>
      </w:r>
      <w:r w:rsidR="007E6252">
        <w:rPr>
          <w:color w:val="000000" w:themeColor="text1"/>
          <w:sz w:val="24"/>
          <w:szCs w:val="24"/>
        </w:rPr>
        <w:t>stated</w:t>
      </w:r>
      <w:r w:rsidR="000C2FDD">
        <w:rPr>
          <w:color w:val="000000" w:themeColor="text1"/>
          <w:sz w:val="24"/>
          <w:szCs w:val="24"/>
        </w:rPr>
        <w:t xml:space="preserve"> </w:t>
      </w:r>
      <w:r w:rsidRPr="00ED0973">
        <w:rPr>
          <w:color w:val="000000" w:themeColor="text1"/>
          <w:sz w:val="24"/>
          <w:szCs w:val="24"/>
        </w:rPr>
        <w:t xml:space="preserve">that </w:t>
      </w:r>
      <w:r w:rsidR="000C2FDD">
        <w:rPr>
          <w:color w:val="000000" w:themeColor="text1"/>
          <w:sz w:val="24"/>
          <w:szCs w:val="24"/>
        </w:rPr>
        <w:t xml:space="preserve">ISDS forms “a key part of </w:t>
      </w:r>
      <w:r w:rsidR="000C2FDD" w:rsidRPr="000C2FDD">
        <w:rPr>
          <w:color w:val="000000" w:themeColor="text1"/>
          <w:sz w:val="24"/>
          <w:szCs w:val="24"/>
        </w:rPr>
        <w:t>the inheritance that the Union receives from Member State BITs</w:t>
      </w:r>
      <w:r w:rsidR="000C2FDD">
        <w:rPr>
          <w:color w:val="000000" w:themeColor="text1"/>
          <w:sz w:val="24"/>
          <w:szCs w:val="24"/>
        </w:rPr>
        <w:t>”, and</w:t>
      </w:r>
      <w:r w:rsidR="000C2FDD" w:rsidRPr="000C2FDD">
        <w:rPr>
          <w:color w:val="000000" w:themeColor="text1"/>
          <w:sz w:val="24"/>
          <w:szCs w:val="24"/>
        </w:rPr>
        <w:t xml:space="preserve"> </w:t>
      </w:r>
      <w:r w:rsidR="000C2FDD">
        <w:rPr>
          <w:color w:val="000000" w:themeColor="text1"/>
          <w:sz w:val="24"/>
          <w:szCs w:val="24"/>
        </w:rPr>
        <w:t xml:space="preserve">that it “is such </w:t>
      </w:r>
      <w:r w:rsidR="000C2FDD" w:rsidRPr="000C2FDD">
        <w:rPr>
          <w:color w:val="000000" w:themeColor="text1"/>
          <w:sz w:val="24"/>
          <w:szCs w:val="24"/>
        </w:rPr>
        <w:t>an established feature of investment agreements</w:t>
      </w:r>
      <w:r w:rsidR="000C2FDD">
        <w:rPr>
          <w:color w:val="000000" w:themeColor="text1"/>
          <w:sz w:val="24"/>
          <w:szCs w:val="24"/>
        </w:rPr>
        <w:t xml:space="preserve"> that its absence would </w:t>
      </w:r>
      <w:r w:rsidR="000C2FDD" w:rsidRPr="000C2FDD">
        <w:rPr>
          <w:color w:val="000000" w:themeColor="text1"/>
          <w:sz w:val="24"/>
          <w:szCs w:val="24"/>
        </w:rPr>
        <w:t>in fact discourage investors and make a host economy less attractive than others.</w:t>
      </w:r>
      <w:r w:rsidR="000C2FDD">
        <w:rPr>
          <w:color w:val="000000" w:themeColor="text1"/>
          <w:sz w:val="24"/>
          <w:szCs w:val="24"/>
        </w:rPr>
        <w:t xml:space="preserve">” </w:t>
      </w:r>
      <w:r w:rsidR="00DE068C">
        <w:rPr>
          <w:color w:val="000000" w:themeColor="text1"/>
          <w:sz w:val="24"/>
          <w:szCs w:val="24"/>
        </w:rPr>
        <w:t>F</w:t>
      </w:r>
      <w:r w:rsidR="001F178B">
        <w:rPr>
          <w:color w:val="000000" w:themeColor="text1"/>
          <w:sz w:val="24"/>
          <w:szCs w:val="24"/>
        </w:rPr>
        <w:t>or those reasons</w:t>
      </w:r>
      <w:r w:rsidR="000C2FDD">
        <w:rPr>
          <w:color w:val="000000" w:themeColor="text1"/>
          <w:sz w:val="24"/>
          <w:szCs w:val="24"/>
        </w:rPr>
        <w:t xml:space="preserve"> </w:t>
      </w:r>
      <w:r w:rsidR="001F178B">
        <w:rPr>
          <w:color w:val="000000" w:themeColor="text1"/>
          <w:sz w:val="24"/>
          <w:szCs w:val="24"/>
        </w:rPr>
        <w:t xml:space="preserve">the </w:t>
      </w:r>
      <w:r w:rsidR="000C2FDD">
        <w:rPr>
          <w:color w:val="000000" w:themeColor="text1"/>
          <w:sz w:val="24"/>
          <w:szCs w:val="24"/>
        </w:rPr>
        <w:t>future EU agreements with an</w:t>
      </w:r>
      <w:r w:rsidR="000C2FDD" w:rsidRPr="00ED0973">
        <w:rPr>
          <w:color w:val="000000" w:themeColor="text1"/>
          <w:sz w:val="24"/>
          <w:szCs w:val="24"/>
        </w:rPr>
        <w:t xml:space="preserve"> investment protection component </w:t>
      </w:r>
      <w:r w:rsidR="000C2FDD">
        <w:rPr>
          <w:color w:val="000000" w:themeColor="text1"/>
          <w:sz w:val="24"/>
          <w:szCs w:val="24"/>
        </w:rPr>
        <w:t>should include ISDS</w:t>
      </w:r>
      <w:r w:rsidR="001F178B">
        <w:rPr>
          <w:color w:val="000000" w:themeColor="text1"/>
          <w:sz w:val="24"/>
          <w:szCs w:val="24"/>
        </w:rPr>
        <w:t>, it was stated</w:t>
      </w:r>
      <w:r w:rsidRPr="00ED0973">
        <w:rPr>
          <w:color w:val="000000" w:themeColor="text1"/>
          <w:sz w:val="24"/>
          <w:szCs w:val="24"/>
        </w:rPr>
        <w:t>.</w:t>
      </w:r>
      <w:r w:rsidRPr="00ED0973">
        <w:rPr>
          <w:rStyle w:val="Voetnootmarkering"/>
          <w:color w:val="000000" w:themeColor="text1"/>
          <w:sz w:val="24"/>
          <w:szCs w:val="24"/>
        </w:rPr>
        <w:footnoteReference w:id="55"/>
      </w:r>
      <w:r w:rsidR="00EE33F9">
        <w:rPr>
          <w:color w:val="000000" w:themeColor="text1"/>
          <w:sz w:val="24"/>
          <w:szCs w:val="24"/>
        </w:rPr>
        <w:t xml:space="preserve"> The</w:t>
      </w:r>
      <w:r w:rsidR="00DE068C">
        <w:rPr>
          <w:color w:val="000000" w:themeColor="text1"/>
          <w:sz w:val="24"/>
          <w:szCs w:val="24"/>
        </w:rPr>
        <w:t xml:space="preserve"> claims were not further substantiated, in spite of the Commission’s assertions regarding more evidence based</w:t>
      </w:r>
      <w:r w:rsidR="00425318">
        <w:rPr>
          <w:color w:val="000000" w:themeColor="text1"/>
          <w:sz w:val="24"/>
          <w:szCs w:val="24"/>
        </w:rPr>
        <w:t>, smarter</w:t>
      </w:r>
      <w:r w:rsidR="00DE068C">
        <w:rPr>
          <w:color w:val="000000" w:themeColor="text1"/>
          <w:sz w:val="24"/>
          <w:szCs w:val="24"/>
        </w:rPr>
        <w:t xml:space="preserve"> policy making at other occasions,</w:t>
      </w:r>
      <w:r w:rsidR="00425318">
        <w:rPr>
          <w:rStyle w:val="Voetnootmarkering"/>
          <w:color w:val="000000" w:themeColor="text1"/>
          <w:sz w:val="24"/>
          <w:szCs w:val="24"/>
        </w:rPr>
        <w:footnoteReference w:id="56"/>
      </w:r>
      <w:r w:rsidR="00DE068C">
        <w:rPr>
          <w:color w:val="000000" w:themeColor="text1"/>
          <w:sz w:val="24"/>
          <w:szCs w:val="24"/>
        </w:rPr>
        <w:t xml:space="preserve"> notably where new public policy measures are concerned.</w:t>
      </w:r>
      <w:r w:rsidR="008F1439">
        <w:rPr>
          <w:color w:val="000000" w:themeColor="text1"/>
          <w:sz w:val="24"/>
          <w:szCs w:val="24"/>
        </w:rPr>
        <w:t xml:space="preserve"> </w:t>
      </w:r>
      <w:r w:rsidR="007C606B">
        <w:rPr>
          <w:color w:val="000000" w:themeColor="text1"/>
          <w:sz w:val="24"/>
          <w:szCs w:val="24"/>
        </w:rPr>
        <w:t>As a matter of fact, it can be countered</w:t>
      </w:r>
      <w:r w:rsidR="00260857">
        <w:rPr>
          <w:color w:val="000000" w:themeColor="text1"/>
          <w:sz w:val="24"/>
          <w:szCs w:val="24"/>
        </w:rPr>
        <w:t xml:space="preserve"> that </w:t>
      </w:r>
      <w:r w:rsidR="00210545">
        <w:rPr>
          <w:color w:val="000000" w:themeColor="text1"/>
          <w:sz w:val="24"/>
          <w:szCs w:val="24"/>
        </w:rPr>
        <w:t>ISDS only forms a part of trade agreements since a relatively short period of time, that it was included</w:t>
      </w:r>
      <w:r w:rsidR="00DF38AA">
        <w:rPr>
          <w:color w:val="000000" w:themeColor="text1"/>
          <w:sz w:val="24"/>
          <w:szCs w:val="24"/>
        </w:rPr>
        <w:t xml:space="preserve"> mainly</w:t>
      </w:r>
      <w:r w:rsidR="00210545">
        <w:rPr>
          <w:color w:val="000000" w:themeColor="text1"/>
          <w:sz w:val="24"/>
          <w:szCs w:val="24"/>
        </w:rPr>
        <w:t xml:space="preserve"> in </w:t>
      </w:r>
      <w:r w:rsidR="00DF38AA">
        <w:rPr>
          <w:color w:val="000000" w:themeColor="text1"/>
          <w:sz w:val="24"/>
          <w:szCs w:val="24"/>
        </w:rPr>
        <w:t xml:space="preserve">agreements with countries with rule of law challenges </w:t>
      </w:r>
      <w:r w:rsidR="0038358A">
        <w:rPr>
          <w:color w:val="000000" w:themeColor="text1"/>
          <w:sz w:val="24"/>
          <w:szCs w:val="24"/>
        </w:rPr>
        <w:t>and that for instance none of the EU-15 countries, i.e. the ‘founding fathers’</w:t>
      </w:r>
      <w:r w:rsidR="007530C7">
        <w:rPr>
          <w:color w:val="000000" w:themeColor="text1"/>
          <w:sz w:val="24"/>
          <w:szCs w:val="24"/>
        </w:rPr>
        <w:t xml:space="preserve"> of the EU, had agreements with the USA</w:t>
      </w:r>
      <w:r w:rsidR="00FB0533">
        <w:rPr>
          <w:color w:val="000000" w:themeColor="text1"/>
          <w:sz w:val="24"/>
          <w:szCs w:val="24"/>
        </w:rPr>
        <w:t xml:space="preserve"> that include ISDS provisions.</w:t>
      </w:r>
    </w:p>
    <w:p w14:paraId="0ACEE136" w14:textId="5888FC3E" w:rsidR="004F7C35" w:rsidRDefault="00DE068C" w:rsidP="000C2FDD">
      <w:pPr>
        <w:spacing w:after="0" w:line="240" w:lineRule="auto"/>
        <w:ind w:firstLine="720"/>
        <w:jc w:val="both"/>
        <w:rPr>
          <w:color w:val="000000" w:themeColor="text1"/>
          <w:sz w:val="24"/>
          <w:szCs w:val="24"/>
        </w:rPr>
      </w:pPr>
      <w:r>
        <w:rPr>
          <w:color w:val="000000" w:themeColor="text1"/>
          <w:sz w:val="24"/>
          <w:szCs w:val="24"/>
        </w:rPr>
        <w:t xml:space="preserve">In spite of the lack of evidence on the need </w:t>
      </w:r>
      <w:r w:rsidR="001A218E">
        <w:rPr>
          <w:color w:val="000000" w:themeColor="text1"/>
          <w:sz w:val="24"/>
          <w:szCs w:val="24"/>
        </w:rPr>
        <w:t>for, proportionality and EU law conformity</w:t>
      </w:r>
      <w:r>
        <w:rPr>
          <w:color w:val="000000" w:themeColor="text1"/>
          <w:sz w:val="24"/>
          <w:szCs w:val="24"/>
        </w:rPr>
        <w:t xml:space="preserve"> </w:t>
      </w:r>
      <w:r w:rsidR="001A218E">
        <w:rPr>
          <w:color w:val="000000" w:themeColor="text1"/>
          <w:sz w:val="24"/>
          <w:szCs w:val="24"/>
        </w:rPr>
        <w:t xml:space="preserve">of </w:t>
      </w:r>
      <w:r>
        <w:rPr>
          <w:color w:val="000000" w:themeColor="text1"/>
          <w:sz w:val="24"/>
          <w:szCs w:val="24"/>
        </w:rPr>
        <w:t xml:space="preserve">ISDS in EU agreements, and the criticism that casts doubt on </w:t>
      </w:r>
      <w:r w:rsidR="001A218E">
        <w:rPr>
          <w:color w:val="000000" w:themeColor="text1"/>
          <w:sz w:val="24"/>
          <w:szCs w:val="24"/>
        </w:rPr>
        <w:t xml:space="preserve">important </w:t>
      </w:r>
      <w:r>
        <w:rPr>
          <w:color w:val="000000" w:themeColor="text1"/>
          <w:sz w:val="24"/>
          <w:szCs w:val="24"/>
        </w:rPr>
        <w:t>aspects of ISDS, t</w:t>
      </w:r>
      <w:r w:rsidR="00BA2D1B" w:rsidRPr="00ED0973">
        <w:rPr>
          <w:color w:val="000000" w:themeColor="text1"/>
          <w:sz w:val="24"/>
          <w:szCs w:val="24"/>
        </w:rPr>
        <w:t>he Council agreed with the Commissi</w:t>
      </w:r>
      <w:r>
        <w:rPr>
          <w:color w:val="000000" w:themeColor="text1"/>
          <w:sz w:val="24"/>
          <w:szCs w:val="24"/>
        </w:rPr>
        <w:t xml:space="preserve">on’s proposals. The </w:t>
      </w:r>
      <w:r w:rsidR="00410847">
        <w:rPr>
          <w:color w:val="000000" w:themeColor="text1"/>
          <w:sz w:val="24"/>
          <w:szCs w:val="24"/>
        </w:rPr>
        <w:t>EP</w:t>
      </w:r>
      <w:r w:rsidR="001F2E5E" w:rsidRPr="00ED0973">
        <w:rPr>
          <w:color w:val="000000" w:themeColor="text1"/>
          <w:sz w:val="24"/>
          <w:szCs w:val="24"/>
        </w:rPr>
        <w:t xml:space="preserve"> </w:t>
      </w:r>
      <w:r>
        <w:rPr>
          <w:color w:val="000000" w:themeColor="text1"/>
          <w:sz w:val="24"/>
          <w:szCs w:val="24"/>
        </w:rPr>
        <w:t xml:space="preserve">was more critical, fortunately, and </w:t>
      </w:r>
      <w:r w:rsidR="001F2E5E" w:rsidRPr="00ED0973">
        <w:rPr>
          <w:color w:val="000000" w:themeColor="text1"/>
          <w:sz w:val="24"/>
          <w:szCs w:val="24"/>
        </w:rPr>
        <w:t>called for</w:t>
      </w:r>
      <w:r w:rsidR="00BA2D1B" w:rsidRPr="00ED0973">
        <w:rPr>
          <w:color w:val="000000" w:themeColor="text1"/>
          <w:sz w:val="24"/>
          <w:szCs w:val="24"/>
        </w:rPr>
        <w:t xml:space="preserve"> </w:t>
      </w:r>
      <w:r>
        <w:rPr>
          <w:color w:val="000000" w:themeColor="text1"/>
          <w:sz w:val="24"/>
          <w:szCs w:val="24"/>
        </w:rPr>
        <w:t xml:space="preserve">significant ISDS </w:t>
      </w:r>
      <w:r w:rsidR="00BA2D1B" w:rsidRPr="00ED0973">
        <w:rPr>
          <w:color w:val="000000" w:themeColor="text1"/>
          <w:sz w:val="24"/>
          <w:szCs w:val="24"/>
        </w:rPr>
        <w:t>re</w:t>
      </w:r>
      <w:r w:rsidR="001F2E5E" w:rsidRPr="00ED0973">
        <w:rPr>
          <w:color w:val="000000" w:themeColor="text1"/>
          <w:sz w:val="24"/>
          <w:szCs w:val="24"/>
        </w:rPr>
        <w:t>forms</w:t>
      </w:r>
      <w:r>
        <w:rPr>
          <w:color w:val="000000" w:themeColor="text1"/>
          <w:sz w:val="24"/>
          <w:szCs w:val="24"/>
        </w:rPr>
        <w:t>,</w:t>
      </w:r>
      <w:r w:rsidRPr="00DE068C">
        <w:t xml:space="preserve"> </w:t>
      </w:r>
      <w:r w:rsidRPr="00DE068C">
        <w:rPr>
          <w:color w:val="000000" w:themeColor="text1"/>
          <w:sz w:val="24"/>
          <w:szCs w:val="24"/>
        </w:rPr>
        <w:t>notably in order to ensure transparency, appeals, prevention of ‘double ha</w:t>
      </w:r>
      <w:r w:rsidR="001D1E85">
        <w:rPr>
          <w:color w:val="000000" w:themeColor="text1"/>
          <w:sz w:val="24"/>
          <w:szCs w:val="24"/>
        </w:rPr>
        <w:t>tting’</w:t>
      </w:r>
      <w:r w:rsidRPr="00DE068C">
        <w:rPr>
          <w:color w:val="000000" w:themeColor="text1"/>
          <w:sz w:val="24"/>
          <w:szCs w:val="24"/>
        </w:rPr>
        <w:t xml:space="preserve"> and exhaustion of local judicial remedies where they are reliable enough to guarantee due process.</w:t>
      </w:r>
      <w:r w:rsidR="00BA2D1B" w:rsidRPr="00ED0973">
        <w:rPr>
          <w:rStyle w:val="Voetnootmarkering"/>
          <w:color w:val="000000" w:themeColor="text1"/>
          <w:sz w:val="24"/>
          <w:szCs w:val="24"/>
        </w:rPr>
        <w:footnoteReference w:id="57"/>
      </w:r>
      <w:r w:rsidR="00BA2D1B" w:rsidRPr="00ED0973">
        <w:rPr>
          <w:color w:val="000000" w:themeColor="text1"/>
          <w:sz w:val="24"/>
          <w:szCs w:val="24"/>
        </w:rPr>
        <w:t xml:space="preserve"> </w:t>
      </w:r>
      <w:r w:rsidR="004F7C35" w:rsidRPr="00ED0973">
        <w:rPr>
          <w:color w:val="000000" w:themeColor="text1"/>
          <w:sz w:val="24"/>
          <w:szCs w:val="24"/>
        </w:rPr>
        <w:t>T</w:t>
      </w:r>
      <w:r w:rsidR="00ED0973">
        <w:rPr>
          <w:color w:val="000000" w:themeColor="text1"/>
          <w:sz w:val="24"/>
          <w:szCs w:val="24"/>
        </w:rPr>
        <w:t xml:space="preserve">he </w:t>
      </w:r>
      <w:r w:rsidR="00DF0C99">
        <w:rPr>
          <w:color w:val="000000" w:themeColor="text1"/>
          <w:sz w:val="24"/>
          <w:szCs w:val="24"/>
        </w:rPr>
        <w:t xml:space="preserve">EP </w:t>
      </w:r>
      <w:r w:rsidR="004F7C35" w:rsidRPr="00ED0973">
        <w:rPr>
          <w:color w:val="000000" w:themeColor="text1"/>
          <w:sz w:val="24"/>
          <w:szCs w:val="24"/>
        </w:rPr>
        <w:t xml:space="preserve">also reacted to </w:t>
      </w:r>
      <w:r w:rsidR="004F7C35" w:rsidRPr="00ED0973">
        <w:rPr>
          <w:color w:val="000000" w:themeColor="text1"/>
          <w:sz w:val="24"/>
          <w:szCs w:val="24"/>
        </w:rPr>
        <w:lastRenderedPageBreak/>
        <w:t>the Council’s request that the new European legal framework should not negatively affect investor protection.</w:t>
      </w:r>
      <w:r w:rsidR="004F7C35" w:rsidRPr="00ED0973">
        <w:rPr>
          <w:rStyle w:val="Voetnootmarkering"/>
          <w:color w:val="000000" w:themeColor="text1"/>
          <w:sz w:val="24"/>
          <w:szCs w:val="24"/>
        </w:rPr>
        <w:footnoteReference w:id="58"/>
      </w:r>
      <w:r w:rsidR="00A24345" w:rsidRPr="00ED0973">
        <w:rPr>
          <w:color w:val="000000" w:themeColor="text1"/>
          <w:sz w:val="24"/>
          <w:szCs w:val="24"/>
        </w:rPr>
        <w:t xml:space="preserve"> </w:t>
      </w:r>
      <w:r w:rsidR="00E811C2" w:rsidRPr="00ED0973">
        <w:rPr>
          <w:color w:val="000000" w:themeColor="text1"/>
          <w:sz w:val="24"/>
          <w:szCs w:val="24"/>
        </w:rPr>
        <w:t>T</w:t>
      </w:r>
      <w:r w:rsidR="00A24345" w:rsidRPr="00ED0973">
        <w:rPr>
          <w:color w:val="000000" w:themeColor="text1"/>
          <w:sz w:val="24"/>
          <w:szCs w:val="24"/>
        </w:rPr>
        <w:t>his</w:t>
      </w:r>
      <w:r w:rsidR="004F7C35" w:rsidRPr="00ED0973">
        <w:rPr>
          <w:color w:val="000000" w:themeColor="text1"/>
          <w:sz w:val="24"/>
          <w:szCs w:val="24"/>
        </w:rPr>
        <w:t xml:space="preserve"> put</w:t>
      </w:r>
      <w:r w:rsidR="00E811C2" w:rsidRPr="00ED0973">
        <w:rPr>
          <w:color w:val="000000" w:themeColor="text1"/>
          <w:sz w:val="24"/>
          <w:szCs w:val="24"/>
        </w:rPr>
        <w:t>s</w:t>
      </w:r>
      <w:r w:rsidR="004F7C35" w:rsidRPr="00ED0973">
        <w:rPr>
          <w:color w:val="000000" w:themeColor="text1"/>
          <w:sz w:val="24"/>
          <w:szCs w:val="24"/>
        </w:rPr>
        <w:t xml:space="preserve"> the right to regulate at risk, and</w:t>
      </w:r>
      <w:r w:rsidR="00A24345" w:rsidRPr="00ED0973">
        <w:rPr>
          <w:color w:val="000000" w:themeColor="text1"/>
          <w:sz w:val="24"/>
          <w:szCs w:val="24"/>
        </w:rPr>
        <w:t xml:space="preserve"> </w:t>
      </w:r>
      <w:r w:rsidR="004F7C35" w:rsidRPr="00ED0973">
        <w:rPr>
          <w:color w:val="000000" w:themeColor="text1"/>
          <w:sz w:val="24"/>
          <w:szCs w:val="24"/>
        </w:rPr>
        <w:t>‘may contradict the meaning and spirit of Article 207 TFEU’</w:t>
      </w:r>
      <w:r w:rsidR="001D1E85">
        <w:rPr>
          <w:color w:val="000000" w:themeColor="text1"/>
          <w:sz w:val="24"/>
          <w:szCs w:val="24"/>
        </w:rPr>
        <w:t>, the EP</w:t>
      </w:r>
      <w:r w:rsidR="00410847">
        <w:rPr>
          <w:color w:val="000000" w:themeColor="text1"/>
          <w:sz w:val="24"/>
          <w:szCs w:val="24"/>
        </w:rPr>
        <w:t xml:space="preserve"> stated. That</w:t>
      </w:r>
      <w:r w:rsidR="00870173">
        <w:rPr>
          <w:color w:val="000000" w:themeColor="text1"/>
          <w:sz w:val="24"/>
          <w:szCs w:val="24"/>
        </w:rPr>
        <w:t xml:space="preserve"> </w:t>
      </w:r>
      <w:r w:rsidR="00ED0973">
        <w:rPr>
          <w:color w:val="000000" w:themeColor="text1"/>
          <w:sz w:val="24"/>
          <w:szCs w:val="24"/>
        </w:rPr>
        <w:t>i</w:t>
      </w:r>
      <w:r w:rsidR="00E811C2" w:rsidRPr="00ED0973">
        <w:rPr>
          <w:color w:val="000000" w:themeColor="text1"/>
          <w:sz w:val="24"/>
          <w:szCs w:val="24"/>
        </w:rPr>
        <w:t>s put</w:t>
      </w:r>
      <w:r w:rsidR="00870173">
        <w:rPr>
          <w:color w:val="000000" w:themeColor="text1"/>
          <w:sz w:val="24"/>
          <w:szCs w:val="24"/>
        </w:rPr>
        <w:t>ting it</w:t>
      </w:r>
      <w:r w:rsidR="00D73158" w:rsidRPr="00ED0973">
        <w:rPr>
          <w:color w:val="000000" w:themeColor="text1"/>
          <w:sz w:val="24"/>
          <w:szCs w:val="24"/>
        </w:rPr>
        <w:t xml:space="preserve"> mildly</w:t>
      </w:r>
      <w:r w:rsidR="00E811C2" w:rsidRPr="00ED0973">
        <w:rPr>
          <w:color w:val="000000" w:themeColor="text1"/>
          <w:sz w:val="24"/>
          <w:szCs w:val="24"/>
        </w:rPr>
        <w:t>, considering</w:t>
      </w:r>
      <w:r w:rsidR="00A24345" w:rsidRPr="00ED0973">
        <w:rPr>
          <w:color w:val="000000" w:themeColor="text1"/>
          <w:sz w:val="24"/>
          <w:szCs w:val="24"/>
        </w:rPr>
        <w:t xml:space="preserve"> </w:t>
      </w:r>
      <w:r w:rsidR="00EA5FEC">
        <w:rPr>
          <w:color w:val="000000" w:themeColor="text1"/>
          <w:sz w:val="24"/>
          <w:szCs w:val="24"/>
        </w:rPr>
        <w:t>that this provision</w:t>
      </w:r>
      <w:r w:rsidR="00870173">
        <w:rPr>
          <w:color w:val="000000" w:themeColor="text1"/>
          <w:sz w:val="24"/>
          <w:szCs w:val="24"/>
        </w:rPr>
        <w:t xml:space="preserve"> demand</w:t>
      </w:r>
      <w:r w:rsidR="00410847">
        <w:rPr>
          <w:color w:val="000000" w:themeColor="text1"/>
          <w:sz w:val="24"/>
          <w:szCs w:val="24"/>
        </w:rPr>
        <w:t>s</w:t>
      </w:r>
      <w:r w:rsidR="00E811C2" w:rsidRPr="00ED0973">
        <w:rPr>
          <w:color w:val="000000" w:themeColor="text1"/>
          <w:sz w:val="24"/>
          <w:szCs w:val="24"/>
        </w:rPr>
        <w:t xml:space="preserve"> </w:t>
      </w:r>
      <w:r w:rsidR="005768A9">
        <w:rPr>
          <w:color w:val="000000" w:themeColor="text1"/>
          <w:sz w:val="24"/>
          <w:szCs w:val="24"/>
        </w:rPr>
        <w:t>that</w:t>
      </w:r>
      <w:r w:rsidR="00A24345" w:rsidRPr="00ED0973">
        <w:rPr>
          <w:color w:val="000000" w:themeColor="text1"/>
          <w:sz w:val="24"/>
          <w:szCs w:val="24"/>
        </w:rPr>
        <w:t xml:space="preserve"> the </w:t>
      </w:r>
      <w:r w:rsidR="00410847">
        <w:rPr>
          <w:color w:val="000000" w:themeColor="text1"/>
          <w:sz w:val="24"/>
          <w:szCs w:val="24"/>
        </w:rPr>
        <w:t xml:space="preserve">‘common commercial policy shall be conducted in the context of the </w:t>
      </w:r>
      <w:r w:rsidR="00A24345" w:rsidRPr="00ED0973">
        <w:rPr>
          <w:color w:val="000000" w:themeColor="text1"/>
          <w:sz w:val="24"/>
          <w:szCs w:val="24"/>
        </w:rPr>
        <w:t>principles and objective</w:t>
      </w:r>
      <w:r w:rsidR="00410847">
        <w:rPr>
          <w:color w:val="000000" w:themeColor="text1"/>
          <w:sz w:val="24"/>
          <w:szCs w:val="24"/>
        </w:rPr>
        <w:t xml:space="preserve">s of the Union’s external action’ </w:t>
      </w:r>
      <w:r w:rsidR="00C208BF">
        <w:rPr>
          <w:color w:val="000000" w:themeColor="text1"/>
          <w:sz w:val="24"/>
          <w:szCs w:val="24"/>
        </w:rPr>
        <w:t>- which</w:t>
      </w:r>
      <w:r w:rsidR="00A24345" w:rsidRPr="00ED0973">
        <w:rPr>
          <w:color w:val="000000" w:themeColor="text1"/>
          <w:sz w:val="24"/>
          <w:szCs w:val="24"/>
        </w:rPr>
        <w:t xml:space="preserve"> </w:t>
      </w:r>
      <w:r w:rsidR="00C208BF">
        <w:rPr>
          <w:color w:val="000000" w:themeColor="text1"/>
          <w:sz w:val="24"/>
          <w:szCs w:val="24"/>
        </w:rPr>
        <w:t>include</w:t>
      </w:r>
      <w:r w:rsidR="005768A9">
        <w:rPr>
          <w:color w:val="000000" w:themeColor="text1"/>
          <w:sz w:val="24"/>
          <w:szCs w:val="24"/>
        </w:rPr>
        <w:t xml:space="preserve"> </w:t>
      </w:r>
      <w:r w:rsidR="00A24345" w:rsidRPr="00ED0973">
        <w:rPr>
          <w:color w:val="000000" w:themeColor="text1"/>
          <w:sz w:val="24"/>
          <w:szCs w:val="24"/>
        </w:rPr>
        <w:t>protection of the environment and ensuring sustainable</w:t>
      </w:r>
      <w:r w:rsidR="005768A9">
        <w:rPr>
          <w:color w:val="000000" w:themeColor="text1"/>
          <w:sz w:val="24"/>
          <w:szCs w:val="24"/>
        </w:rPr>
        <w:t xml:space="preserve"> development</w:t>
      </w:r>
      <w:r w:rsidR="00A24345" w:rsidRPr="00ED0973">
        <w:rPr>
          <w:color w:val="000000" w:themeColor="text1"/>
          <w:sz w:val="24"/>
          <w:szCs w:val="24"/>
        </w:rPr>
        <w:t>.</w:t>
      </w:r>
      <w:r w:rsidR="00D15AC7">
        <w:rPr>
          <w:rStyle w:val="Voetnootmarkering"/>
          <w:color w:val="000000" w:themeColor="text1"/>
          <w:sz w:val="24"/>
          <w:szCs w:val="24"/>
        </w:rPr>
        <w:footnoteReference w:id="59"/>
      </w:r>
      <w:r w:rsidR="00D73158" w:rsidRPr="00ED0973">
        <w:rPr>
          <w:color w:val="000000" w:themeColor="text1"/>
          <w:sz w:val="24"/>
          <w:szCs w:val="24"/>
        </w:rPr>
        <w:t xml:space="preserve"> The resolution </w:t>
      </w:r>
      <w:r w:rsidR="005768A9">
        <w:rPr>
          <w:color w:val="000000" w:themeColor="text1"/>
          <w:sz w:val="24"/>
          <w:szCs w:val="24"/>
        </w:rPr>
        <w:t xml:space="preserve">also </w:t>
      </w:r>
      <w:r w:rsidR="00D73158" w:rsidRPr="00ED0973">
        <w:rPr>
          <w:color w:val="000000" w:themeColor="text1"/>
          <w:sz w:val="24"/>
          <w:szCs w:val="24"/>
        </w:rPr>
        <w:t>expresses ‘deep concern regarding the level of discretion of international arbitrators to make a broad interpretation of investor protection clauses, thereby leading to the ruling out of legitimate public regulations’</w:t>
      </w:r>
      <w:r w:rsidR="005768A9">
        <w:rPr>
          <w:color w:val="000000" w:themeColor="text1"/>
          <w:sz w:val="24"/>
          <w:szCs w:val="24"/>
        </w:rPr>
        <w:t>,</w:t>
      </w:r>
      <w:r w:rsidR="00D73158" w:rsidRPr="00ED0973">
        <w:rPr>
          <w:color w:val="000000" w:themeColor="text1"/>
          <w:sz w:val="24"/>
          <w:szCs w:val="24"/>
        </w:rPr>
        <w:t xml:space="preserve"> and calls on the Commission to produce clear definitions of investor protection standards in order to avoid such problems i</w:t>
      </w:r>
      <w:r w:rsidR="005768A9">
        <w:rPr>
          <w:color w:val="000000" w:themeColor="text1"/>
          <w:sz w:val="24"/>
          <w:szCs w:val="24"/>
        </w:rPr>
        <w:t>n the new agreements</w:t>
      </w:r>
      <w:r>
        <w:rPr>
          <w:color w:val="000000" w:themeColor="text1"/>
          <w:sz w:val="24"/>
          <w:szCs w:val="24"/>
        </w:rPr>
        <w:t>.</w:t>
      </w:r>
    </w:p>
    <w:p w14:paraId="2B8FA090" w14:textId="434D0726" w:rsidR="00A51DB8" w:rsidRDefault="00DF0C99" w:rsidP="009D7655">
      <w:pPr>
        <w:spacing w:after="0" w:line="240" w:lineRule="auto"/>
        <w:jc w:val="both"/>
        <w:rPr>
          <w:color w:val="000000" w:themeColor="text1"/>
          <w:sz w:val="24"/>
          <w:szCs w:val="24"/>
        </w:rPr>
      </w:pPr>
      <w:r>
        <w:rPr>
          <w:color w:val="000000" w:themeColor="text1"/>
          <w:sz w:val="24"/>
          <w:szCs w:val="24"/>
        </w:rPr>
        <w:tab/>
      </w:r>
      <w:r w:rsidR="002E5CCB">
        <w:rPr>
          <w:color w:val="000000" w:themeColor="text1"/>
          <w:sz w:val="24"/>
          <w:szCs w:val="24"/>
        </w:rPr>
        <w:t>The negotiations between the EU and</w:t>
      </w:r>
      <w:r w:rsidR="001F178B">
        <w:rPr>
          <w:color w:val="000000" w:themeColor="text1"/>
          <w:sz w:val="24"/>
          <w:szCs w:val="24"/>
        </w:rPr>
        <w:t xml:space="preserve"> Canada </w:t>
      </w:r>
      <w:r>
        <w:rPr>
          <w:color w:val="000000" w:themeColor="text1"/>
          <w:sz w:val="24"/>
          <w:szCs w:val="24"/>
        </w:rPr>
        <w:t xml:space="preserve">started in May 2009. </w:t>
      </w:r>
      <w:r w:rsidR="002E5CCB">
        <w:rPr>
          <w:color w:val="000000" w:themeColor="text1"/>
          <w:sz w:val="24"/>
          <w:szCs w:val="24"/>
        </w:rPr>
        <w:t>In J</w:t>
      </w:r>
      <w:r w:rsidR="001F178B">
        <w:rPr>
          <w:color w:val="000000" w:themeColor="text1"/>
          <w:sz w:val="24"/>
          <w:szCs w:val="24"/>
        </w:rPr>
        <w:t xml:space="preserve">une 2011, the Trade SIA </w:t>
      </w:r>
      <w:r w:rsidR="002E5CCB">
        <w:rPr>
          <w:color w:val="000000" w:themeColor="text1"/>
          <w:sz w:val="24"/>
          <w:szCs w:val="24"/>
        </w:rPr>
        <w:t xml:space="preserve">was published, explaining </w:t>
      </w:r>
      <w:r w:rsidR="002E5CCB" w:rsidRPr="00A357B3">
        <w:rPr>
          <w:color w:val="000000" w:themeColor="text1"/>
          <w:sz w:val="24"/>
          <w:szCs w:val="24"/>
        </w:rPr>
        <w:t>that ‘the conflicting costs and benefits of [an ISDS] mechanism make it doubtful that its inclusion in CETA would create a net/overall (economic, social and environmental) sustainability benefit for</w:t>
      </w:r>
      <w:r w:rsidR="001F178B">
        <w:rPr>
          <w:color w:val="000000" w:themeColor="text1"/>
          <w:sz w:val="24"/>
          <w:szCs w:val="24"/>
        </w:rPr>
        <w:t xml:space="preserve"> the EU and/or Canada’. It was </w:t>
      </w:r>
      <w:r w:rsidR="002E5CCB" w:rsidRPr="00A357B3">
        <w:rPr>
          <w:color w:val="000000" w:themeColor="text1"/>
          <w:sz w:val="24"/>
          <w:szCs w:val="24"/>
        </w:rPr>
        <w:t>added that ‘the policy space reductions caused by ISDS allowances in CETA, while less significant than foreseen by some parties, would be enough to cast doubt on its contribution to net sustainability benefits.’</w:t>
      </w:r>
      <w:r w:rsidR="002E5CCB" w:rsidRPr="00A357B3">
        <w:rPr>
          <w:rStyle w:val="Voetnootmarkering"/>
          <w:color w:val="000000" w:themeColor="text1"/>
          <w:sz w:val="24"/>
          <w:szCs w:val="24"/>
        </w:rPr>
        <w:t xml:space="preserve"> </w:t>
      </w:r>
      <w:r w:rsidR="002E5CCB" w:rsidRPr="00A357B3">
        <w:rPr>
          <w:rStyle w:val="Voetnootmarkering"/>
          <w:color w:val="000000" w:themeColor="text1"/>
          <w:sz w:val="24"/>
          <w:szCs w:val="24"/>
        </w:rPr>
        <w:footnoteReference w:id="60"/>
      </w:r>
      <w:r w:rsidR="002E5CCB">
        <w:rPr>
          <w:rStyle w:val="Voetnootmarkering"/>
          <w:color w:val="000000" w:themeColor="text1"/>
          <w:sz w:val="24"/>
          <w:szCs w:val="24"/>
        </w:rPr>
        <w:t xml:space="preserve"> </w:t>
      </w:r>
      <w:r w:rsidR="00A357B3">
        <w:rPr>
          <w:color w:val="000000" w:themeColor="text1"/>
          <w:sz w:val="24"/>
          <w:szCs w:val="24"/>
        </w:rPr>
        <w:t>The independent advisers</w:t>
      </w:r>
      <w:r w:rsidR="009D7655">
        <w:rPr>
          <w:color w:val="000000" w:themeColor="text1"/>
          <w:sz w:val="24"/>
          <w:szCs w:val="24"/>
        </w:rPr>
        <w:t xml:space="preserve"> concluded that </w:t>
      </w:r>
      <w:r w:rsidR="00B546B8">
        <w:rPr>
          <w:color w:val="000000" w:themeColor="text1"/>
          <w:sz w:val="24"/>
          <w:szCs w:val="24"/>
        </w:rPr>
        <w:t xml:space="preserve">instead of an </w:t>
      </w:r>
      <w:r w:rsidR="00010396">
        <w:rPr>
          <w:color w:val="000000" w:themeColor="text1"/>
          <w:sz w:val="24"/>
          <w:szCs w:val="24"/>
        </w:rPr>
        <w:t>ISDS</w:t>
      </w:r>
      <w:r w:rsidR="00B546B8">
        <w:rPr>
          <w:color w:val="000000" w:themeColor="text1"/>
          <w:sz w:val="24"/>
          <w:szCs w:val="24"/>
        </w:rPr>
        <w:t xml:space="preserve"> mechanism, </w:t>
      </w:r>
      <w:r w:rsidR="009D7655">
        <w:rPr>
          <w:color w:val="000000" w:themeColor="text1"/>
          <w:sz w:val="24"/>
          <w:szCs w:val="24"/>
        </w:rPr>
        <w:t xml:space="preserve">a state-to-state </w:t>
      </w:r>
      <w:r w:rsidR="00B546B8">
        <w:rPr>
          <w:color w:val="000000" w:themeColor="text1"/>
          <w:sz w:val="24"/>
          <w:szCs w:val="24"/>
        </w:rPr>
        <w:t>system forms</w:t>
      </w:r>
      <w:r w:rsidR="009D7655" w:rsidRPr="009D7655">
        <w:rPr>
          <w:color w:val="000000" w:themeColor="text1"/>
          <w:sz w:val="24"/>
          <w:szCs w:val="24"/>
        </w:rPr>
        <w:t xml:space="preserve"> a more appropriate enforcement mechanis</w:t>
      </w:r>
      <w:r w:rsidR="009D7655">
        <w:rPr>
          <w:color w:val="000000" w:themeColor="text1"/>
          <w:sz w:val="24"/>
          <w:szCs w:val="24"/>
        </w:rPr>
        <w:t>m in the agreement</w:t>
      </w:r>
      <w:r w:rsidR="002D689A">
        <w:rPr>
          <w:color w:val="000000" w:themeColor="text1"/>
          <w:sz w:val="24"/>
          <w:szCs w:val="24"/>
        </w:rPr>
        <w:t xml:space="preserve">. </w:t>
      </w:r>
      <w:r w:rsidR="00F13088">
        <w:rPr>
          <w:color w:val="000000" w:themeColor="text1"/>
          <w:sz w:val="24"/>
          <w:szCs w:val="24"/>
        </w:rPr>
        <w:t>T</w:t>
      </w:r>
      <w:r w:rsidR="00A92455">
        <w:rPr>
          <w:color w:val="000000" w:themeColor="text1"/>
          <w:sz w:val="24"/>
          <w:szCs w:val="24"/>
        </w:rPr>
        <w:t xml:space="preserve">he </w:t>
      </w:r>
      <w:r w:rsidR="0012571F">
        <w:rPr>
          <w:color w:val="000000" w:themeColor="text1"/>
          <w:sz w:val="24"/>
          <w:szCs w:val="24"/>
        </w:rPr>
        <w:t>Commission</w:t>
      </w:r>
      <w:r w:rsidR="00A92455">
        <w:rPr>
          <w:color w:val="000000" w:themeColor="text1"/>
          <w:sz w:val="24"/>
          <w:szCs w:val="24"/>
        </w:rPr>
        <w:t>’s own</w:t>
      </w:r>
      <w:r w:rsidR="00F13088">
        <w:rPr>
          <w:color w:val="000000" w:themeColor="text1"/>
          <w:sz w:val="24"/>
          <w:szCs w:val="24"/>
        </w:rPr>
        <w:t xml:space="preserve"> guidelines</w:t>
      </w:r>
      <w:r w:rsidR="00A92455">
        <w:rPr>
          <w:rStyle w:val="Voetnootmarkering"/>
          <w:color w:val="000000" w:themeColor="text1"/>
          <w:sz w:val="24"/>
          <w:szCs w:val="24"/>
        </w:rPr>
        <w:footnoteReference w:id="61"/>
      </w:r>
      <w:r w:rsidR="00473DE4">
        <w:rPr>
          <w:color w:val="000000" w:themeColor="text1"/>
          <w:sz w:val="24"/>
          <w:szCs w:val="24"/>
        </w:rPr>
        <w:t xml:space="preserve"> </w:t>
      </w:r>
      <w:r w:rsidR="00F13088">
        <w:rPr>
          <w:color w:val="000000" w:themeColor="text1"/>
          <w:sz w:val="24"/>
          <w:szCs w:val="24"/>
        </w:rPr>
        <w:t xml:space="preserve">prescribe </w:t>
      </w:r>
      <w:r w:rsidR="00473DE4">
        <w:rPr>
          <w:color w:val="000000" w:themeColor="text1"/>
          <w:sz w:val="24"/>
          <w:szCs w:val="24"/>
        </w:rPr>
        <w:t>a</w:t>
      </w:r>
      <w:r w:rsidR="0012571F">
        <w:rPr>
          <w:color w:val="000000" w:themeColor="text1"/>
          <w:sz w:val="24"/>
          <w:szCs w:val="24"/>
        </w:rPr>
        <w:t xml:space="preserve"> reactio</w:t>
      </w:r>
      <w:r w:rsidR="00EE33F9">
        <w:rPr>
          <w:color w:val="000000" w:themeColor="text1"/>
          <w:sz w:val="24"/>
          <w:szCs w:val="24"/>
        </w:rPr>
        <w:t>n to the</w:t>
      </w:r>
      <w:r w:rsidR="00473DE4">
        <w:rPr>
          <w:color w:val="000000" w:themeColor="text1"/>
          <w:sz w:val="24"/>
          <w:szCs w:val="24"/>
        </w:rPr>
        <w:t xml:space="preserve"> Trade SIA findings in the form of a </w:t>
      </w:r>
      <w:r w:rsidR="00F13088">
        <w:rPr>
          <w:color w:val="000000" w:themeColor="text1"/>
          <w:sz w:val="24"/>
          <w:szCs w:val="24"/>
        </w:rPr>
        <w:t>position paper</w:t>
      </w:r>
      <w:r w:rsidR="00E03A28">
        <w:rPr>
          <w:color w:val="000000" w:themeColor="text1"/>
          <w:sz w:val="24"/>
          <w:szCs w:val="24"/>
        </w:rPr>
        <w:t xml:space="preserve"> during the negotiations</w:t>
      </w:r>
      <w:r w:rsidR="00F13088">
        <w:rPr>
          <w:color w:val="000000" w:themeColor="text1"/>
          <w:sz w:val="24"/>
          <w:szCs w:val="24"/>
        </w:rPr>
        <w:t xml:space="preserve">, </w:t>
      </w:r>
      <w:r w:rsidR="00473DE4">
        <w:rPr>
          <w:color w:val="000000" w:themeColor="text1"/>
          <w:sz w:val="24"/>
          <w:szCs w:val="24"/>
        </w:rPr>
        <w:t>explaining</w:t>
      </w:r>
      <w:r w:rsidR="0012571F">
        <w:rPr>
          <w:color w:val="000000" w:themeColor="text1"/>
          <w:sz w:val="24"/>
          <w:szCs w:val="24"/>
        </w:rPr>
        <w:t xml:space="preserve"> </w:t>
      </w:r>
      <w:r w:rsidR="00F13088">
        <w:rPr>
          <w:color w:val="000000" w:themeColor="text1"/>
          <w:sz w:val="24"/>
          <w:szCs w:val="24"/>
        </w:rPr>
        <w:t xml:space="preserve">for instance why </w:t>
      </w:r>
      <w:r w:rsidR="00473DE4">
        <w:rPr>
          <w:color w:val="000000" w:themeColor="text1"/>
          <w:sz w:val="24"/>
          <w:szCs w:val="24"/>
        </w:rPr>
        <w:t>ISDS</w:t>
      </w:r>
      <w:r w:rsidR="00F13088">
        <w:rPr>
          <w:color w:val="000000" w:themeColor="text1"/>
          <w:sz w:val="24"/>
          <w:szCs w:val="24"/>
        </w:rPr>
        <w:t xml:space="preserve"> nevertheless should be included. </w:t>
      </w:r>
      <w:r w:rsidR="00EA5FEC">
        <w:rPr>
          <w:color w:val="000000" w:themeColor="text1"/>
          <w:sz w:val="24"/>
          <w:szCs w:val="24"/>
        </w:rPr>
        <w:t xml:space="preserve">In spite of, or maybe because of the </w:t>
      </w:r>
      <w:r w:rsidR="00EE33F9">
        <w:rPr>
          <w:color w:val="000000" w:themeColor="text1"/>
          <w:sz w:val="24"/>
          <w:szCs w:val="24"/>
        </w:rPr>
        <w:t xml:space="preserve">intense debates on </w:t>
      </w:r>
      <w:r w:rsidR="00EA5FEC">
        <w:rPr>
          <w:color w:val="000000" w:themeColor="text1"/>
          <w:sz w:val="24"/>
          <w:szCs w:val="24"/>
        </w:rPr>
        <w:t>the agreement, a CETA position paper</w:t>
      </w:r>
      <w:r w:rsidR="00F13088">
        <w:rPr>
          <w:color w:val="000000" w:themeColor="text1"/>
          <w:sz w:val="24"/>
          <w:szCs w:val="24"/>
        </w:rPr>
        <w:t xml:space="preserve"> </w:t>
      </w:r>
      <w:r w:rsidR="00EA5FEC">
        <w:rPr>
          <w:color w:val="000000" w:themeColor="text1"/>
          <w:sz w:val="24"/>
          <w:szCs w:val="24"/>
        </w:rPr>
        <w:t xml:space="preserve">on the Trade SIA </w:t>
      </w:r>
      <w:r w:rsidR="00E03A28">
        <w:rPr>
          <w:color w:val="000000" w:themeColor="text1"/>
          <w:sz w:val="24"/>
          <w:szCs w:val="24"/>
        </w:rPr>
        <w:t>was neither</w:t>
      </w:r>
      <w:r w:rsidR="00EA5FEC">
        <w:rPr>
          <w:color w:val="000000" w:themeColor="text1"/>
          <w:sz w:val="24"/>
          <w:szCs w:val="24"/>
        </w:rPr>
        <w:t xml:space="preserve"> made public</w:t>
      </w:r>
      <w:r w:rsidR="00E03A28">
        <w:rPr>
          <w:color w:val="000000" w:themeColor="text1"/>
          <w:sz w:val="24"/>
          <w:szCs w:val="24"/>
        </w:rPr>
        <w:t xml:space="preserve"> before negotiations ended, nor before national parliaments were asked to agree with provisional application of CETA</w:t>
      </w:r>
      <w:r w:rsidR="00EA5FEC">
        <w:rPr>
          <w:color w:val="000000" w:themeColor="text1"/>
          <w:sz w:val="24"/>
          <w:szCs w:val="24"/>
        </w:rPr>
        <w:t xml:space="preserve">. </w:t>
      </w:r>
      <w:r w:rsidR="00BC4E3C">
        <w:rPr>
          <w:color w:val="000000" w:themeColor="text1"/>
          <w:sz w:val="24"/>
          <w:szCs w:val="24"/>
        </w:rPr>
        <w:t xml:space="preserve">Only </w:t>
      </w:r>
      <w:r w:rsidR="004041B4">
        <w:rPr>
          <w:color w:val="000000" w:themeColor="text1"/>
          <w:sz w:val="24"/>
          <w:szCs w:val="24"/>
        </w:rPr>
        <w:t>on 4</w:t>
      </w:r>
      <w:r w:rsidR="00ED35FA">
        <w:rPr>
          <w:color w:val="000000" w:themeColor="text1"/>
          <w:sz w:val="24"/>
          <w:szCs w:val="24"/>
        </w:rPr>
        <w:t xml:space="preserve"> April </w:t>
      </w:r>
      <w:r w:rsidR="00F3167F">
        <w:rPr>
          <w:color w:val="000000" w:themeColor="text1"/>
          <w:sz w:val="24"/>
          <w:szCs w:val="24"/>
        </w:rPr>
        <w:t>2017 th</w:t>
      </w:r>
      <w:r w:rsidR="00ED35FA">
        <w:rPr>
          <w:color w:val="000000" w:themeColor="text1"/>
          <w:sz w:val="24"/>
          <w:szCs w:val="24"/>
        </w:rPr>
        <w:t>e position paper was published.</w:t>
      </w:r>
      <w:r w:rsidR="00C179CD">
        <w:rPr>
          <w:rStyle w:val="Voetnootmarkering"/>
          <w:color w:val="000000" w:themeColor="text1"/>
          <w:sz w:val="24"/>
          <w:szCs w:val="24"/>
        </w:rPr>
        <w:footnoteReference w:id="62"/>
      </w:r>
      <w:r w:rsidR="00195BE5">
        <w:rPr>
          <w:color w:val="000000" w:themeColor="text1"/>
          <w:sz w:val="24"/>
          <w:szCs w:val="24"/>
        </w:rPr>
        <w:t xml:space="preserve"> </w:t>
      </w:r>
      <w:r w:rsidR="003E5D70">
        <w:rPr>
          <w:color w:val="000000" w:themeColor="text1"/>
          <w:sz w:val="24"/>
          <w:szCs w:val="24"/>
        </w:rPr>
        <w:t>The flaws in the use of Trade SIA’s will be returned to below in para 3.6.</w:t>
      </w:r>
    </w:p>
    <w:p w14:paraId="54E29A77" w14:textId="69CF00BC" w:rsidR="00377751" w:rsidRPr="00ED0973" w:rsidRDefault="009D7655" w:rsidP="00E068E1">
      <w:pPr>
        <w:spacing w:after="0" w:line="240" w:lineRule="auto"/>
        <w:ind w:firstLine="720"/>
        <w:jc w:val="both"/>
        <w:rPr>
          <w:color w:val="000000" w:themeColor="text1"/>
          <w:sz w:val="24"/>
          <w:szCs w:val="24"/>
        </w:rPr>
      </w:pPr>
      <w:r>
        <w:rPr>
          <w:color w:val="000000" w:themeColor="text1"/>
          <w:sz w:val="24"/>
          <w:szCs w:val="24"/>
        </w:rPr>
        <w:t xml:space="preserve">Several MEPs did ask the Commission why it disregarded the </w:t>
      </w:r>
      <w:r w:rsidR="00F13088">
        <w:rPr>
          <w:color w:val="000000" w:themeColor="text1"/>
          <w:sz w:val="24"/>
          <w:szCs w:val="24"/>
        </w:rPr>
        <w:t xml:space="preserve">Trade SIA </w:t>
      </w:r>
      <w:r>
        <w:rPr>
          <w:color w:val="000000" w:themeColor="text1"/>
          <w:sz w:val="24"/>
          <w:szCs w:val="24"/>
        </w:rPr>
        <w:t>advice</w:t>
      </w:r>
      <w:r w:rsidR="00F13088">
        <w:rPr>
          <w:color w:val="000000" w:themeColor="text1"/>
          <w:sz w:val="24"/>
          <w:szCs w:val="24"/>
        </w:rPr>
        <w:t xml:space="preserve"> on leaving ISDS out. One</w:t>
      </w:r>
      <w:r>
        <w:rPr>
          <w:color w:val="000000" w:themeColor="text1"/>
          <w:sz w:val="24"/>
          <w:szCs w:val="24"/>
        </w:rPr>
        <w:t xml:space="preserve"> answer they got was that </w:t>
      </w:r>
      <w:r w:rsidR="00A357B3">
        <w:rPr>
          <w:color w:val="000000" w:themeColor="text1"/>
          <w:sz w:val="24"/>
          <w:szCs w:val="24"/>
        </w:rPr>
        <w:t>the</w:t>
      </w:r>
      <w:r>
        <w:rPr>
          <w:color w:val="000000" w:themeColor="text1"/>
          <w:sz w:val="24"/>
          <w:szCs w:val="24"/>
        </w:rPr>
        <w:t xml:space="preserve"> </w:t>
      </w:r>
      <w:r w:rsidR="00A357B3">
        <w:rPr>
          <w:color w:val="000000" w:themeColor="text1"/>
          <w:sz w:val="24"/>
          <w:szCs w:val="24"/>
        </w:rPr>
        <w:t xml:space="preserve">advice </w:t>
      </w:r>
      <w:r w:rsidRPr="009D7655">
        <w:rPr>
          <w:color w:val="000000" w:themeColor="text1"/>
          <w:sz w:val="24"/>
          <w:szCs w:val="24"/>
        </w:rPr>
        <w:t>does not represent the views of the Commission</w:t>
      </w:r>
      <w:r>
        <w:rPr>
          <w:color w:val="000000" w:themeColor="text1"/>
          <w:sz w:val="24"/>
          <w:szCs w:val="24"/>
        </w:rPr>
        <w:t xml:space="preserve">, </w:t>
      </w:r>
      <w:r w:rsidR="00A357B3">
        <w:rPr>
          <w:color w:val="000000" w:themeColor="text1"/>
          <w:sz w:val="24"/>
          <w:szCs w:val="24"/>
        </w:rPr>
        <w:t xml:space="preserve">and </w:t>
      </w:r>
      <w:r>
        <w:rPr>
          <w:color w:val="000000" w:themeColor="text1"/>
          <w:sz w:val="24"/>
          <w:szCs w:val="24"/>
        </w:rPr>
        <w:t xml:space="preserve">that </w:t>
      </w:r>
      <w:r w:rsidR="00E03A28">
        <w:rPr>
          <w:color w:val="000000" w:themeColor="text1"/>
          <w:sz w:val="24"/>
          <w:szCs w:val="24"/>
        </w:rPr>
        <w:t>the EP</w:t>
      </w:r>
      <w:r>
        <w:rPr>
          <w:color w:val="000000" w:themeColor="text1"/>
          <w:sz w:val="24"/>
          <w:szCs w:val="24"/>
        </w:rPr>
        <w:t xml:space="preserve"> and the </w:t>
      </w:r>
      <w:r w:rsidRPr="009D7655">
        <w:rPr>
          <w:color w:val="000000" w:themeColor="text1"/>
          <w:sz w:val="24"/>
          <w:szCs w:val="24"/>
        </w:rPr>
        <w:t xml:space="preserve">Council </w:t>
      </w:r>
      <w:r w:rsidR="00F13088">
        <w:rPr>
          <w:color w:val="000000" w:themeColor="text1"/>
          <w:sz w:val="24"/>
          <w:szCs w:val="24"/>
        </w:rPr>
        <w:t xml:space="preserve">had </w:t>
      </w:r>
      <w:r w:rsidRPr="009D7655">
        <w:rPr>
          <w:color w:val="000000" w:themeColor="text1"/>
          <w:sz w:val="24"/>
          <w:szCs w:val="24"/>
        </w:rPr>
        <w:t>endorsed the inclusio</w:t>
      </w:r>
      <w:r w:rsidR="00A357B3">
        <w:rPr>
          <w:color w:val="000000" w:themeColor="text1"/>
          <w:sz w:val="24"/>
          <w:szCs w:val="24"/>
        </w:rPr>
        <w:t xml:space="preserve">n of ISDS in </w:t>
      </w:r>
      <w:r>
        <w:rPr>
          <w:color w:val="000000" w:themeColor="text1"/>
          <w:sz w:val="24"/>
          <w:szCs w:val="24"/>
        </w:rPr>
        <w:t xml:space="preserve">CETA. </w:t>
      </w:r>
      <w:r w:rsidR="00B546B8">
        <w:rPr>
          <w:color w:val="000000" w:themeColor="text1"/>
          <w:sz w:val="24"/>
          <w:szCs w:val="24"/>
        </w:rPr>
        <w:t xml:space="preserve">Instead of refuting the cost/benefit analysis </w:t>
      </w:r>
      <w:r w:rsidR="00F13088">
        <w:rPr>
          <w:color w:val="000000" w:themeColor="text1"/>
          <w:sz w:val="24"/>
          <w:szCs w:val="24"/>
        </w:rPr>
        <w:t xml:space="preserve">on ISDS </w:t>
      </w:r>
      <w:r w:rsidR="00B546B8">
        <w:rPr>
          <w:color w:val="000000" w:themeColor="text1"/>
          <w:sz w:val="24"/>
          <w:szCs w:val="24"/>
        </w:rPr>
        <w:t>of the Trade SIA, t</w:t>
      </w:r>
      <w:r w:rsidRPr="009D7655">
        <w:rPr>
          <w:color w:val="000000" w:themeColor="text1"/>
          <w:sz w:val="24"/>
          <w:szCs w:val="24"/>
        </w:rPr>
        <w:t xml:space="preserve">he </w:t>
      </w:r>
      <w:r w:rsidR="00A357B3">
        <w:rPr>
          <w:color w:val="000000" w:themeColor="text1"/>
          <w:sz w:val="24"/>
          <w:szCs w:val="24"/>
        </w:rPr>
        <w:t xml:space="preserve">Commission </w:t>
      </w:r>
      <w:r w:rsidR="00B546B8">
        <w:rPr>
          <w:color w:val="000000" w:themeColor="text1"/>
          <w:sz w:val="24"/>
          <w:szCs w:val="24"/>
        </w:rPr>
        <w:t xml:space="preserve">simply </w:t>
      </w:r>
      <w:r w:rsidR="00A51DB8">
        <w:rPr>
          <w:color w:val="000000" w:themeColor="text1"/>
          <w:sz w:val="24"/>
          <w:szCs w:val="24"/>
        </w:rPr>
        <w:t>stat</w:t>
      </w:r>
      <w:r w:rsidR="00A357B3">
        <w:rPr>
          <w:color w:val="000000" w:themeColor="text1"/>
          <w:sz w:val="24"/>
          <w:szCs w:val="24"/>
        </w:rPr>
        <w:t>ed that it considers ISDS</w:t>
      </w:r>
      <w:r w:rsidRPr="009D7655">
        <w:rPr>
          <w:color w:val="000000" w:themeColor="text1"/>
          <w:sz w:val="24"/>
          <w:szCs w:val="24"/>
        </w:rPr>
        <w:t xml:space="preserve"> more appropriate than a state-to-state mechanism for the settlement of disputes between an investor and the state hosting the investment</w:t>
      </w:r>
      <w:r w:rsidR="00511ECB">
        <w:rPr>
          <w:color w:val="000000" w:themeColor="text1"/>
          <w:sz w:val="24"/>
          <w:szCs w:val="24"/>
        </w:rPr>
        <w:t xml:space="preserve">. It was </w:t>
      </w:r>
      <w:r w:rsidR="00511ECB">
        <w:rPr>
          <w:color w:val="000000" w:themeColor="text1"/>
          <w:sz w:val="24"/>
          <w:szCs w:val="24"/>
        </w:rPr>
        <w:lastRenderedPageBreak/>
        <w:t>added that</w:t>
      </w:r>
      <w:r w:rsidR="00B546B8">
        <w:rPr>
          <w:color w:val="000000" w:themeColor="text1"/>
          <w:sz w:val="24"/>
          <w:szCs w:val="24"/>
        </w:rPr>
        <w:t xml:space="preserve"> the state-to-state </w:t>
      </w:r>
      <w:r w:rsidRPr="009D7655">
        <w:rPr>
          <w:color w:val="000000" w:themeColor="text1"/>
          <w:sz w:val="24"/>
          <w:szCs w:val="24"/>
        </w:rPr>
        <w:t>dispute settl</w:t>
      </w:r>
      <w:r w:rsidR="005A1F23">
        <w:rPr>
          <w:color w:val="000000" w:themeColor="text1"/>
          <w:sz w:val="24"/>
          <w:szCs w:val="24"/>
        </w:rPr>
        <w:t xml:space="preserve">ement </w:t>
      </w:r>
      <w:r w:rsidR="00B546B8">
        <w:rPr>
          <w:color w:val="000000" w:themeColor="text1"/>
          <w:sz w:val="24"/>
          <w:szCs w:val="24"/>
        </w:rPr>
        <w:t xml:space="preserve">mechanisms </w:t>
      </w:r>
      <w:r w:rsidR="005A1F23">
        <w:rPr>
          <w:color w:val="000000" w:themeColor="text1"/>
          <w:sz w:val="24"/>
          <w:szCs w:val="24"/>
        </w:rPr>
        <w:t>in FTAs</w:t>
      </w:r>
      <w:r w:rsidR="00511ECB">
        <w:rPr>
          <w:color w:val="000000" w:themeColor="text1"/>
          <w:sz w:val="24"/>
          <w:szCs w:val="24"/>
        </w:rPr>
        <w:t xml:space="preserve"> had</w:t>
      </w:r>
      <w:r w:rsidRPr="009D7655">
        <w:rPr>
          <w:color w:val="000000" w:themeColor="text1"/>
          <w:sz w:val="24"/>
          <w:szCs w:val="24"/>
        </w:rPr>
        <w:t xml:space="preserve"> not been used</w:t>
      </w:r>
      <w:r w:rsidR="00B546B8">
        <w:rPr>
          <w:color w:val="000000" w:themeColor="text1"/>
          <w:sz w:val="24"/>
          <w:szCs w:val="24"/>
        </w:rPr>
        <w:t>, that those mechanism do</w:t>
      </w:r>
      <w:r w:rsidRPr="009D7655">
        <w:rPr>
          <w:color w:val="000000" w:themeColor="text1"/>
          <w:sz w:val="24"/>
          <w:szCs w:val="24"/>
        </w:rPr>
        <w:t xml:space="preserve"> not provide for compensation to the investor, and </w:t>
      </w:r>
      <w:r w:rsidR="00A357B3">
        <w:rPr>
          <w:color w:val="000000" w:themeColor="text1"/>
          <w:sz w:val="24"/>
          <w:szCs w:val="24"/>
        </w:rPr>
        <w:t>that ‘</w:t>
      </w:r>
      <w:r w:rsidRPr="009D7655">
        <w:rPr>
          <w:color w:val="000000" w:themeColor="text1"/>
          <w:sz w:val="24"/>
          <w:szCs w:val="24"/>
        </w:rPr>
        <w:t>securing adequate compensation, where an illegal action has been taken, is the core purpos</w:t>
      </w:r>
      <w:r w:rsidR="00B546B8">
        <w:rPr>
          <w:color w:val="000000" w:themeColor="text1"/>
          <w:sz w:val="24"/>
          <w:szCs w:val="24"/>
        </w:rPr>
        <w:t>e of the ISDS</w:t>
      </w:r>
      <w:r w:rsidRPr="009D7655">
        <w:rPr>
          <w:color w:val="000000" w:themeColor="text1"/>
          <w:sz w:val="24"/>
          <w:szCs w:val="24"/>
        </w:rPr>
        <w:t xml:space="preserve"> mechanism</w:t>
      </w:r>
      <w:r w:rsidR="00511ECB">
        <w:rPr>
          <w:color w:val="000000" w:themeColor="text1"/>
          <w:sz w:val="24"/>
          <w:szCs w:val="24"/>
        </w:rPr>
        <w:t>. ‘F</w:t>
      </w:r>
      <w:r w:rsidR="00F13088">
        <w:rPr>
          <w:color w:val="000000" w:themeColor="text1"/>
          <w:sz w:val="24"/>
          <w:szCs w:val="24"/>
        </w:rPr>
        <w:t>or these and other reasons’, the Commission continued,</w:t>
      </w:r>
      <w:r w:rsidRPr="009D7655">
        <w:rPr>
          <w:color w:val="000000" w:themeColor="text1"/>
          <w:sz w:val="24"/>
          <w:szCs w:val="24"/>
        </w:rPr>
        <w:t xml:space="preserve"> </w:t>
      </w:r>
      <w:r w:rsidR="00F13088">
        <w:rPr>
          <w:color w:val="000000" w:themeColor="text1"/>
          <w:sz w:val="24"/>
          <w:szCs w:val="24"/>
        </w:rPr>
        <w:t>‘</w:t>
      </w:r>
      <w:r w:rsidRPr="009D7655">
        <w:rPr>
          <w:color w:val="000000" w:themeColor="text1"/>
          <w:sz w:val="24"/>
          <w:szCs w:val="24"/>
        </w:rPr>
        <w:t>it is appropriate to include an ISDS mechanism in CETA, and not rely on the state-to-state dispute settlement mechanism alone.</w:t>
      </w:r>
      <w:r w:rsidR="00A357B3">
        <w:rPr>
          <w:color w:val="000000" w:themeColor="text1"/>
          <w:sz w:val="24"/>
          <w:szCs w:val="24"/>
        </w:rPr>
        <w:t>’</w:t>
      </w:r>
      <w:r w:rsidR="00A357B3">
        <w:rPr>
          <w:rStyle w:val="Voetnootmarkering"/>
          <w:color w:val="000000" w:themeColor="text1"/>
          <w:sz w:val="24"/>
          <w:szCs w:val="24"/>
        </w:rPr>
        <w:footnoteReference w:id="63"/>
      </w:r>
      <w:r w:rsidR="005A1F23">
        <w:rPr>
          <w:color w:val="000000" w:themeColor="text1"/>
          <w:sz w:val="24"/>
          <w:szCs w:val="24"/>
        </w:rPr>
        <w:t xml:space="preserve"> The</w:t>
      </w:r>
      <w:r w:rsidR="00F13088">
        <w:rPr>
          <w:color w:val="000000" w:themeColor="text1"/>
          <w:sz w:val="24"/>
          <w:szCs w:val="24"/>
        </w:rPr>
        <w:t>se</w:t>
      </w:r>
      <w:r w:rsidR="005A1F23">
        <w:rPr>
          <w:color w:val="000000" w:themeColor="text1"/>
          <w:sz w:val="24"/>
          <w:szCs w:val="24"/>
        </w:rPr>
        <w:t xml:space="preserve"> answer</w:t>
      </w:r>
      <w:r w:rsidR="00F13088">
        <w:rPr>
          <w:color w:val="000000" w:themeColor="text1"/>
          <w:sz w:val="24"/>
          <w:szCs w:val="24"/>
        </w:rPr>
        <w:t>s</w:t>
      </w:r>
      <w:r w:rsidR="005A1F23">
        <w:rPr>
          <w:color w:val="000000" w:themeColor="text1"/>
          <w:sz w:val="24"/>
          <w:szCs w:val="24"/>
        </w:rPr>
        <w:t xml:space="preserve"> did not clarify what was wrong with the analysis of the consulted experts that underpinned t</w:t>
      </w:r>
      <w:r w:rsidR="00F13088">
        <w:rPr>
          <w:color w:val="000000" w:themeColor="text1"/>
          <w:sz w:val="24"/>
          <w:szCs w:val="24"/>
        </w:rPr>
        <w:t xml:space="preserve">heir conclusions, </w:t>
      </w:r>
      <w:r w:rsidR="00B546B8">
        <w:rPr>
          <w:color w:val="000000" w:themeColor="text1"/>
          <w:sz w:val="24"/>
          <w:szCs w:val="24"/>
        </w:rPr>
        <w:t xml:space="preserve">nor </w:t>
      </w:r>
      <w:r w:rsidR="00F13088">
        <w:rPr>
          <w:color w:val="000000" w:themeColor="text1"/>
          <w:sz w:val="24"/>
          <w:szCs w:val="24"/>
        </w:rPr>
        <w:t xml:space="preserve">do they offer evidence </w:t>
      </w:r>
      <w:r w:rsidR="00B546B8">
        <w:rPr>
          <w:color w:val="000000" w:themeColor="text1"/>
          <w:sz w:val="24"/>
          <w:szCs w:val="24"/>
        </w:rPr>
        <w:t>suppo</w:t>
      </w:r>
      <w:r w:rsidR="00F13088">
        <w:rPr>
          <w:color w:val="000000" w:themeColor="text1"/>
          <w:sz w:val="24"/>
          <w:szCs w:val="24"/>
        </w:rPr>
        <w:t>rting the Commission’s preference for ISDS</w:t>
      </w:r>
      <w:r w:rsidR="005A1F23">
        <w:rPr>
          <w:color w:val="000000" w:themeColor="text1"/>
          <w:sz w:val="24"/>
          <w:szCs w:val="24"/>
        </w:rPr>
        <w:t>.</w:t>
      </w:r>
      <w:r w:rsidR="005C0EDE">
        <w:rPr>
          <w:color w:val="000000" w:themeColor="text1"/>
          <w:sz w:val="24"/>
          <w:szCs w:val="24"/>
        </w:rPr>
        <w:t xml:space="preserve"> MEPs had also asked about </w:t>
      </w:r>
      <w:r w:rsidR="00511ECB">
        <w:rPr>
          <w:color w:val="000000" w:themeColor="text1"/>
          <w:sz w:val="24"/>
          <w:szCs w:val="24"/>
        </w:rPr>
        <w:t>a</w:t>
      </w:r>
      <w:r w:rsidR="005C0EDE">
        <w:rPr>
          <w:color w:val="000000" w:themeColor="text1"/>
          <w:sz w:val="24"/>
          <w:szCs w:val="24"/>
        </w:rPr>
        <w:t xml:space="preserve"> statement that ISDS in CETA was only of ‘some economic value’. </w:t>
      </w:r>
      <w:r w:rsidR="00511ECB">
        <w:rPr>
          <w:color w:val="000000" w:themeColor="text1"/>
          <w:sz w:val="24"/>
          <w:szCs w:val="24"/>
        </w:rPr>
        <w:t>I</w:t>
      </w:r>
      <w:r w:rsidR="00E55861">
        <w:rPr>
          <w:color w:val="000000" w:themeColor="text1"/>
          <w:sz w:val="24"/>
          <w:szCs w:val="24"/>
        </w:rPr>
        <w:t xml:space="preserve">n reply, </w:t>
      </w:r>
      <w:r w:rsidR="005C0EDE" w:rsidRPr="005C0EDE">
        <w:rPr>
          <w:color w:val="000000" w:themeColor="text1"/>
          <w:sz w:val="24"/>
          <w:szCs w:val="24"/>
        </w:rPr>
        <w:t>seve</w:t>
      </w:r>
      <w:r w:rsidR="005C0EDE">
        <w:rPr>
          <w:color w:val="000000" w:themeColor="text1"/>
          <w:sz w:val="24"/>
          <w:szCs w:val="24"/>
        </w:rPr>
        <w:t>ral motives for including ISDS in CETA</w:t>
      </w:r>
      <w:r w:rsidR="00E55861" w:rsidRPr="00E55861">
        <w:rPr>
          <w:color w:val="000000" w:themeColor="text1"/>
          <w:sz w:val="24"/>
          <w:szCs w:val="24"/>
        </w:rPr>
        <w:t xml:space="preserve"> </w:t>
      </w:r>
      <w:r w:rsidR="00E55861">
        <w:rPr>
          <w:color w:val="000000" w:themeColor="text1"/>
          <w:sz w:val="24"/>
          <w:szCs w:val="24"/>
        </w:rPr>
        <w:t>were indicated</w:t>
      </w:r>
      <w:r w:rsidR="005C0EDE">
        <w:rPr>
          <w:color w:val="000000" w:themeColor="text1"/>
          <w:sz w:val="24"/>
          <w:szCs w:val="24"/>
        </w:rPr>
        <w:t>.</w:t>
      </w:r>
      <w:r w:rsidR="00E55861">
        <w:rPr>
          <w:color w:val="000000" w:themeColor="text1"/>
          <w:sz w:val="24"/>
          <w:szCs w:val="24"/>
        </w:rPr>
        <w:t xml:space="preserve"> </w:t>
      </w:r>
      <w:r w:rsidR="00E860C3">
        <w:rPr>
          <w:color w:val="000000" w:themeColor="text1"/>
          <w:sz w:val="24"/>
          <w:szCs w:val="24"/>
        </w:rPr>
        <w:t xml:space="preserve">European investors in Canada </w:t>
      </w:r>
      <w:r w:rsidR="00E55861">
        <w:rPr>
          <w:color w:val="000000" w:themeColor="text1"/>
          <w:sz w:val="24"/>
          <w:szCs w:val="24"/>
        </w:rPr>
        <w:t xml:space="preserve">need protection </w:t>
      </w:r>
      <w:r w:rsidR="00E860C3">
        <w:rPr>
          <w:color w:val="000000" w:themeColor="text1"/>
          <w:sz w:val="24"/>
          <w:szCs w:val="24"/>
        </w:rPr>
        <w:t xml:space="preserve">against being expropriated and denied </w:t>
      </w:r>
      <w:r w:rsidR="00E860C3" w:rsidRPr="00E860C3">
        <w:rPr>
          <w:color w:val="000000" w:themeColor="text1"/>
          <w:sz w:val="24"/>
          <w:szCs w:val="24"/>
        </w:rPr>
        <w:t>compensation and access to the Canadian courts</w:t>
      </w:r>
      <w:r w:rsidR="00E55861">
        <w:rPr>
          <w:color w:val="000000" w:themeColor="text1"/>
          <w:sz w:val="24"/>
          <w:szCs w:val="24"/>
        </w:rPr>
        <w:t xml:space="preserve">. This </w:t>
      </w:r>
      <w:r w:rsidR="00E860C3">
        <w:rPr>
          <w:color w:val="000000" w:themeColor="text1"/>
          <w:sz w:val="24"/>
          <w:szCs w:val="24"/>
        </w:rPr>
        <w:t>happened several times in the past</w:t>
      </w:r>
      <w:r w:rsidR="00E55861">
        <w:rPr>
          <w:color w:val="000000" w:themeColor="text1"/>
          <w:sz w:val="24"/>
          <w:szCs w:val="24"/>
        </w:rPr>
        <w:t>, according to the Commission, but</w:t>
      </w:r>
      <w:r w:rsidR="00E860C3">
        <w:rPr>
          <w:color w:val="000000" w:themeColor="text1"/>
          <w:sz w:val="24"/>
          <w:szCs w:val="24"/>
        </w:rPr>
        <w:t xml:space="preserve"> </w:t>
      </w:r>
      <w:r w:rsidR="00E55861">
        <w:rPr>
          <w:color w:val="000000" w:themeColor="text1"/>
          <w:sz w:val="24"/>
          <w:szCs w:val="24"/>
        </w:rPr>
        <w:t>h</w:t>
      </w:r>
      <w:r w:rsidR="00E860C3">
        <w:rPr>
          <w:color w:val="000000" w:themeColor="text1"/>
          <w:sz w:val="24"/>
          <w:szCs w:val="24"/>
        </w:rPr>
        <w:t>ow often, when or which companies this concerned was not mentioned</w:t>
      </w:r>
      <w:r w:rsidR="00E068E1">
        <w:rPr>
          <w:color w:val="000000" w:themeColor="text1"/>
          <w:sz w:val="24"/>
          <w:szCs w:val="24"/>
        </w:rPr>
        <w:t xml:space="preserve"> - so it</w:t>
      </w:r>
      <w:r w:rsidR="00F13088">
        <w:rPr>
          <w:color w:val="000000" w:themeColor="text1"/>
          <w:sz w:val="24"/>
          <w:szCs w:val="24"/>
        </w:rPr>
        <w:t xml:space="preserve"> might have happened twice thirty years ago. </w:t>
      </w:r>
      <w:r w:rsidR="00E068E1">
        <w:rPr>
          <w:color w:val="000000" w:themeColor="text1"/>
          <w:sz w:val="24"/>
          <w:szCs w:val="24"/>
        </w:rPr>
        <w:t xml:space="preserve">To top the answers up, it was submitted that </w:t>
      </w:r>
      <w:r w:rsidR="00E860C3">
        <w:rPr>
          <w:color w:val="000000" w:themeColor="text1"/>
          <w:sz w:val="24"/>
          <w:szCs w:val="24"/>
        </w:rPr>
        <w:t xml:space="preserve">offering more legal certainty through ISDS helps securing trade and investment flows and consequently, </w:t>
      </w:r>
      <w:r w:rsidR="00030646">
        <w:rPr>
          <w:color w:val="000000" w:themeColor="text1"/>
          <w:sz w:val="24"/>
          <w:szCs w:val="24"/>
        </w:rPr>
        <w:t>which</w:t>
      </w:r>
      <w:r w:rsidR="00E860C3">
        <w:rPr>
          <w:color w:val="000000" w:themeColor="text1"/>
          <w:sz w:val="24"/>
          <w:szCs w:val="24"/>
        </w:rPr>
        <w:t xml:space="preserve"> is ‘</w:t>
      </w:r>
      <w:r w:rsidR="00E860C3" w:rsidRPr="00E860C3">
        <w:rPr>
          <w:color w:val="000000" w:themeColor="text1"/>
          <w:sz w:val="24"/>
          <w:szCs w:val="24"/>
        </w:rPr>
        <w:t>of significant economic value and importance.</w:t>
      </w:r>
      <w:r w:rsidR="00E860C3">
        <w:rPr>
          <w:color w:val="000000" w:themeColor="text1"/>
          <w:sz w:val="24"/>
          <w:szCs w:val="24"/>
        </w:rPr>
        <w:t>’</w:t>
      </w:r>
      <w:r w:rsidR="00E068E1">
        <w:rPr>
          <w:color w:val="000000" w:themeColor="text1"/>
          <w:sz w:val="24"/>
          <w:szCs w:val="24"/>
        </w:rPr>
        <w:t xml:space="preserve"> Interestingly enough, at another occasion Commissioner Malmström admitted that </w:t>
      </w:r>
      <w:r w:rsidR="00E068E1" w:rsidRPr="00E068E1">
        <w:rPr>
          <w:color w:val="000000" w:themeColor="text1"/>
          <w:sz w:val="24"/>
          <w:szCs w:val="24"/>
        </w:rPr>
        <w:t>most studies do not show a “direct and exclusive causal relationship” between international investment agreements and foreign direct investment</w:t>
      </w:r>
      <w:r w:rsidR="00E068E1">
        <w:rPr>
          <w:rStyle w:val="Voetnootmarkering"/>
          <w:color w:val="000000" w:themeColor="text1"/>
          <w:sz w:val="24"/>
          <w:szCs w:val="24"/>
          <w:vertAlign w:val="baseline"/>
        </w:rPr>
        <w:t>.</w:t>
      </w:r>
      <w:r w:rsidR="00030646">
        <w:rPr>
          <w:rStyle w:val="Voetnootmarkering"/>
          <w:color w:val="000000" w:themeColor="text1"/>
          <w:sz w:val="24"/>
          <w:szCs w:val="24"/>
        </w:rPr>
        <w:footnoteReference w:id="64"/>
      </w:r>
      <w:r w:rsidR="00511ECB">
        <w:rPr>
          <w:color w:val="000000" w:themeColor="text1"/>
          <w:sz w:val="24"/>
          <w:szCs w:val="24"/>
        </w:rPr>
        <w:t xml:space="preserve"> </w:t>
      </w:r>
      <w:r w:rsidR="00E068E1">
        <w:rPr>
          <w:color w:val="000000" w:themeColor="text1"/>
          <w:sz w:val="24"/>
          <w:szCs w:val="24"/>
        </w:rPr>
        <w:t>T</w:t>
      </w:r>
      <w:r w:rsidR="00D46E1C">
        <w:rPr>
          <w:color w:val="000000" w:themeColor="text1"/>
          <w:sz w:val="24"/>
          <w:szCs w:val="24"/>
        </w:rPr>
        <w:t xml:space="preserve">he political </w:t>
      </w:r>
      <w:r w:rsidR="00E55861">
        <w:rPr>
          <w:color w:val="000000" w:themeColor="text1"/>
          <w:sz w:val="24"/>
          <w:szCs w:val="24"/>
        </w:rPr>
        <w:t xml:space="preserve">importance </w:t>
      </w:r>
      <w:r w:rsidR="00D46E1C">
        <w:rPr>
          <w:color w:val="000000" w:themeColor="text1"/>
          <w:sz w:val="24"/>
          <w:szCs w:val="24"/>
        </w:rPr>
        <w:t xml:space="preserve">of ISDS </w:t>
      </w:r>
      <w:r w:rsidR="00D46E1C" w:rsidRPr="005C0EDE">
        <w:rPr>
          <w:color w:val="000000" w:themeColor="text1"/>
          <w:sz w:val="24"/>
          <w:szCs w:val="24"/>
        </w:rPr>
        <w:t>in CETA</w:t>
      </w:r>
      <w:r w:rsidR="00E068E1">
        <w:rPr>
          <w:color w:val="000000" w:themeColor="text1"/>
          <w:sz w:val="24"/>
          <w:szCs w:val="24"/>
        </w:rPr>
        <w:t xml:space="preserve"> was also stressed. I</w:t>
      </w:r>
      <w:r w:rsidR="005C0EDE" w:rsidRPr="005C0EDE">
        <w:rPr>
          <w:color w:val="000000" w:themeColor="text1"/>
          <w:sz w:val="24"/>
          <w:szCs w:val="24"/>
        </w:rPr>
        <w:t>nvest</w:t>
      </w:r>
      <w:r w:rsidR="00D46E1C">
        <w:rPr>
          <w:color w:val="000000" w:themeColor="text1"/>
          <w:sz w:val="24"/>
          <w:szCs w:val="24"/>
        </w:rPr>
        <w:t xml:space="preserve">ment protection </w:t>
      </w:r>
      <w:r w:rsidR="00E55861">
        <w:rPr>
          <w:color w:val="000000" w:themeColor="text1"/>
          <w:sz w:val="24"/>
          <w:szCs w:val="24"/>
        </w:rPr>
        <w:t>without an ISDS</w:t>
      </w:r>
      <w:r w:rsidR="00D46E1C">
        <w:rPr>
          <w:color w:val="000000" w:themeColor="text1"/>
          <w:sz w:val="24"/>
          <w:szCs w:val="24"/>
        </w:rPr>
        <w:t xml:space="preserve"> procedure</w:t>
      </w:r>
      <w:r w:rsidR="005C0EDE" w:rsidRPr="005C0EDE">
        <w:rPr>
          <w:color w:val="000000" w:themeColor="text1"/>
          <w:sz w:val="24"/>
          <w:szCs w:val="24"/>
        </w:rPr>
        <w:t xml:space="preserve"> </w:t>
      </w:r>
      <w:r w:rsidR="00D46E1C">
        <w:rPr>
          <w:color w:val="000000" w:themeColor="text1"/>
          <w:sz w:val="24"/>
          <w:szCs w:val="24"/>
        </w:rPr>
        <w:t>‘</w:t>
      </w:r>
      <w:r w:rsidR="005C0EDE" w:rsidRPr="005C0EDE">
        <w:rPr>
          <w:color w:val="000000" w:themeColor="text1"/>
          <w:sz w:val="24"/>
          <w:szCs w:val="24"/>
        </w:rPr>
        <w:t>would be of little value</w:t>
      </w:r>
      <w:r w:rsidR="00D46E1C">
        <w:rPr>
          <w:color w:val="000000" w:themeColor="text1"/>
          <w:sz w:val="24"/>
          <w:szCs w:val="24"/>
        </w:rPr>
        <w:t>’</w:t>
      </w:r>
      <w:r w:rsidR="005C0EDE" w:rsidRPr="005C0EDE">
        <w:rPr>
          <w:color w:val="000000" w:themeColor="text1"/>
          <w:sz w:val="24"/>
          <w:szCs w:val="24"/>
        </w:rPr>
        <w:t>. To provide adequate protection to investors, t</w:t>
      </w:r>
      <w:r w:rsidR="00E55861">
        <w:rPr>
          <w:color w:val="000000" w:themeColor="text1"/>
          <w:sz w:val="24"/>
          <w:szCs w:val="24"/>
        </w:rPr>
        <w:t>he agreement should also include</w:t>
      </w:r>
      <w:r w:rsidR="005C0EDE" w:rsidRPr="005C0EDE">
        <w:rPr>
          <w:color w:val="000000" w:themeColor="text1"/>
          <w:sz w:val="24"/>
          <w:szCs w:val="24"/>
        </w:rPr>
        <w:t xml:space="preserve"> a mechanism for enforcement of the commitments ensuring effective implementation o</w:t>
      </w:r>
      <w:r w:rsidR="00E55861">
        <w:rPr>
          <w:color w:val="000000" w:themeColor="text1"/>
          <w:sz w:val="24"/>
          <w:szCs w:val="24"/>
        </w:rPr>
        <w:t>f the provisions</w:t>
      </w:r>
      <w:r w:rsidR="005C0EDE" w:rsidRPr="005C0EDE">
        <w:rPr>
          <w:color w:val="000000" w:themeColor="text1"/>
          <w:sz w:val="24"/>
          <w:szCs w:val="24"/>
        </w:rPr>
        <w:t xml:space="preserve">. </w:t>
      </w:r>
      <w:r w:rsidR="00D46E1C">
        <w:rPr>
          <w:color w:val="000000" w:themeColor="text1"/>
          <w:sz w:val="24"/>
          <w:szCs w:val="24"/>
        </w:rPr>
        <w:t>Furthermore, it was explained that th</w:t>
      </w:r>
      <w:r w:rsidR="005C0EDE" w:rsidRPr="005C0EDE">
        <w:rPr>
          <w:color w:val="000000" w:themeColor="text1"/>
          <w:sz w:val="24"/>
          <w:szCs w:val="24"/>
        </w:rPr>
        <w:t xml:space="preserve">e CETA negotiations are the first in a series of negotiations that will take </w:t>
      </w:r>
      <w:r w:rsidR="00D46E1C">
        <w:rPr>
          <w:color w:val="000000" w:themeColor="text1"/>
          <w:sz w:val="24"/>
          <w:szCs w:val="24"/>
        </w:rPr>
        <w:t>place between the EU</w:t>
      </w:r>
      <w:r w:rsidR="005C0EDE" w:rsidRPr="005C0EDE">
        <w:rPr>
          <w:color w:val="000000" w:themeColor="text1"/>
          <w:sz w:val="24"/>
          <w:szCs w:val="24"/>
        </w:rPr>
        <w:t xml:space="preserve"> and third countries addressing investment issues. With </w:t>
      </w:r>
      <w:r w:rsidR="00375677">
        <w:rPr>
          <w:color w:val="000000" w:themeColor="text1"/>
          <w:sz w:val="24"/>
          <w:szCs w:val="24"/>
        </w:rPr>
        <w:t xml:space="preserve">the </w:t>
      </w:r>
      <w:r w:rsidR="005C0EDE" w:rsidRPr="005C0EDE">
        <w:rPr>
          <w:color w:val="000000" w:themeColor="text1"/>
          <w:sz w:val="24"/>
          <w:szCs w:val="24"/>
        </w:rPr>
        <w:t>Singapore, CETA is likely to be the first EU agreement including investment pro</w:t>
      </w:r>
      <w:r w:rsidR="00D46E1C">
        <w:rPr>
          <w:color w:val="000000" w:themeColor="text1"/>
          <w:sz w:val="24"/>
          <w:szCs w:val="24"/>
        </w:rPr>
        <w:t>tection and ISDS</w:t>
      </w:r>
      <w:r w:rsidR="00E068E1">
        <w:rPr>
          <w:color w:val="000000" w:themeColor="text1"/>
          <w:sz w:val="24"/>
          <w:szCs w:val="24"/>
        </w:rPr>
        <w:t>, it was explained</w:t>
      </w:r>
      <w:r w:rsidR="005C0EDE" w:rsidRPr="005C0EDE">
        <w:rPr>
          <w:color w:val="000000" w:themeColor="text1"/>
          <w:sz w:val="24"/>
          <w:szCs w:val="24"/>
        </w:rPr>
        <w:t xml:space="preserve">. </w:t>
      </w:r>
      <w:r w:rsidR="00E068E1">
        <w:rPr>
          <w:color w:val="000000" w:themeColor="text1"/>
          <w:sz w:val="24"/>
          <w:szCs w:val="24"/>
        </w:rPr>
        <w:t xml:space="preserve">Hence, it </w:t>
      </w:r>
      <w:r w:rsidR="005C0EDE" w:rsidRPr="005C0EDE">
        <w:rPr>
          <w:color w:val="000000" w:themeColor="text1"/>
          <w:sz w:val="24"/>
          <w:szCs w:val="24"/>
        </w:rPr>
        <w:t xml:space="preserve">is </w:t>
      </w:r>
      <w:r w:rsidR="00E068E1">
        <w:rPr>
          <w:color w:val="000000" w:themeColor="text1"/>
          <w:sz w:val="24"/>
          <w:szCs w:val="24"/>
        </w:rPr>
        <w:t>‘</w:t>
      </w:r>
      <w:r w:rsidR="005C0EDE" w:rsidRPr="005C0EDE">
        <w:rPr>
          <w:color w:val="000000" w:themeColor="text1"/>
          <w:sz w:val="24"/>
          <w:szCs w:val="24"/>
        </w:rPr>
        <w:t>politically important for the Union to exercise this competence, and in the future to pursue this policy with other key partners</w:t>
      </w:r>
      <w:r w:rsidR="00E068E1">
        <w:rPr>
          <w:color w:val="000000" w:themeColor="text1"/>
          <w:sz w:val="24"/>
          <w:szCs w:val="24"/>
        </w:rPr>
        <w:t xml:space="preserve"> … as …. </w:t>
      </w:r>
      <w:r w:rsidR="005C0EDE" w:rsidRPr="005C0EDE">
        <w:rPr>
          <w:color w:val="000000" w:themeColor="text1"/>
          <w:sz w:val="24"/>
          <w:szCs w:val="24"/>
        </w:rPr>
        <w:t>the first agreements will be important in setting the path for this policy.</w:t>
      </w:r>
      <w:r w:rsidR="00D46E1C">
        <w:rPr>
          <w:color w:val="000000" w:themeColor="text1"/>
          <w:sz w:val="24"/>
          <w:szCs w:val="24"/>
        </w:rPr>
        <w:t>’</w:t>
      </w:r>
    </w:p>
    <w:p w14:paraId="5E18320D" w14:textId="63C95C97" w:rsidR="0070066A" w:rsidRPr="00ED0973" w:rsidRDefault="002E5CCB" w:rsidP="00D73158">
      <w:pPr>
        <w:spacing w:after="0" w:line="240" w:lineRule="auto"/>
        <w:ind w:firstLine="720"/>
        <w:jc w:val="both"/>
        <w:rPr>
          <w:color w:val="000000" w:themeColor="text1"/>
          <w:sz w:val="24"/>
          <w:szCs w:val="24"/>
        </w:rPr>
      </w:pPr>
      <w:r>
        <w:rPr>
          <w:color w:val="000000" w:themeColor="text1"/>
          <w:sz w:val="24"/>
          <w:szCs w:val="24"/>
        </w:rPr>
        <w:t xml:space="preserve">In the meantime, the TTIP negotiations had started. </w:t>
      </w:r>
      <w:r w:rsidR="000A7823" w:rsidRPr="00ED0973">
        <w:rPr>
          <w:color w:val="000000" w:themeColor="text1"/>
          <w:sz w:val="24"/>
          <w:szCs w:val="24"/>
        </w:rPr>
        <w:t>T</w:t>
      </w:r>
      <w:r w:rsidR="002F5C4D" w:rsidRPr="00ED0973">
        <w:rPr>
          <w:color w:val="000000" w:themeColor="text1"/>
          <w:sz w:val="24"/>
          <w:szCs w:val="24"/>
        </w:rPr>
        <w:t xml:space="preserve">he negotiation mandate </w:t>
      </w:r>
      <w:r>
        <w:rPr>
          <w:color w:val="000000" w:themeColor="text1"/>
          <w:sz w:val="24"/>
          <w:szCs w:val="24"/>
        </w:rPr>
        <w:t xml:space="preserve">was </w:t>
      </w:r>
      <w:r w:rsidR="00945DEA" w:rsidRPr="00ED0973">
        <w:rPr>
          <w:color w:val="000000" w:themeColor="text1"/>
          <w:sz w:val="24"/>
          <w:szCs w:val="24"/>
        </w:rPr>
        <w:t>adopted by the Council</w:t>
      </w:r>
      <w:r w:rsidR="0070225C" w:rsidRPr="00ED0973">
        <w:rPr>
          <w:color w:val="000000" w:themeColor="text1"/>
          <w:sz w:val="24"/>
          <w:szCs w:val="24"/>
        </w:rPr>
        <w:t xml:space="preserve"> </w:t>
      </w:r>
      <w:r>
        <w:rPr>
          <w:color w:val="000000" w:themeColor="text1"/>
          <w:sz w:val="24"/>
          <w:szCs w:val="24"/>
        </w:rPr>
        <w:t xml:space="preserve">in </w:t>
      </w:r>
      <w:r w:rsidR="0070225C" w:rsidRPr="00ED0973">
        <w:rPr>
          <w:color w:val="000000" w:themeColor="text1"/>
          <w:sz w:val="24"/>
          <w:szCs w:val="24"/>
        </w:rPr>
        <w:t>June 2013</w:t>
      </w:r>
      <w:r w:rsidR="0070225C" w:rsidRPr="00ED0973">
        <w:rPr>
          <w:rStyle w:val="Voetnootmarkering"/>
          <w:color w:val="000000" w:themeColor="text1"/>
          <w:sz w:val="24"/>
          <w:szCs w:val="24"/>
        </w:rPr>
        <w:footnoteReference w:id="65"/>
      </w:r>
      <w:r>
        <w:rPr>
          <w:color w:val="000000" w:themeColor="text1"/>
          <w:sz w:val="24"/>
          <w:szCs w:val="24"/>
        </w:rPr>
        <w:t xml:space="preserve"> </w:t>
      </w:r>
      <w:r w:rsidR="005A1F23">
        <w:rPr>
          <w:color w:val="000000" w:themeColor="text1"/>
          <w:sz w:val="24"/>
          <w:szCs w:val="24"/>
        </w:rPr>
        <w:t xml:space="preserve">and envisaged </w:t>
      </w:r>
      <w:r w:rsidR="00945DEA" w:rsidRPr="00ED0973">
        <w:rPr>
          <w:color w:val="000000" w:themeColor="text1"/>
          <w:sz w:val="24"/>
          <w:szCs w:val="24"/>
        </w:rPr>
        <w:t xml:space="preserve">TTIP </w:t>
      </w:r>
      <w:r w:rsidR="005A1F23">
        <w:rPr>
          <w:color w:val="000000" w:themeColor="text1"/>
          <w:sz w:val="24"/>
          <w:szCs w:val="24"/>
        </w:rPr>
        <w:t xml:space="preserve">to </w:t>
      </w:r>
      <w:r w:rsidR="00945DEA" w:rsidRPr="00ED0973">
        <w:rPr>
          <w:color w:val="000000" w:themeColor="text1"/>
          <w:sz w:val="24"/>
          <w:szCs w:val="24"/>
        </w:rPr>
        <w:t xml:space="preserve">encompass </w:t>
      </w:r>
      <w:r w:rsidR="005A1F23">
        <w:rPr>
          <w:color w:val="000000" w:themeColor="text1"/>
          <w:sz w:val="24"/>
          <w:szCs w:val="24"/>
        </w:rPr>
        <w:t>an ISDS mechanism</w:t>
      </w:r>
      <w:r w:rsidR="00945DEA" w:rsidRPr="00ED0973">
        <w:rPr>
          <w:color w:val="000000" w:themeColor="text1"/>
          <w:sz w:val="24"/>
          <w:szCs w:val="24"/>
        </w:rPr>
        <w:t>.</w:t>
      </w:r>
      <w:r w:rsidR="00012BC1" w:rsidRPr="00ED0973">
        <w:rPr>
          <w:color w:val="000000" w:themeColor="text1"/>
          <w:sz w:val="24"/>
          <w:szCs w:val="24"/>
        </w:rPr>
        <w:t xml:space="preserve"> </w:t>
      </w:r>
      <w:r w:rsidR="002E0BA1">
        <w:rPr>
          <w:color w:val="000000" w:themeColor="text1"/>
          <w:sz w:val="24"/>
          <w:szCs w:val="24"/>
        </w:rPr>
        <w:t>It</w:t>
      </w:r>
      <w:r>
        <w:rPr>
          <w:color w:val="000000" w:themeColor="text1"/>
          <w:sz w:val="24"/>
          <w:szCs w:val="24"/>
        </w:rPr>
        <w:t xml:space="preserve"> was specified</w:t>
      </w:r>
      <w:r w:rsidR="005768A9">
        <w:rPr>
          <w:color w:val="000000" w:themeColor="text1"/>
          <w:sz w:val="24"/>
          <w:szCs w:val="24"/>
        </w:rPr>
        <w:t xml:space="preserve"> that </w:t>
      </w:r>
      <w:r w:rsidR="00012BC1" w:rsidRPr="00ED0973">
        <w:rPr>
          <w:color w:val="000000" w:themeColor="text1"/>
          <w:sz w:val="24"/>
          <w:szCs w:val="24"/>
        </w:rPr>
        <w:t xml:space="preserve">the inclusion of </w:t>
      </w:r>
      <w:r w:rsidR="002D4A20" w:rsidRPr="00ED0973">
        <w:rPr>
          <w:color w:val="000000" w:themeColor="text1"/>
          <w:sz w:val="24"/>
          <w:szCs w:val="24"/>
        </w:rPr>
        <w:t>investment</w:t>
      </w:r>
      <w:r w:rsidR="00027856" w:rsidRPr="00ED0973">
        <w:rPr>
          <w:color w:val="000000" w:themeColor="text1"/>
          <w:sz w:val="24"/>
          <w:szCs w:val="24"/>
        </w:rPr>
        <w:t xml:space="preserve"> protection</w:t>
      </w:r>
      <w:r w:rsidR="005768A9">
        <w:rPr>
          <w:color w:val="000000" w:themeColor="text1"/>
          <w:sz w:val="24"/>
          <w:szCs w:val="24"/>
        </w:rPr>
        <w:t xml:space="preserve"> and ISDS</w:t>
      </w:r>
      <w:r w:rsidR="00012BC1" w:rsidRPr="00ED0973">
        <w:rPr>
          <w:color w:val="000000" w:themeColor="text1"/>
          <w:sz w:val="24"/>
          <w:szCs w:val="24"/>
        </w:rPr>
        <w:t xml:space="preserve"> </w:t>
      </w:r>
      <w:r w:rsidR="005768A9">
        <w:rPr>
          <w:color w:val="000000" w:themeColor="text1"/>
          <w:sz w:val="24"/>
          <w:szCs w:val="24"/>
        </w:rPr>
        <w:t>‘</w:t>
      </w:r>
      <w:r w:rsidR="00012BC1" w:rsidRPr="00ED0973">
        <w:rPr>
          <w:color w:val="000000" w:themeColor="text1"/>
          <w:sz w:val="24"/>
          <w:szCs w:val="24"/>
        </w:rPr>
        <w:t xml:space="preserve">will depend on whether a satisfactory solution, meeting the EU interests </w:t>
      </w:r>
      <w:r w:rsidR="005768A9">
        <w:rPr>
          <w:color w:val="000000" w:themeColor="text1"/>
          <w:sz w:val="24"/>
          <w:szCs w:val="24"/>
        </w:rPr>
        <w:t>(…) is achieved’, notably regarding</w:t>
      </w:r>
      <w:r w:rsidR="00D53F3A" w:rsidRPr="00ED0973">
        <w:rPr>
          <w:color w:val="000000" w:themeColor="text1"/>
          <w:sz w:val="24"/>
          <w:szCs w:val="24"/>
        </w:rPr>
        <w:t xml:space="preserve"> the right to </w:t>
      </w:r>
      <w:r w:rsidR="00E1647F" w:rsidRPr="00ED0973">
        <w:rPr>
          <w:color w:val="000000" w:themeColor="text1"/>
          <w:sz w:val="24"/>
          <w:szCs w:val="24"/>
        </w:rPr>
        <w:t>a</w:t>
      </w:r>
      <w:r w:rsidR="009246D9" w:rsidRPr="00ED0973">
        <w:rPr>
          <w:color w:val="000000" w:themeColor="text1"/>
          <w:sz w:val="24"/>
          <w:szCs w:val="24"/>
        </w:rPr>
        <w:t>dopt and enforc</w:t>
      </w:r>
      <w:r w:rsidR="00993D5B" w:rsidRPr="00ED0973">
        <w:rPr>
          <w:color w:val="000000" w:themeColor="text1"/>
          <w:sz w:val="24"/>
          <w:szCs w:val="24"/>
        </w:rPr>
        <w:t xml:space="preserve">e ‘measures necessary to pursue legitimate public policy objectives such as social, environmental, </w:t>
      </w:r>
      <w:r w:rsidR="00584E37" w:rsidRPr="00ED0973">
        <w:rPr>
          <w:color w:val="000000" w:themeColor="text1"/>
          <w:sz w:val="24"/>
          <w:szCs w:val="24"/>
        </w:rPr>
        <w:t xml:space="preserve">(…) </w:t>
      </w:r>
      <w:r w:rsidR="00281778" w:rsidRPr="00ED0973">
        <w:rPr>
          <w:color w:val="000000" w:themeColor="text1"/>
          <w:sz w:val="24"/>
          <w:szCs w:val="24"/>
        </w:rPr>
        <w:t>public health and safety in a non-discriminatory manner.</w:t>
      </w:r>
      <w:r w:rsidR="00584E37" w:rsidRPr="00ED0973">
        <w:rPr>
          <w:color w:val="000000" w:themeColor="text1"/>
          <w:sz w:val="24"/>
          <w:szCs w:val="24"/>
        </w:rPr>
        <w:t>’</w:t>
      </w:r>
      <w:r w:rsidR="00584E37" w:rsidRPr="00ED0973">
        <w:rPr>
          <w:rStyle w:val="Voetnootmarkering"/>
          <w:color w:val="000000" w:themeColor="text1"/>
          <w:sz w:val="24"/>
          <w:szCs w:val="24"/>
        </w:rPr>
        <w:footnoteReference w:id="66"/>
      </w:r>
      <w:r w:rsidR="00BC65CB" w:rsidRPr="00ED0973">
        <w:rPr>
          <w:color w:val="000000" w:themeColor="text1"/>
          <w:sz w:val="24"/>
          <w:szCs w:val="24"/>
        </w:rPr>
        <w:t xml:space="preserve"> Whether the negoti</w:t>
      </w:r>
      <w:r w:rsidR="005768A9">
        <w:rPr>
          <w:color w:val="000000" w:themeColor="text1"/>
          <w:sz w:val="24"/>
          <w:szCs w:val="24"/>
        </w:rPr>
        <w:t>ated texts indeed meet</w:t>
      </w:r>
      <w:r w:rsidR="00BC65CB" w:rsidRPr="00ED0973">
        <w:rPr>
          <w:color w:val="000000" w:themeColor="text1"/>
          <w:sz w:val="24"/>
          <w:szCs w:val="24"/>
        </w:rPr>
        <w:t xml:space="preserve"> the EU interests is a matter to be considered ‘in view of the final</w:t>
      </w:r>
      <w:r>
        <w:rPr>
          <w:color w:val="000000" w:themeColor="text1"/>
          <w:sz w:val="24"/>
          <w:szCs w:val="24"/>
        </w:rPr>
        <w:t xml:space="preserve"> balance of the Agreement’, it wa</w:t>
      </w:r>
      <w:r w:rsidR="00B546B8">
        <w:rPr>
          <w:color w:val="000000" w:themeColor="text1"/>
          <w:sz w:val="24"/>
          <w:szCs w:val="24"/>
        </w:rPr>
        <w:t>s specified.</w:t>
      </w:r>
    </w:p>
    <w:p w14:paraId="00AD23BA" w14:textId="35815BD5" w:rsidR="0077265D" w:rsidRDefault="00BA2D1B" w:rsidP="00D73158">
      <w:pPr>
        <w:widowControl w:val="0"/>
        <w:autoSpaceDE w:val="0"/>
        <w:autoSpaceDN w:val="0"/>
        <w:adjustRightInd w:val="0"/>
        <w:spacing w:after="0" w:line="240" w:lineRule="auto"/>
        <w:ind w:firstLine="720"/>
        <w:jc w:val="both"/>
        <w:rPr>
          <w:color w:val="000000" w:themeColor="text1"/>
          <w:sz w:val="24"/>
          <w:szCs w:val="24"/>
        </w:rPr>
      </w:pPr>
      <w:r w:rsidRPr="00ED0973">
        <w:rPr>
          <w:color w:val="000000" w:themeColor="text1"/>
          <w:sz w:val="24"/>
          <w:szCs w:val="24"/>
        </w:rPr>
        <w:lastRenderedPageBreak/>
        <w:t xml:space="preserve">When </w:t>
      </w:r>
      <w:r w:rsidR="00E068E1">
        <w:rPr>
          <w:color w:val="000000" w:themeColor="text1"/>
          <w:sz w:val="24"/>
          <w:szCs w:val="24"/>
        </w:rPr>
        <w:t xml:space="preserve">public </w:t>
      </w:r>
      <w:r w:rsidRPr="00ED0973">
        <w:rPr>
          <w:color w:val="000000" w:themeColor="text1"/>
          <w:sz w:val="24"/>
          <w:szCs w:val="24"/>
        </w:rPr>
        <w:t>protests against the TTIP</w:t>
      </w:r>
      <w:r w:rsidR="00E068E1">
        <w:rPr>
          <w:color w:val="000000" w:themeColor="text1"/>
          <w:sz w:val="24"/>
          <w:szCs w:val="24"/>
        </w:rPr>
        <w:t>, CETA</w:t>
      </w:r>
      <w:r w:rsidR="005768A9">
        <w:rPr>
          <w:color w:val="000000" w:themeColor="text1"/>
          <w:sz w:val="24"/>
          <w:szCs w:val="24"/>
        </w:rPr>
        <w:t xml:space="preserve"> and ISDS</w:t>
      </w:r>
      <w:r w:rsidRPr="00ED0973">
        <w:rPr>
          <w:color w:val="000000" w:themeColor="text1"/>
          <w:sz w:val="24"/>
          <w:szCs w:val="24"/>
        </w:rPr>
        <w:t xml:space="preserve"> gained in strength, the Commission </w:t>
      </w:r>
      <w:r w:rsidR="00284EE3" w:rsidRPr="00ED0973">
        <w:rPr>
          <w:color w:val="000000" w:themeColor="text1"/>
          <w:sz w:val="24"/>
          <w:szCs w:val="24"/>
        </w:rPr>
        <w:t>temporarily put the ISDS part of the TTIP negotiations on hold in January 2014</w:t>
      </w:r>
      <w:r w:rsidR="005768A9">
        <w:rPr>
          <w:color w:val="000000" w:themeColor="text1"/>
          <w:sz w:val="24"/>
          <w:szCs w:val="24"/>
        </w:rPr>
        <w:t>,</w:t>
      </w:r>
      <w:r w:rsidR="00062C43" w:rsidRPr="00ED0973">
        <w:rPr>
          <w:color w:val="000000" w:themeColor="text1"/>
          <w:sz w:val="24"/>
          <w:szCs w:val="24"/>
        </w:rPr>
        <w:t xml:space="preserve"> </w:t>
      </w:r>
      <w:r w:rsidR="005768A9">
        <w:rPr>
          <w:color w:val="000000" w:themeColor="text1"/>
          <w:sz w:val="24"/>
          <w:szCs w:val="24"/>
        </w:rPr>
        <w:t xml:space="preserve">and </w:t>
      </w:r>
      <w:r w:rsidR="00E40ABA" w:rsidRPr="00ED0973">
        <w:rPr>
          <w:color w:val="000000" w:themeColor="text1"/>
          <w:sz w:val="24"/>
          <w:szCs w:val="24"/>
        </w:rPr>
        <w:t>organise</w:t>
      </w:r>
      <w:r w:rsidR="005768A9">
        <w:rPr>
          <w:color w:val="000000" w:themeColor="text1"/>
          <w:sz w:val="24"/>
          <w:szCs w:val="24"/>
        </w:rPr>
        <w:t>d a public c</w:t>
      </w:r>
      <w:r w:rsidR="00B546B8">
        <w:rPr>
          <w:color w:val="000000" w:themeColor="text1"/>
          <w:sz w:val="24"/>
          <w:szCs w:val="24"/>
        </w:rPr>
        <w:t>onsultation that</w:t>
      </w:r>
      <w:r w:rsidR="006250EF" w:rsidRPr="00ED0973">
        <w:rPr>
          <w:color w:val="000000" w:themeColor="text1"/>
          <w:sz w:val="24"/>
          <w:szCs w:val="24"/>
        </w:rPr>
        <w:t xml:space="preserve"> brought ab</w:t>
      </w:r>
      <w:r w:rsidR="00BC65CB" w:rsidRPr="00ED0973">
        <w:rPr>
          <w:color w:val="000000" w:themeColor="text1"/>
          <w:sz w:val="24"/>
          <w:szCs w:val="24"/>
        </w:rPr>
        <w:t xml:space="preserve">out a staggering 149,399 </w:t>
      </w:r>
      <w:r w:rsidR="006250EF" w:rsidRPr="00ED0973">
        <w:rPr>
          <w:color w:val="000000" w:themeColor="text1"/>
          <w:sz w:val="24"/>
          <w:szCs w:val="24"/>
        </w:rPr>
        <w:t>contrib</w:t>
      </w:r>
      <w:r w:rsidR="00BC65CB" w:rsidRPr="00ED0973">
        <w:rPr>
          <w:color w:val="000000" w:themeColor="text1"/>
          <w:sz w:val="24"/>
          <w:szCs w:val="24"/>
        </w:rPr>
        <w:t>utions</w:t>
      </w:r>
      <w:r w:rsidR="006250EF" w:rsidRPr="00ED0973">
        <w:rPr>
          <w:color w:val="000000" w:themeColor="text1"/>
          <w:sz w:val="24"/>
          <w:szCs w:val="24"/>
        </w:rPr>
        <w:t>.</w:t>
      </w:r>
      <w:r w:rsidR="006250EF" w:rsidRPr="00ED0973">
        <w:rPr>
          <w:rStyle w:val="Voetnootmarkering"/>
          <w:color w:val="000000" w:themeColor="text1"/>
          <w:sz w:val="24"/>
          <w:szCs w:val="24"/>
        </w:rPr>
        <w:footnoteReference w:id="67"/>
      </w:r>
      <w:r w:rsidR="00BC65CB" w:rsidRPr="00ED0973">
        <w:rPr>
          <w:color w:val="000000" w:themeColor="text1"/>
          <w:sz w:val="24"/>
          <w:szCs w:val="24"/>
        </w:rPr>
        <w:t xml:space="preserve"> </w:t>
      </w:r>
      <w:r w:rsidR="006E756F" w:rsidRPr="00ED0973">
        <w:rPr>
          <w:color w:val="000000" w:themeColor="text1"/>
          <w:sz w:val="24"/>
          <w:szCs w:val="24"/>
        </w:rPr>
        <w:t>A</w:t>
      </w:r>
      <w:r w:rsidR="006250EF" w:rsidRPr="00ED0973">
        <w:rPr>
          <w:color w:val="000000" w:themeColor="text1"/>
          <w:sz w:val="24"/>
          <w:szCs w:val="24"/>
        </w:rPr>
        <w:t xml:space="preserve">n overview of the </w:t>
      </w:r>
      <w:r w:rsidR="00BC65CB" w:rsidRPr="00ED0973">
        <w:rPr>
          <w:color w:val="000000" w:themeColor="text1"/>
          <w:sz w:val="24"/>
          <w:szCs w:val="24"/>
        </w:rPr>
        <w:t xml:space="preserve">main </w:t>
      </w:r>
      <w:r w:rsidR="006250EF" w:rsidRPr="00ED0973">
        <w:rPr>
          <w:color w:val="000000" w:themeColor="text1"/>
          <w:sz w:val="24"/>
          <w:szCs w:val="24"/>
        </w:rPr>
        <w:t>results of the consultation</w:t>
      </w:r>
      <w:r w:rsidR="00375677">
        <w:rPr>
          <w:color w:val="000000" w:themeColor="text1"/>
          <w:sz w:val="24"/>
          <w:szCs w:val="24"/>
        </w:rPr>
        <w:t xml:space="preserve"> was presented on</w:t>
      </w:r>
      <w:r w:rsidR="006E756F" w:rsidRPr="00ED0973">
        <w:rPr>
          <w:color w:val="000000" w:themeColor="text1"/>
          <w:sz w:val="24"/>
          <w:szCs w:val="24"/>
        </w:rPr>
        <w:t xml:space="preserve"> 13 January 2015</w:t>
      </w:r>
      <w:r w:rsidR="006250EF" w:rsidRPr="00ED0973">
        <w:rPr>
          <w:color w:val="000000" w:themeColor="text1"/>
          <w:sz w:val="24"/>
          <w:szCs w:val="24"/>
        </w:rPr>
        <w:t>.</w:t>
      </w:r>
      <w:r w:rsidR="006250EF" w:rsidRPr="00ED0973">
        <w:rPr>
          <w:rStyle w:val="Voetnootmarkering"/>
          <w:color w:val="000000" w:themeColor="text1"/>
          <w:sz w:val="24"/>
          <w:szCs w:val="24"/>
        </w:rPr>
        <w:footnoteReference w:id="68"/>
      </w:r>
      <w:r w:rsidR="002B546A" w:rsidRPr="00ED0973">
        <w:rPr>
          <w:color w:val="000000" w:themeColor="text1"/>
          <w:sz w:val="24"/>
          <w:szCs w:val="24"/>
        </w:rPr>
        <w:t xml:space="preserve"> </w:t>
      </w:r>
      <w:r w:rsidR="003934E1">
        <w:rPr>
          <w:color w:val="000000" w:themeColor="text1"/>
          <w:sz w:val="24"/>
          <w:szCs w:val="24"/>
        </w:rPr>
        <w:t>Although t</w:t>
      </w:r>
      <w:r w:rsidR="003934E1" w:rsidRPr="00ED0973">
        <w:rPr>
          <w:color w:val="000000" w:themeColor="text1"/>
          <w:sz w:val="24"/>
          <w:szCs w:val="24"/>
        </w:rPr>
        <w:t xml:space="preserve">he vast majority of the reactions expressed </w:t>
      </w:r>
      <w:r w:rsidR="003934E1">
        <w:rPr>
          <w:color w:val="000000" w:themeColor="text1"/>
          <w:sz w:val="24"/>
          <w:szCs w:val="24"/>
        </w:rPr>
        <w:t xml:space="preserve">strong opposition to </w:t>
      </w:r>
      <w:r w:rsidR="003934E1" w:rsidRPr="00ED0973">
        <w:rPr>
          <w:color w:val="000000" w:themeColor="text1"/>
          <w:sz w:val="24"/>
          <w:szCs w:val="24"/>
        </w:rPr>
        <w:t>ISDS</w:t>
      </w:r>
      <w:r w:rsidR="003934E1">
        <w:rPr>
          <w:color w:val="000000" w:themeColor="text1"/>
          <w:sz w:val="24"/>
          <w:szCs w:val="24"/>
        </w:rPr>
        <w:t>, t</w:t>
      </w:r>
      <w:r w:rsidR="006E756F" w:rsidRPr="00ED0973">
        <w:rPr>
          <w:color w:val="000000" w:themeColor="text1"/>
          <w:sz w:val="24"/>
          <w:szCs w:val="24"/>
        </w:rPr>
        <w:t>he Commission</w:t>
      </w:r>
      <w:r w:rsidR="002B546A" w:rsidRPr="00ED0973">
        <w:rPr>
          <w:color w:val="000000" w:themeColor="text1"/>
          <w:sz w:val="24"/>
          <w:szCs w:val="24"/>
        </w:rPr>
        <w:t xml:space="preserve"> </w:t>
      </w:r>
      <w:r w:rsidR="003934E1">
        <w:rPr>
          <w:color w:val="000000" w:themeColor="text1"/>
          <w:sz w:val="24"/>
          <w:szCs w:val="24"/>
        </w:rPr>
        <w:t>reiterated its</w:t>
      </w:r>
      <w:r w:rsidR="00E5156A" w:rsidRPr="00ED0973">
        <w:rPr>
          <w:color w:val="000000" w:themeColor="text1"/>
          <w:sz w:val="24"/>
          <w:szCs w:val="24"/>
        </w:rPr>
        <w:t xml:space="preserve"> </w:t>
      </w:r>
      <w:r w:rsidR="003934E1">
        <w:rPr>
          <w:color w:val="000000" w:themeColor="text1"/>
          <w:sz w:val="24"/>
          <w:szCs w:val="24"/>
        </w:rPr>
        <w:t>mandate</w:t>
      </w:r>
      <w:r w:rsidR="00951D51" w:rsidRPr="00ED0973">
        <w:rPr>
          <w:color w:val="000000" w:themeColor="text1"/>
          <w:sz w:val="24"/>
          <w:szCs w:val="24"/>
        </w:rPr>
        <w:t xml:space="preserve"> </w:t>
      </w:r>
      <w:r w:rsidR="002B546A" w:rsidRPr="00ED0973">
        <w:rPr>
          <w:color w:val="000000" w:themeColor="text1"/>
          <w:sz w:val="24"/>
          <w:szCs w:val="24"/>
        </w:rPr>
        <w:t>to negotiate ISDS as part of TTIP – provided</w:t>
      </w:r>
      <w:r w:rsidR="004715D6">
        <w:rPr>
          <w:color w:val="000000" w:themeColor="text1"/>
          <w:sz w:val="24"/>
          <w:szCs w:val="24"/>
        </w:rPr>
        <w:t xml:space="preserve"> that the outcome </w:t>
      </w:r>
      <w:r w:rsidR="002B546A" w:rsidRPr="00ED0973">
        <w:rPr>
          <w:color w:val="000000" w:themeColor="text1"/>
          <w:sz w:val="24"/>
          <w:szCs w:val="24"/>
        </w:rPr>
        <w:t>corresponds to the EU’s interests</w:t>
      </w:r>
      <w:r w:rsidR="006E756F" w:rsidRPr="00ED0973">
        <w:rPr>
          <w:color w:val="000000" w:themeColor="text1"/>
          <w:sz w:val="24"/>
          <w:szCs w:val="24"/>
        </w:rPr>
        <w:t xml:space="preserve">. </w:t>
      </w:r>
      <w:r w:rsidR="004715D6">
        <w:rPr>
          <w:color w:val="000000" w:themeColor="text1"/>
          <w:sz w:val="24"/>
          <w:szCs w:val="24"/>
        </w:rPr>
        <w:t>T</w:t>
      </w:r>
      <w:r w:rsidR="006E756F" w:rsidRPr="00ED0973">
        <w:rPr>
          <w:color w:val="000000" w:themeColor="text1"/>
          <w:sz w:val="24"/>
          <w:szCs w:val="24"/>
        </w:rPr>
        <w:t>hat ‘element of cond</w:t>
      </w:r>
      <w:r w:rsidR="004715D6">
        <w:rPr>
          <w:color w:val="000000" w:themeColor="text1"/>
          <w:sz w:val="24"/>
          <w:szCs w:val="24"/>
        </w:rPr>
        <w:t>itionality’ meant</w:t>
      </w:r>
      <w:r w:rsidR="002B546A" w:rsidRPr="00ED0973">
        <w:rPr>
          <w:color w:val="000000" w:themeColor="text1"/>
          <w:sz w:val="24"/>
          <w:szCs w:val="24"/>
        </w:rPr>
        <w:t xml:space="preserve"> that a decision on whether </w:t>
      </w:r>
      <w:r w:rsidR="00EF1A13">
        <w:rPr>
          <w:color w:val="000000" w:themeColor="text1"/>
          <w:sz w:val="24"/>
          <w:szCs w:val="24"/>
        </w:rPr>
        <w:t xml:space="preserve">or not to include ISDS is </w:t>
      </w:r>
      <w:r w:rsidR="004715D6">
        <w:rPr>
          <w:color w:val="000000" w:themeColor="text1"/>
          <w:sz w:val="24"/>
          <w:szCs w:val="24"/>
        </w:rPr>
        <w:t xml:space="preserve">to be </w:t>
      </w:r>
      <w:r w:rsidR="00EF1A13">
        <w:rPr>
          <w:color w:val="000000" w:themeColor="text1"/>
          <w:sz w:val="24"/>
          <w:szCs w:val="24"/>
        </w:rPr>
        <w:t>made</w:t>
      </w:r>
      <w:r w:rsidR="002B546A" w:rsidRPr="00ED0973">
        <w:rPr>
          <w:color w:val="000000" w:themeColor="text1"/>
          <w:sz w:val="24"/>
          <w:szCs w:val="24"/>
        </w:rPr>
        <w:t xml:space="preserve"> during the final phase of the negotiations.</w:t>
      </w:r>
      <w:r w:rsidR="002B546A" w:rsidRPr="00ED0973">
        <w:rPr>
          <w:rStyle w:val="Voetnootmarkering"/>
          <w:color w:val="000000" w:themeColor="text1"/>
          <w:sz w:val="24"/>
          <w:szCs w:val="24"/>
        </w:rPr>
        <w:footnoteReference w:id="69"/>
      </w:r>
      <w:r w:rsidR="002B546A" w:rsidRPr="00ED0973">
        <w:rPr>
          <w:color w:val="000000" w:themeColor="text1"/>
          <w:sz w:val="24"/>
          <w:szCs w:val="24"/>
        </w:rPr>
        <w:t xml:space="preserve"> </w:t>
      </w:r>
      <w:r w:rsidR="0077265D" w:rsidRPr="00ED0973">
        <w:rPr>
          <w:color w:val="000000" w:themeColor="text1"/>
          <w:sz w:val="24"/>
          <w:szCs w:val="24"/>
        </w:rPr>
        <w:t>By juxtaposing the positio</w:t>
      </w:r>
      <w:r w:rsidR="002E0BA1">
        <w:rPr>
          <w:color w:val="000000" w:themeColor="text1"/>
          <w:sz w:val="24"/>
          <w:szCs w:val="24"/>
        </w:rPr>
        <w:t xml:space="preserve">ns of opponents and proponents </w:t>
      </w:r>
      <w:r w:rsidR="0077265D" w:rsidRPr="00ED0973">
        <w:rPr>
          <w:color w:val="000000" w:themeColor="text1"/>
          <w:sz w:val="24"/>
          <w:szCs w:val="24"/>
        </w:rPr>
        <w:t>the Commissi</w:t>
      </w:r>
      <w:r w:rsidR="002E0BA1">
        <w:rPr>
          <w:color w:val="000000" w:themeColor="text1"/>
          <w:sz w:val="24"/>
          <w:szCs w:val="24"/>
        </w:rPr>
        <w:t>on kept all of its options open</w:t>
      </w:r>
      <w:r w:rsidR="0077265D" w:rsidRPr="00ED0973">
        <w:rPr>
          <w:color w:val="000000" w:themeColor="text1"/>
          <w:sz w:val="24"/>
          <w:szCs w:val="24"/>
        </w:rPr>
        <w:t>.</w:t>
      </w:r>
      <w:r w:rsidR="0077265D" w:rsidRPr="00ED0973">
        <w:rPr>
          <w:color w:val="000000" w:themeColor="text1"/>
          <w:sz w:val="24"/>
          <w:szCs w:val="24"/>
          <w:vertAlign w:val="superscript"/>
        </w:rPr>
        <w:footnoteReference w:id="70"/>
      </w:r>
    </w:p>
    <w:p w14:paraId="01CFDBFC" w14:textId="2929B260" w:rsidR="00CA115A" w:rsidRPr="00ED0973" w:rsidRDefault="00CA115A" w:rsidP="00797B33">
      <w:pPr>
        <w:widowControl w:val="0"/>
        <w:autoSpaceDE w:val="0"/>
        <w:autoSpaceDN w:val="0"/>
        <w:adjustRightInd w:val="0"/>
        <w:spacing w:after="0" w:line="240" w:lineRule="auto"/>
        <w:ind w:firstLine="720"/>
        <w:jc w:val="both"/>
        <w:rPr>
          <w:color w:val="000000" w:themeColor="text1"/>
          <w:sz w:val="24"/>
          <w:szCs w:val="24"/>
        </w:rPr>
      </w:pPr>
      <w:r>
        <w:rPr>
          <w:color w:val="000000" w:themeColor="text1"/>
          <w:sz w:val="24"/>
          <w:szCs w:val="24"/>
        </w:rPr>
        <w:t xml:space="preserve">In July 2015, the EP adopted </w:t>
      </w:r>
      <w:r w:rsidR="00797B33">
        <w:rPr>
          <w:color w:val="000000" w:themeColor="text1"/>
          <w:sz w:val="24"/>
          <w:szCs w:val="24"/>
        </w:rPr>
        <w:t xml:space="preserve">TTIP </w:t>
      </w:r>
      <w:r>
        <w:rPr>
          <w:color w:val="000000" w:themeColor="text1"/>
          <w:sz w:val="24"/>
          <w:szCs w:val="24"/>
        </w:rPr>
        <w:t>recommendatio</w:t>
      </w:r>
      <w:r w:rsidR="00797B33">
        <w:rPr>
          <w:color w:val="000000" w:themeColor="text1"/>
          <w:sz w:val="24"/>
          <w:szCs w:val="24"/>
        </w:rPr>
        <w:t>ns, asking for replacing the envisaged ISDS</w:t>
      </w:r>
      <w:r w:rsidR="00797B33" w:rsidRPr="00CA115A">
        <w:rPr>
          <w:color w:val="000000" w:themeColor="text1"/>
          <w:sz w:val="24"/>
          <w:szCs w:val="24"/>
        </w:rPr>
        <w:t xml:space="preserve"> mechanism </w:t>
      </w:r>
      <w:r w:rsidR="00797B33">
        <w:rPr>
          <w:color w:val="000000" w:themeColor="text1"/>
          <w:sz w:val="24"/>
          <w:szCs w:val="24"/>
        </w:rPr>
        <w:t xml:space="preserve">with </w:t>
      </w:r>
      <w:r w:rsidRPr="00CA115A">
        <w:rPr>
          <w:color w:val="000000" w:themeColor="text1"/>
          <w:sz w:val="24"/>
          <w:szCs w:val="24"/>
        </w:rPr>
        <w:t>a new public legal structure</w:t>
      </w:r>
      <w:r w:rsidR="00E03A28">
        <w:rPr>
          <w:rStyle w:val="Voetnootmarkering"/>
          <w:color w:val="000000" w:themeColor="text1"/>
          <w:sz w:val="24"/>
          <w:szCs w:val="24"/>
        </w:rPr>
        <w:footnoteReference w:id="71"/>
      </w:r>
      <w:r w:rsidR="00797B33">
        <w:rPr>
          <w:color w:val="000000" w:themeColor="text1"/>
          <w:sz w:val="24"/>
          <w:szCs w:val="24"/>
        </w:rPr>
        <w:t xml:space="preserve"> in which</w:t>
      </w:r>
      <w:r w:rsidRPr="00CA115A">
        <w:rPr>
          <w:color w:val="000000" w:themeColor="text1"/>
          <w:sz w:val="24"/>
          <w:szCs w:val="24"/>
        </w:rPr>
        <w:t xml:space="preserve"> </w:t>
      </w:r>
      <w:r w:rsidR="00E03A28" w:rsidRPr="00E03A28">
        <w:rPr>
          <w:color w:val="000000" w:themeColor="text1"/>
          <w:sz w:val="24"/>
          <w:szCs w:val="24"/>
        </w:rPr>
        <w:t>cas</w:t>
      </w:r>
      <w:r w:rsidR="00797B33">
        <w:rPr>
          <w:color w:val="000000" w:themeColor="text1"/>
          <w:sz w:val="24"/>
          <w:szCs w:val="24"/>
        </w:rPr>
        <w:t xml:space="preserve">es are </w:t>
      </w:r>
      <w:r w:rsidR="00E03A28" w:rsidRPr="00E03A28">
        <w:rPr>
          <w:color w:val="000000" w:themeColor="text1"/>
          <w:sz w:val="24"/>
          <w:szCs w:val="24"/>
        </w:rPr>
        <w:t>treated in a transparent manner by publicly appointed, independent professional judges in public hearings</w:t>
      </w:r>
      <w:r w:rsidR="00797B33">
        <w:rPr>
          <w:color w:val="000000" w:themeColor="text1"/>
          <w:sz w:val="24"/>
          <w:szCs w:val="24"/>
        </w:rPr>
        <w:t xml:space="preserve">, </w:t>
      </w:r>
      <w:r w:rsidR="007A3FF7">
        <w:rPr>
          <w:color w:val="000000" w:themeColor="text1"/>
          <w:sz w:val="24"/>
          <w:szCs w:val="24"/>
        </w:rPr>
        <w:t xml:space="preserve">with </w:t>
      </w:r>
      <w:r w:rsidR="00E03A28" w:rsidRPr="00E03A28">
        <w:rPr>
          <w:color w:val="000000" w:themeColor="text1"/>
          <w:sz w:val="24"/>
          <w:szCs w:val="24"/>
        </w:rPr>
        <w:t>an appellate</w:t>
      </w:r>
      <w:r w:rsidR="00797B33">
        <w:rPr>
          <w:color w:val="000000" w:themeColor="text1"/>
          <w:sz w:val="24"/>
          <w:szCs w:val="24"/>
        </w:rPr>
        <w:t xml:space="preserve"> mechanism, respecting </w:t>
      </w:r>
      <w:r w:rsidR="00E03A28" w:rsidRPr="00E03A28">
        <w:rPr>
          <w:color w:val="000000" w:themeColor="text1"/>
          <w:sz w:val="24"/>
          <w:szCs w:val="24"/>
        </w:rPr>
        <w:t xml:space="preserve">the jurisdiction of courts of the EU and of the </w:t>
      </w:r>
      <w:r w:rsidR="00797B33">
        <w:rPr>
          <w:color w:val="000000" w:themeColor="text1"/>
          <w:sz w:val="24"/>
          <w:szCs w:val="24"/>
        </w:rPr>
        <w:t>Member States</w:t>
      </w:r>
      <w:r w:rsidR="00E03A28" w:rsidRPr="00E03A28">
        <w:rPr>
          <w:color w:val="000000" w:themeColor="text1"/>
          <w:sz w:val="24"/>
          <w:szCs w:val="24"/>
        </w:rPr>
        <w:t>, and where private interests cannot und</w:t>
      </w:r>
      <w:r w:rsidR="00797B33">
        <w:rPr>
          <w:color w:val="000000" w:themeColor="text1"/>
          <w:sz w:val="24"/>
          <w:szCs w:val="24"/>
        </w:rPr>
        <w:t>ermine public policy objectives.’</w:t>
      </w:r>
    </w:p>
    <w:p w14:paraId="07E72EFB" w14:textId="05C0EBFE" w:rsidR="006642DD" w:rsidRPr="00ED0973" w:rsidRDefault="00194158" w:rsidP="00E66D06">
      <w:pPr>
        <w:jc w:val="both"/>
        <w:rPr>
          <w:color w:val="000000" w:themeColor="text1"/>
          <w:sz w:val="24"/>
          <w:szCs w:val="24"/>
        </w:rPr>
      </w:pPr>
      <w:r w:rsidRPr="00ED0973">
        <w:rPr>
          <w:color w:val="000000" w:themeColor="text1"/>
          <w:sz w:val="24"/>
          <w:szCs w:val="24"/>
        </w:rPr>
        <w:tab/>
      </w:r>
      <w:r w:rsidR="003934E1">
        <w:rPr>
          <w:color w:val="000000" w:themeColor="text1"/>
          <w:sz w:val="24"/>
          <w:szCs w:val="24"/>
        </w:rPr>
        <w:t>I</w:t>
      </w:r>
      <w:r w:rsidR="00CB7EF4" w:rsidRPr="00ED0973">
        <w:rPr>
          <w:color w:val="000000" w:themeColor="text1"/>
          <w:sz w:val="24"/>
          <w:szCs w:val="24"/>
        </w:rPr>
        <w:t xml:space="preserve">n September 2015, </w:t>
      </w:r>
      <w:r w:rsidR="00EF1A13">
        <w:rPr>
          <w:color w:val="000000" w:themeColor="text1"/>
          <w:sz w:val="24"/>
          <w:szCs w:val="24"/>
        </w:rPr>
        <w:t xml:space="preserve">a draft </w:t>
      </w:r>
      <w:r w:rsidR="00CB7EF4" w:rsidRPr="00ED0973">
        <w:rPr>
          <w:color w:val="000000" w:themeColor="text1"/>
          <w:sz w:val="24"/>
          <w:szCs w:val="24"/>
        </w:rPr>
        <w:t>TTIP Investment chapter was presented.</w:t>
      </w:r>
      <w:r w:rsidR="00CB7EF4" w:rsidRPr="00ED0973">
        <w:rPr>
          <w:rStyle w:val="Voetnootmarkering"/>
          <w:color w:val="000000" w:themeColor="text1"/>
          <w:sz w:val="24"/>
          <w:szCs w:val="24"/>
        </w:rPr>
        <w:footnoteReference w:id="72"/>
      </w:r>
      <w:r w:rsidR="00CB7EF4" w:rsidRPr="00ED0973">
        <w:rPr>
          <w:color w:val="000000" w:themeColor="text1"/>
          <w:sz w:val="24"/>
          <w:szCs w:val="24"/>
        </w:rPr>
        <w:t xml:space="preserve"> It encompassed a modernised system Investment Court System (ICS) composed of a first instance Tribunal and an Appeal Tribunal. </w:t>
      </w:r>
      <w:r w:rsidR="00E66D06" w:rsidRPr="00ED0973">
        <w:rPr>
          <w:color w:val="000000" w:themeColor="text1"/>
          <w:sz w:val="24"/>
          <w:szCs w:val="24"/>
        </w:rPr>
        <w:t>Critics claim the proposal “amounts to little more than putting lipstick on a particularly unpopular pig”</w:t>
      </w:r>
      <w:r w:rsidR="00E66D06" w:rsidRPr="00ED0973">
        <w:rPr>
          <w:rStyle w:val="Voetnootmarkering"/>
          <w:color w:val="000000" w:themeColor="text1"/>
          <w:sz w:val="24"/>
          <w:szCs w:val="24"/>
        </w:rPr>
        <w:footnoteReference w:id="73"/>
      </w:r>
      <w:r w:rsidR="00E66D06" w:rsidRPr="00ED0973">
        <w:rPr>
          <w:color w:val="000000" w:themeColor="text1"/>
          <w:sz w:val="24"/>
          <w:szCs w:val="24"/>
        </w:rPr>
        <w:t xml:space="preserve"> and point out that the new system does not alter the fact that investors still have the right to circumvent national law systems.</w:t>
      </w:r>
      <w:r w:rsidR="00E66D06" w:rsidRPr="00ED0973">
        <w:rPr>
          <w:rStyle w:val="Voetnootmarkering"/>
          <w:color w:val="000000" w:themeColor="text1"/>
          <w:sz w:val="24"/>
          <w:szCs w:val="24"/>
        </w:rPr>
        <w:footnoteReference w:id="74"/>
      </w:r>
      <w:r w:rsidR="00E66D06">
        <w:rPr>
          <w:color w:val="000000" w:themeColor="text1"/>
          <w:sz w:val="24"/>
          <w:szCs w:val="24"/>
        </w:rPr>
        <w:t xml:space="preserve"> </w:t>
      </w:r>
      <w:r w:rsidR="00BB023A" w:rsidRPr="00ED0973">
        <w:rPr>
          <w:color w:val="000000" w:themeColor="text1"/>
          <w:sz w:val="24"/>
          <w:szCs w:val="24"/>
        </w:rPr>
        <w:t xml:space="preserve">The Commission announced discussions about the draft with the Council and the EP, and after that </w:t>
      </w:r>
      <w:r w:rsidR="00AF6E7E" w:rsidRPr="00ED0973">
        <w:rPr>
          <w:color w:val="000000" w:themeColor="text1"/>
          <w:sz w:val="24"/>
          <w:szCs w:val="24"/>
        </w:rPr>
        <w:t xml:space="preserve">the </w:t>
      </w:r>
      <w:r w:rsidR="00BB023A" w:rsidRPr="00ED0973">
        <w:rPr>
          <w:color w:val="000000" w:themeColor="text1"/>
          <w:sz w:val="24"/>
          <w:szCs w:val="24"/>
        </w:rPr>
        <w:t>present</w:t>
      </w:r>
      <w:r w:rsidR="00AF6E7E" w:rsidRPr="00ED0973">
        <w:rPr>
          <w:color w:val="000000" w:themeColor="text1"/>
          <w:sz w:val="24"/>
          <w:szCs w:val="24"/>
        </w:rPr>
        <w:t>ation of</w:t>
      </w:r>
      <w:r w:rsidR="00BB023A" w:rsidRPr="00ED0973">
        <w:rPr>
          <w:color w:val="000000" w:themeColor="text1"/>
          <w:sz w:val="24"/>
          <w:szCs w:val="24"/>
        </w:rPr>
        <w:t xml:space="preserve"> </w:t>
      </w:r>
      <w:r w:rsidR="00AF6E7E" w:rsidRPr="00ED0973">
        <w:rPr>
          <w:color w:val="000000" w:themeColor="text1"/>
          <w:sz w:val="24"/>
          <w:szCs w:val="24"/>
        </w:rPr>
        <w:t xml:space="preserve">a TTIP </w:t>
      </w:r>
      <w:r w:rsidR="00BB023A" w:rsidRPr="00ED0973">
        <w:rPr>
          <w:color w:val="000000" w:themeColor="text1"/>
          <w:sz w:val="24"/>
          <w:szCs w:val="24"/>
        </w:rPr>
        <w:t>text propo</w:t>
      </w:r>
      <w:r w:rsidR="00AF6E7E" w:rsidRPr="00ED0973">
        <w:rPr>
          <w:color w:val="000000" w:themeColor="text1"/>
          <w:sz w:val="24"/>
          <w:szCs w:val="24"/>
        </w:rPr>
        <w:t xml:space="preserve">sal </w:t>
      </w:r>
      <w:r w:rsidR="00BB023A" w:rsidRPr="00ED0973">
        <w:rPr>
          <w:color w:val="000000" w:themeColor="text1"/>
          <w:sz w:val="24"/>
          <w:szCs w:val="24"/>
        </w:rPr>
        <w:t>that</w:t>
      </w:r>
      <w:r w:rsidR="00AF6E7E" w:rsidRPr="00ED0973">
        <w:rPr>
          <w:color w:val="000000" w:themeColor="text1"/>
          <w:sz w:val="24"/>
          <w:szCs w:val="24"/>
        </w:rPr>
        <w:t xml:space="preserve"> would </w:t>
      </w:r>
      <w:r w:rsidR="00BB023A" w:rsidRPr="00ED0973">
        <w:rPr>
          <w:color w:val="000000" w:themeColor="text1"/>
          <w:sz w:val="24"/>
          <w:szCs w:val="24"/>
        </w:rPr>
        <w:t xml:space="preserve">also </w:t>
      </w:r>
      <w:r w:rsidR="00AF6E7E" w:rsidRPr="00ED0973">
        <w:rPr>
          <w:color w:val="000000" w:themeColor="text1"/>
          <w:sz w:val="24"/>
          <w:szCs w:val="24"/>
        </w:rPr>
        <w:t xml:space="preserve">be </w:t>
      </w:r>
      <w:r w:rsidR="00BB023A" w:rsidRPr="00ED0973">
        <w:rPr>
          <w:color w:val="000000" w:themeColor="text1"/>
          <w:sz w:val="24"/>
          <w:szCs w:val="24"/>
        </w:rPr>
        <w:t xml:space="preserve">used in other </w:t>
      </w:r>
      <w:r w:rsidR="00BB023A" w:rsidRPr="00ED0973">
        <w:rPr>
          <w:color w:val="000000" w:themeColor="text1"/>
          <w:sz w:val="24"/>
          <w:szCs w:val="24"/>
        </w:rPr>
        <w:lastRenderedPageBreak/>
        <w:t xml:space="preserve">ongoing and future negotiations. </w:t>
      </w:r>
      <w:r w:rsidR="0077265D" w:rsidRPr="00ED0973">
        <w:rPr>
          <w:color w:val="000000" w:themeColor="text1"/>
          <w:sz w:val="24"/>
          <w:szCs w:val="24"/>
        </w:rPr>
        <w:t>This proposal was made public on 12 November 2015.</w:t>
      </w:r>
      <w:r w:rsidR="0077265D" w:rsidRPr="00ED0973">
        <w:rPr>
          <w:rStyle w:val="Voetnootmarkering"/>
          <w:color w:val="000000" w:themeColor="text1"/>
          <w:sz w:val="24"/>
          <w:szCs w:val="24"/>
        </w:rPr>
        <w:footnoteReference w:id="75"/>
      </w:r>
      <w:r w:rsidR="0077265D" w:rsidRPr="00ED0973">
        <w:rPr>
          <w:color w:val="000000" w:themeColor="text1"/>
          <w:sz w:val="24"/>
          <w:szCs w:val="24"/>
        </w:rPr>
        <w:t xml:space="preserve"> </w:t>
      </w:r>
      <w:r w:rsidR="004715D6">
        <w:rPr>
          <w:color w:val="000000" w:themeColor="text1"/>
          <w:sz w:val="24"/>
          <w:szCs w:val="24"/>
        </w:rPr>
        <w:t>As already mentioned above, in February 2016</w:t>
      </w:r>
      <w:r w:rsidR="00EA7307" w:rsidRPr="00ED0973">
        <w:rPr>
          <w:color w:val="000000" w:themeColor="text1"/>
          <w:sz w:val="24"/>
          <w:szCs w:val="24"/>
        </w:rPr>
        <w:t xml:space="preserve"> Canada and the EU announced that they </w:t>
      </w:r>
      <w:r w:rsidR="00B31CEE" w:rsidRPr="00ED0973">
        <w:rPr>
          <w:color w:val="000000" w:themeColor="text1"/>
          <w:sz w:val="24"/>
          <w:szCs w:val="24"/>
        </w:rPr>
        <w:t xml:space="preserve">had </w:t>
      </w:r>
      <w:r w:rsidR="00EA7307" w:rsidRPr="00ED0973">
        <w:rPr>
          <w:color w:val="000000" w:themeColor="text1"/>
          <w:sz w:val="24"/>
          <w:szCs w:val="24"/>
        </w:rPr>
        <w:t>included the main elements of the ICS proposal in the revised text of CETA.</w:t>
      </w:r>
      <w:r w:rsidR="00EA7307" w:rsidRPr="00ED0973">
        <w:rPr>
          <w:rStyle w:val="Voetnootmarkering"/>
          <w:color w:val="000000" w:themeColor="text1"/>
          <w:sz w:val="24"/>
          <w:szCs w:val="24"/>
        </w:rPr>
        <w:footnoteReference w:id="76"/>
      </w:r>
      <w:r w:rsidR="00EA7307" w:rsidRPr="00ED0973">
        <w:rPr>
          <w:color w:val="000000" w:themeColor="text1"/>
          <w:sz w:val="24"/>
          <w:szCs w:val="24"/>
        </w:rPr>
        <w:t xml:space="preserve"> </w:t>
      </w:r>
      <w:r w:rsidR="006642DD">
        <w:rPr>
          <w:color w:val="000000" w:themeColor="text1"/>
          <w:sz w:val="24"/>
          <w:szCs w:val="24"/>
        </w:rPr>
        <w:t xml:space="preserve">The ICS undoubtedly forms an improvement compared to the current ISDS system, notably where transparency, </w:t>
      </w:r>
      <w:r w:rsidR="004715D6">
        <w:rPr>
          <w:color w:val="000000" w:themeColor="text1"/>
          <w:sz w:val="24"/>
          <w:szCs w:val="24"/>
        </w:rPr>
        <w:t xml:space="preserve">the availability of an appeal </w:t>
      </w:r>
      <w:r w:rsidR="00973317">
        <w:rPr>
          <w:color w:val="000000" w:themeColor="text1"/>
          <w:sz w:val="24"/>
          <w:szCs w:val="24"/>
        </w:rPr>
        <w:t xml:space="preserve">mechanism </w:t>
      </w:r>
      <w:r w:rsidR="004715D6">
        <w:rPr>
          <w:color w:val="000000" w:themeColor="text1"/>
          <w:sz w:val="24"/>
          <w:szCs w:val="24"/>
        </w:rPr>
        <w:t>are concerned.</w:t>
      </w:r>
    </w:p>
    <w:p w14:paraId="4C7ED62A" w14:textId="67FA4B93" w:rsidR="00BE419B" w:rsidRDefault="00CA31B7" w:rsidP="00E66D06">
      <w:pPr>
        <w:spacing w:line="240" w:lineRule="auto"/>
        <w:ind w:firstLine="720"/>
        <w:jc w:val="both"/>
        <w:rPr>
          <w:color w:val="000000" w:themeColor="text1"/>
          <w:sz w:val="24"/>
          <w:szCs w:val="24"/>
        </w:rPr>
      </w:pPr>
      <w:r>
        <w:rPr>
          <w:color w:val="000000" w:themeColor="text1"/>
          <w:sz w:val="24"/>
          <w:szCs w:val="24"/>
        </w:rPr>
        <w:t xml:space="preserve">Nevertheless, other </w:t>
      </w:r>
      <w:r w:rsidR="00EA16F0" w:rsidRPr="00ED0973">
        <w:rPr>
          <w:color w:val="000000" w:themeColor="text1"/>
          <w:sz w:val="24"/>
          <w:szCs w:val="24"/>
        </w:rPr>
        <w:t xml:space="preserve">aspects of the new </w:t>
      </w:r>
      <w:r>
        <w:rPr>
          <w:color w:val="000000" w:themeColor="text1"/>
          <w:sz w:val="24"/>
          <w:szCs w:val="24"/>
        </w:rPr>
        <w:t xml:space="preserve">ICS </w:t>
      </w:r>
      <w:r w:rsidR="00EA16F0" w:rsidRPr="00ED0973">
        <w:rPr>
          <w:color w:val="000000" w:themeColor="text1"/>
          <w:sz w:val="24"/>
          <w:szCs w:val="24"/>
        </w:rPr>
        <w:t>system might still be incompatible with EU law</w:t>
      </w:r>
      <w:r w:rsidR="004715D6">
        <w:rPr>
          <w:color w:val="000000" w:themeColor="text1"/>
          <w:sz w:val="24"/>
          <w:szCs w:val="24"/>
        </w:rPr>
        <w:t>.</w:t>
      </w:r>
      <w:r>
        <w:rPr>
          <w:color w:val="000000" w:themeColor="text1"/>
          <w:sz w:val="24"/>
          <w:szCs w:val="24"/>
        </w:rPr>
        <w:t xml:space="preserve"> Thanks to the ‘</w:t>
      </w:r>
      <w:r w:rsidR="00973317">
        <w:rPr>
          <w:color w:val="000000" w:themeColor="text1"/>
          <w:sz w:val="24"/>
          <w:szCs w:val="24"/>
        </w:rPr>
        <w:t>hot-air Walloons’</w:t>
      </w:r>
      <w:r>
        <w:rPr>
          <w:color w:val="000000" w:themeColor="text1"/>
          <w:sz w:val="24"/>
          <w:szCs w:val="24"/>
        </w:rPr>
        <w:t>,</w:t>
      </w:r>
      <w:r>
        <w:rPr>
          <w:rStyle w:val="Voetnootmarkering"/>
          <w:color w:val="000000" w:themeColor="text1"/>
          <w:sz w:val="24"/>
          <w:szCs w:val="24"/>
        </w:rPr>
        <w:footnoteReference w:id="77"/>
      </w:r>
      <w:r>
        <w:rPr>
          <w:color w:val="000000" w:themeColor="text1"/>
          <w:sz w:val="24"/>
          <w:szCs w:val="24"/>
        </w:rPr>
        <w:t xml:space="preserve"> Belgium will be asking the CJEU for an opinion on this question. In the </w:t>
      </w:r>
      <w:r w:rsidR="006D6577">
        <w:rPr>
          <w:color w:val="000000" w:themeColor="text1"/>
          <w:sz w:val="24"/>
          <w:szCs w:val="24"/>
        </w:rPr>
        <w:t>next subparagraphs</w:t>
      </w:r>
      <w:r>
        <w:rPr>
          <w:color w:val="000000" w:themeColor="text1"/>
          <w:sz w:val="24"/>
          <w:szCs w:val="24"/>
        </w:rPr>
        <w:t xml:space="preserve"> of this pap</w:t>
      </w:r>
      <w:r w:rsidR="00973317">
        <w:rPr>
          <w:color w:val="000000" w:themeColor="text1"/>
          <w:sz w:val="24"/>
          <w:szCs w:val="24"/>
        </w:rPr>
        <w:t>er, some of the issues that the Court</w:t>
      </w:r>
      <w:r>
        <w:rPr>
          <w:color w:val="000000" w:themeColor="text1"/>
          <w:sz w:val="24"/>
          <w:szCs w:val="24"/>
        </w:rPr>
        <w:t xml:space="preserve"> </w:t>
      </w:r>
      <w:r w:rsidR="00973317">
        <w:rPr>
          <w:color w:val="000000" w:themeColor="text1"/>
          <w:sz w:val="24"/>
          <w:szCs w:val="24"/>
        </w:rPr>
        <w:t xml:space="preserve">might criticise </w:t>
      </w:r>
      <w:r>
        <w:rPr>
          <w:color w:val="000000" w:themeColor="text1"/>
          <w:sz w:val="24"/>
          <w:szCs w:val="24"/>
        </w:rPr>
        <w:t>are examined</w:t>
      </w:r>
      <w:r w:rsidR="00973317">
        <w:rPr>
          <w:color w:val="000000" w:themeColor="text1"/>
          <w:sz w:val="24"/>
          <w:szCs w:val="24"/>
        </w:rPr>
        <w:t xml:space="preserve"> here</w:t>
      </w:r>
      <w:r>
        <w:rPr>
          <w:color w:val="000000" w:themeColor="text1"/>
          <w:sz w:val="24"/>
          <w:szCs w:val="24"/>
        </w:rPr>
        <w:t xml:space="preserve">.  </w:t>
      </w:r>
    </w:p>
    <w:p w14:paraId="5D27EFE8" w14:textId="2524DB36" w:rsidR="00AA659A" w:rsidRPr="00ED0973" w:rsidRDefault="00AA659A" w:rsidP="00E66D06">
      <w:pPr>
        <w:jc w:val="both"/>
        <w:rPr>
          <w:color w:val="000000" w:themeColor="text1"/>
          <w:sz w:val="24"/>
          <w:szCs w:val="24"/>
        </w:rPr>
      </w:pPr>
      <w:r>
        <w:rPr>
          <w:color w:val="000000" w:themeColor="text1"/>
          <w:sz w:val="24"/>
          <w:szCs w:val="24"/>
        </w:rPr>
        <w:tab/>
      </w:r>
    </w:p>
    <w:p w14:paraId="2EA4A419" w14:textId="63D31B24" w:rsidR="00194158" w:rsidRPr="00ED0973" w:rsidRDefault="00EA16F0" w:rsidP="00212753">
      <w:pPr>
        <w:pStyle w:val="Kop2"/>
      </w:pPr>
      <w:r>
        <w:t xml:space="preserve">3.2 </w:t>
      </w:r>
      <w:r w:rsidR="00194158" w:rsidRPr="00ED0973">
        <w:t>Autonomy of the EU legal order</w:t>
      </w:r>
    </w:p>
    <w:p w14:paraId="6BC57C35" w14:textId="77777777" w:rsidR="00DB6A8D" w:rsidRDefault="00DB6A8D" w:rsidP="00D73158">
      <w:pPr>
        <w:spacing w:after="0" w:line="240" w:lineRule="auto"/>
        <w:jc w:val="both"/>
        <w:rPr>
          <w:color w:val="000000" w:themeColor="text1"/>
          <w:sz w:val="24"/>
          <w:szCs w:val="24"/>
        </w:rPr>
      </w:pPr>
      <w:r>
        <w:rPr>
          <w:color w:val="000000" w:themeColor="text1"/>
          <w:sz w:val="24"/>
          <w:szCs w:val="24"/>
        </w:rPr>
        <w:t xml:space="preserve">The </w:t>
      </w:r>
      <w:r w:rsidR="00A94FE2" w:rsidRPr="00ED0973">
        <w:rPr>
          <w:color w:val="000000" w:themeColor="text1"/>
          <w:sz w:val="24"/>
          <w:szCs w:val="24"/>
        </w:rPr>
        <w:t xml:space="preserve">ICS </w:t>
      </w:r>
      <w:r w:rsidR="00D82CC5">
        <w:rPr>
          <w:color w:val="000000" w:themeColor="text1"/>
          <w:sz w:val="24"/>
          <w:szCs w:val="24"/>
        </w:rPr>
        <w:t xml:space="preserve">offers investors the chance to circumvent </w:t>
      </w:r>
      <w:r w:rsidR="00A94FE2" w:rsidRPr="00ED0973">
        <w:rPr>
          <w:color w:val="000000" w:themeColor="text1"/>
          <w:sz w:val="24"/>
          <w:szCs w:val="24"/>
        </w:rPr>
        <w:t>the courts of the Member States an</w:t>
      </w:r>
      <w:r w:rsidR="00CA31B7">
        <w:rPr>
          <w:color w:val="000000" w:themeColor="text1"/>
          <w:sz w:val="24"/>
          <w:szCs w:val="24"/>
        </w:rPr>
        <w:t>d the CJEU</w:t>
      </w:r>
      <w:r w:rsidR="00971B1D">
        <w:rPr>
          <w:color w:val="000000" w:themeColor="text1"/>
          <w:sz w:val="24"/>
          <w:szCs w:val="24"/>
        </w:rPr>
        <w:t xml:space="preserve"> in claims of inv</w:t>
      </w:r>
      <w:r w:rsidR="00CA31B7">
        <w:rPr>
          <w:color w:val="000000" w:themeColor="text1"/>
          <w:sz w:val="24"/>
          <w:szCs w:val="24"/>
        </w:rPr>
        <w:t>estors against host states. E</w:t>
      </w:r>
      <w:r w:rsidR="00971B1D">
        <w:rPr>
          <w:color w:val="000000" w:themeColor="text1"/>
          <w:sz w:val="24"/>
          <w:szCs w:val="24"/>
        </w:rPr>
        <w:t>xhaustion of local remedies</w:t>
      </w:r>
      <w:r w:rsidR="00D82CC5">
        <w:rPr>
          <w:color w:val="000000" w:themeColor="text1"/>
          <w:sz w:val="24"/>
          <w:szCs w:val="24"/>
        </w:rPr>
        <w:t xml:space="preserve"> </w:t>
      </w:r>
      <w:r w:rsidR="00F5141B">
        <w:rPr>
          <w:color w:val="000000" w:themeColor="text1"/>
          <w:sz w:val="24"/>
          <w:szCs w:val="24"/>
        </w:rPr>
        <w:t xml:space="preserve">– contrary to the request of the EP - </w:t>
      </w:r>
      <w:r w:rsidR="00CA31B7">
        <w:rPr>
          <w:color w:val="000000" w:themeColor="text1"/>
          <w:sz w:val="24"/>
          <w:szCs w:val="24"/>
        </w:rPr>
        <w:t>is not prescribed</w:t>
      </w:r>
      <w:r w:rsidR="00971B1D">
        <w:rPr>
          <w:color w:val="000000" w:themeColor="text1"/>
          <w:sz w:val="24"/>
          <w:szCs w:val="24"/>
        </w:rPr>
        <w:t xml:space="preserve">. </w:t>
      </w:r>
      <w:r w:rsidR="00D82CC5">
        <w:rPr>
          <w:color w:val="000000" w:themeColor="text1"/>
          <w:sz w:val="24"/>
          <w:szCs w:val="24"/>
        </w:rPr>
        <w:t>This</w:t>
      </w:r>
      <w:r w:rsidR="00971B1D">
        <w:rPr>
          <w:color w:val="000000" w:themeColor="text1"/>
          <w:sz w:val="24"/>
          <w:szCs w:val="24"/>
        </w:rPr>
        <w:t xml:space="preserve"> </w:t>
      </w:r>
      <w:r w:rsidR="00D82CC5">
        <w:rPr>
          <w:color w:val="000000" w:themeColor="text1"/>
          <w:sz w:val="24"/>
          <w:szCs w:val="24"/>
        </w:rPr>
        <w:t xml:space="preserve">could </w:t>
      </w:r>
      <w:r w:rsidR="00971B1D">
        <w:rPr>
          <w:color w:val="000000" w:themeColor="text1"/>
          <w:sz w:val="24"/>
          <w:szCs w:val="24"/>
        </w:rPr>
        <w:t>interfere with</w:t>
      </w:r>
      <w:r w:rsidR="00A94FE2" w:rsidRPr="00ED0973">
        <w:rPr>
          <w:color w:val="000000" w:themeColor="text1"/>
          <w:sz w:val="24"/>
          <w:szCs w:val="24"/>
        </w:rPr>
        <w:t xml:space="preserve"> the autonomy of the </w:t>
      </w:r>
      <w:r w:rsidR="00DC692B" w:rsidRPr="00ED0973">
        <w:rPr>
          <w:color w:val="000000" w:themeColor="text1"/>
          <w:sz w:val="24"/>
          <w:szCs w:val="24"/>
        </w:rPr>
        <w:t>EU</w:t>
      </w:r>
      <w:r w:rsidR="00A94FE2" w:rsidRPr="00ED0973">
        <w:rPr>
          <w:color w:val="000000" w:themeColor="text1"/>
          <w:sz w:val="24"/>
          <w:szCs w:val="24"/>
        </w:rPr>
        <w:t xml:space="preserve"> legal order</w:t>
      </w:r>
      <w:r w:rsidR="00971B1D">
        <w:rPr>
          <w:color w:val="000000" w:themeColor="text1"/>
          <w:sz w:val="24"/>
          <w:szCs w:val="24"/>
        </w:rPr>
        <w:t xml:space="preserve"> in a manner contrary to EU law</w:t>
      </w:r>
      <w:r w:rsidR="00D82CC5">
        <w:rPr>
          <w:color w:val="000000" w:themeColor="text1"/>
          <w:sz w:val="24"/>
          <w:szCs w:val="24"/>
        </w:rPr>
        <w:t xml:space="preserve">, notably </w:t>
      </w:r>
      <w:r w:rsidR="00971B1D">
        <w:rPr>
          <w:color w:val="000000" w:themeColor="text1"/>
          <w:sz w:val="24"/>
          <w:szCs w:val="24"/>
        </w:rPr>
        <w:t>if</w:t>
      </w:r>
      <w:r w:rsidR="00745487" w:rsidRPr="00ED0973">
        <w:rPr>
          <w:color w:val="000000" w:themeColor="text1"/>
          <w:sz w:val="24"/>
          <w:szCs w:val="24"/>
        </w:rPr>
        <w:t xml:space="preserve"> the ICS would be interpreting </w:t>
      </w:r>
      <w:r w:rsidR="00971B1D">
        <w:rPr>
          <w:color w:val="000000" w:themeColor="text1"/>
          <w:sz w:val="24"/>
          <w:szCs w:val="24"/>
        </w:rPr>
        <w:t>EU law</w:t>
      </w:r>
      <w:r w:rsidR="00D82CC5">
        <w:rPr>
          <w:color w:val="000000" w:themeColor="text1"/>
          <w:sz w:val="24"/>
          <w:szCs w:val="24"/>
        </w:rPr>
        <w:t>.</w:t>
      </w:r>
    </w:p>
    <w:p w14:paraId="08647F57" w14:textId="00EC402A" w:rsidR="00426AAC" w:rsidRDefault="00426AAC" w:rsidP="00D73158">
      <w:pPr>
        <w:spacing w:after="0" w:line="240" w:lineRule="auto"/>
        <w:jc w:val="both"/>
        <w:rPr>
          <w:color w:val="000000" w:themeColor="text1"/>
          <w:sz w:val="24"/>
          <w:szCs w:val="24"/>
        </w:rPr>
      </w:pPr>
      <w:r>
        <w:rPr>
          <w:color w:val="000000" w:themeColor="text1"/>
          <w:sz w:val="24"/>
          <w:szCs w:val="24"/>
        </w:rPr>
        <w:tab/>
        <w:t xml:space="preserve">In itself, the fact that the European Union joins an international agreement with a dispute settlement mechanism does not pose a problem from an EU law point of view. </w:t>
      </w:r>
      <w:r w:rsidR="00615731">
        <w:rPr>
          <w:color w:val="000000" w:themeColor="text1"/>
          <w:sz w:val="24"/>
          <w:szCs w:val="24"/>
        </w:rPr>
        <w:t>However, certain conditions need to be met</w:t>
      </w:r>
      <w:r w:rsidR="000949E7">
        <w:rPr>
          <w:color w:val="000000" w:themeColor="text1"/>
          <w:sz w:val="24"/>
          <w:szCs w:val="24"/>
        </w:rPr>
        <w:t>, as a string of opinions issued by the Court in Luxembourg makes clear</w:t>
      </w:r>
      <w:r w:rsidR="00DB6A8D">
        <w:rPr>
          <w:color w:val="000000" w:themeColor="text1"/>
          <w:sz w:val="24"/>
          <w:szCs w:val="24"/>
        </w:rPr>
        <w:t xml:space="preserve"> when rejecting</w:t>
      </w:r>
      <w:r w:rsidR="000949E7">
        <w:rPr>
          <w:color w:val="000000" w:themeColor="text1"/>
          <w:sz w:val="24"/>
          <w:szCs w:val="24"/>
        </w:rPr>
        <w:t xml:space="preserve"> </w:t>
      </w:r>
      <w:r>
        <w:rPr>
          <w:color w:val="000000" w:themeColor="text1"/>
          <w:sz w:val="24"/>
          <w:szCs w:val="24"/>
        </w:rPr>
        <w:t xml:space="preserve">several </w:t>
      </w:r>
      <w:r w:rsidR="00615731">
        <w:rPr>
          <w:color w:val="000000" w:themeColor="text1"/>
          <w:sz w:val="24"/>
          <w:szCs w:val="24"/>
        </w:rPr>
        <w:t xml:space="preserve">dispute settlement </w:t>
      </w:r>
      <w:r>
        <w:rPr>
          <w:color w:val="000000" w:themeColor="text1"/>
          <w:sz w:val="24"/>
          <w:szCs w:val="24"/>
        </w:rPr>
        <w:t>mechanisms because they were in conflict with the autonomy of the EU legal order. Recently, it opposed the EU accession to the ECHR in Opinion 2/13.</w:t>
      </w:r>
      <w:r>
        <w:rPr>
          <w:rStyle w:val="Voetnootmarkering"/>
          <w:color w:val="000000" w:themeColor="text1"/>
          <w:sz w:val="24"/>
          <w:szCs w:val="24"/>
        </w:rPr>
        <w:footnoteReference w:id="78"/>
      </w:r>
      <w:r>
        <w:rPr>
          <w:color w:val="000000" w:themeColor="text1"/>
          <w:sz w:val="24"/>
          <w:szCs w:val="24"/>
        </w:rPr>
        <w:t xml:space="preserve"> Before that, it had rejected the draft agreement setting up the Community Patent Court in Opinion 1/09,</w:t>
      </w:r>
      <w:r>
        <w:rPr>
          <w:rStyle w:val="Voetnootmarkering"/>
          <w:color w:val="000000" w:themeColor="text1"/>
          <w:sz w:val="24"/>
          <w:szCs w:val="24"/>
        </w:rPr>
        <w:footnoteReference w:id="79"/>
      </w:r>
      <w:r>
        <w:rPr>
          <w:color w:val="000000" w:themeColor="text1"/>
          <w:sz w:val="24"/>
          <w:szCs w:val="24"/>
        </w:rPr>
        <w:t xml:space="preserve"> the first draft EEA Agreement (Opinion 1/91)</w:t>
      </w:r>
      <w:r>
        <w:rPr>
          <w:rStyle w:val="Voetnootmarkering"/>
          <w:color w:val="000000" w:themeColor="text1"/>
          <w:sz w:val="24"/>
          <w:szCs w:val="24"/>
        </w:rPr>
        <w:footnoteReference w:id="80"/>
      </w:r>
      <w:r>
        <w:rPr>
          <w:color w:val="000000" w:themeColor="text1"/>
          <w:sz w:val="24"/>
          <w:szCs w:val="24"/>
        </w:rPr>
        <w:t xml:space="preserve"> and the draft agreement establishing a European laying-up fund for inland waterway vessels (Opinion 1/76).</w:t>
      </w:r>
      <w:r>
        <w:rPr>
          <w:rStyle w:val="Voetnootmarkering"/>
          <w:color w:val="000000" w:themeColor="text1"/>
          <w:sz w:val="24"/>
          <w:szCs w:val="24"/>
        </w:rPr>
        <w:footnoteReference w:id="81"/>
      </w:r>
      <w:r w:rsidR="00BE419B">
        <w:rPr>
          <w:color w:val="000000" w:themeColor="text1"/>
          <w:sz w:val="24"/>
          <w:szCs w:val="24"/>
        </w:rPr>
        <w:t xml:space="preserve"> </w:t>
      </w:r>
      <w:r w:rsidR="001C6D88">
        <w:rPr>
          <w:color w:val="000000" w:themeColor="text1"/>
          <w:sz w:val="24"/>
          <w:szCs w:val="24"/>
        </w:rPr>
        <w:t xml:space="preserve">From these opinions it shows </w:t>
      </w:r>
      <w:r w:rsidR="00BE419B" w:rsidRPr="00BE419B">
        <w:rPr>
          <w:i/>
          <w:color w:val="000000" w:themeColor="text1"/>
          <w:sz w:val="24"/>
          <w:szCs w:val="24"/>
        </w:rPr>
        <w:t>inter alia</w:t>
      </w:r>
      <w:r w:rsidR="00BE419B">
        <w:rPr>
          <w:color w:val="000000" w:themeColor="text1"/>
          <w:sz w:val="24"/>
          <w:szCs w:val="24"/>
        </w:rPr>
        <w:t xml:space="preserve"> </w:t>
      </w:r>
      <w:r w:rsidR="001C6D88">
        <w:rPr>
          <w:color w:val="000000" w:themeColor="text1"/>
          <w:sz w:val="24"/>
          <w:szCs w:val="24"/>
        </w:rPr>
        <w:t xml:space="preserve">that the mere fact that the mechanism is in the form of a public court system rather than private arbitration does not bar it from being found contrary to EU law. </w:t>
      </w:r>
      <w:r w:rsidR="00DB6A8D">
        <w:rPr>
          <w:color w:val="000000" w:themeColor="text1"/>
          <w:sz w:val="24"/>
          <w:szCs w:val="24"/>
        </w:rPr>
        <w:t xml:space="preserve">Belgium </w:t>
      </w:r>
      <w:r w:rsidR="00FB37E9">
        <w:rPr>
          <w:color w:val="000000" w:themeColor="text1"/>
          <w:sz w:val="24"/>
          <w:szCs w:val="24"/>
        </w:rPr>
        <w:t xml:space="preserve">will ask the CJEU for its opinion on ICS notably in the light of Opinion 1/94 in which the competence </w:t>
      </w:r>
      <w:r w:rsidR="00FB37E9" w:rsidRPr="00FB37E9">
        <w:rPr>
          <w:color w:val="000000" w:themeColor="text1"/>
          <w:sz w:val="24"/>
          <w:szCs w:val="24"/>
        </w:rPr>
        <w:t>to conclude international agreements concerning services and the protection of intellectual property</w:t>
      </w:r>
      <w:r w:rsidR="00FB37E9">
        <w:rPr>
          <w:color w:val="000000" w:themeColor="text1"/>
          <w:sz w:val="24"/>
          <w:szCs w:val="24"/>
        </w:rPr>
        <w:t xml:space="preserve"> was discussed.</w:t>
      </w:r>
    </w:p>
    <w:p w14:paraId="387B72BD" w14:textId="0EC97A6E" w:rsidR="00426AAC" w:rsidRDefault="00DB6A8D" w:rsidP="00D73158">
      <w:pPr>
        <w:spacing w:after="0" w:line="240" w:lineRule="auto"/>
        <w:jc w:val="both"/>
        <w:rPr>
          <w:color w:val="000000" w:themeColor="text1"/>
          <w:sz w:val="24"/>
          <w:szCs w:val="24"/>
        </w:rPr>
      </w:pPr>
      <w:r>
        <w:rPr>
          <w:color w:val="000000" w:themeColor="text1"/>
          <w:sz w:val="24"/>
          <w:szCs w:val="24"/>
        </w:rPr>
        <w:tab/>
        <w:t xml:space="preserve">One issue that featured in Opinions 1/91 and 2/13 was that the allocation of competences between the EU and its Member States to determine the respondent in a dispute cannot be transferred to an international dispute settlement body. </w:t>
      </w:r>
      <w:r w:rsidR="00973317" w:rsidRPr="00ED0973">
        <w:rPr>
          <w:color w:val="000000" w:themeColor="text1"/>
          <w:sz w:val="24"/>
          <w:szCs w:val="24"/>
        </w:rPr>
        <w:t xml:space="preserve">The new ICS provisions </w:t>
      </w:r>
      <w:r w:rsidR="00973317">
        <w:rPr>
          <w:color w:val="000000" w:themeColor="text1"/>
          <w:sz w:val="24"/>
          <w:szCs w:val="24"/>
        </w:rPr>
        <w:t>stipulate that the</w:t>
      </w:r>
      <w:r w:rsidR="00973317" w:rsidRPr="00ED0973">
        <w:rPr>
          <w:color w:val="000000" w:themeColor="text1"/>
          <w:sz w:val="24"/>
          <w:szCs w:val="24"/>
        </w:rPr>
        <w:t xml:space="preserve"> EU </w:t>
      </w:r>
      <w:r w:rsidR="00973317">
        <w:rPr>
          <w:color w:val="000000" w:themeColor="text1"/>
          <w:sz w:val="24"/>
          <w:szCs w:val="24"/>
        </w:rPr>
        <w:t>is to decide</w:t>
      </w:r>
      <w:r w:rsidR="00973317" w:rsidRPr="00ED0973">
        <w:rPr>
          <w:color w:val="000000" w:themeColor="text1"/>
          <w:sz w:val="24"/>
          <w:szCs w:val="24"/>
        </w:rPr>
        <w:t xml:space="preserve"> whether </w:t>
      </w:r>
      <w:r w:rsidR="00973317">
        <w:rPr>
          <w:color w:val="000000" w:themeColor="text1"/>
          <w:sz w:val="24"/>
          <w:szCs w:val="24"/>
        </w:rPr>
        <w:t xml:space="preserve">it will be respondent itself </w:t>
      </w:r>
      <w:r w:rsidR="00973317" w:rsidRPr="00ED0973">
        <w:rPr>
          <w:color w:val="000000" w:themeColor="text1"/>
          <w:sz w:val="24"/>
          <w:szCs w:val="24"/>
        </w:rPr>
        <w:t>or one of the Member States</w:t>
      </w:r>
      <w:r w:rsidR="00973317">
        <w:rPr>
          <w:color w:val="000000" w:themeColor="text1"/>
          <w:sz w:val="24"/>
          <w:szCs w:val="24"/>
        </w:rPr>
        <w:t xml:space="preserve"> (</w:t>
      </w:r>
      <w:r w:rsidR="00973317" w:rsidRPr="00ED0973">
        <w:rPr>
          <w:color w:val="000000" w:themeColor="text1"/>
          <w:sz w:val="24"/>
          <w:szCs w:val="24"/>
        </w:rPr>
        <w:t>article 8.21 CETA</w:t>
      </w:r>
      <w:r w:rsidR="00973317">
        <w:rPr>
          <w:color w:val="000000" w:themeColor="text1"/>
          <w:sz w:val="24"/>
          <w:szCs w:val="24"/>
        </w:rPr>
        <w:t>). This seems to warrant the</w:t>
      </w:r>
      <w:r w:rsidR="00973317" w:rsidRPr="00ED0973">
        <w:rPr>
          <w:color w:val="000000" w:themeColor="text1"/>
          <w:sz w:val="24"/>
          <w:szCs w:val="24"/>
        </w:rPr>
        <w:t xml:space="preserve"> exclusive competence of the C</w:t>
      </w:r>
      <w:r w:rsidR="00973317">
        <w:rPr>
          <w:color w:val="000000" w:themeColor="text1"/>
          <w:sz w:val="24"/>
          <w:szCs w:val="24"/>
        </w:rPr>
        <w:t>JEU on these issues</w:t>
      </w:r>
      <w:r w:rsidR="00973317" w:rsidRPr="00ED0973">
        <w:rPr>
          <w:color w:val="000000" w:themeColor="text1"/>
          <w:sz w:val="24"/>
          <w:szCs w:val="24"/>
        </w:rPr>
        <w:t>.</w:t>
      </w:r>
      <w:r w:rsidR="00973317">
        <w:rPr>
          <w:rStyle w:val="Voetnootmarkering"/>
          <w:color w:val="000000" w:themeColor="text1"/>
          <w:sz w:val="24"/>
          <w:szCs w:val="24"/>
        </w:rPr>
        <w:footnoteReference w:id="82"/>
      </w:r>
    </w:p>
    <w:p w14:paraId="59D0479F" w14:textId="77777777" w:rsidR="00D31DCE" w:rsidRDefault="00D31DCE" w:rsidP="00D82CC5">
      <w:pPr>
        <w:spacing w:after="0" w:line="240" w:lineRule="auto"/>
        <w:ind w:firstLine="720"/>
        <w:jc w:val="both"/>
        <w:rPr>
          <w:sz w:val="24"/>
          <w:szCs w:val="24"/>
        </w:rPr>
      </w:pPr>
      <w:r w:rsidRPr="00ED0973">
        <w:rPr>
          <w:sz w:val="24"/>
          <w:szCs w:val="24"/>
        </w:rPr>
        <w:lastRenderedPageBreak/>
        <w:t>Article 8.31 CETA accommodate</w:t>
      </w:r>
      <w:r>
        <w:rPr>
          <w:sz w:val="24"/>
          <w:szCs w:val="24"/>
        </w:rPr>
        <w:t>s</w:t>
      </w:r>
      <w:r w:rsidRPr="00ED0973">
        <w:rPr>
          <w:sz w:val="24"/>
          <w:szCs w:val="24"/>
        </w:rPr>
        <w:t xml:space="preserve"> concerns in this respect by determining that the Tribunal ‘shall not have jurisdiction to determine the legality of a measure, alleged to constitute a breach of this Agreement, under the domestic law of the disputing Party.’ At the same time, however, the provision allows the Tribunal tasked with determining the consistency of a measure with CETA to consider ‘the domestic law of the disputing Party as a matter of fact.’ In doing so, the Tribunal ‘shall follow the prevailing interpretation given to the domestic law by the courts or authorities of that Party and any meaning given to domestic law by the Tribunal shall not be binding upon the courts or the authorities of that Party.’</w:t>
      </w:r>
      <w:r w:rsidRPr="00ED0973">
        <w:rPr>
          <w:rStyle w:val="Voetnootmarkering"/>
          <w:sz w:val="24"/>
          <w:szCs w:val="24"/>
        </w:rPr>
        <w:footnoteReference w:id="83"/>
      </w:r>
      <w:r w:rsidRPr="00ED0973">
        <w:rPr>
          <w:sz w:val="24"/>
          <w:szCs w:val="24"/>
        </w:rPr>
        <w:t xml:space="preserve"> </w:t>
      </w:r>
      <w:r>
        <w:rPr>
          <w:color w:val="000000" w:themeColor="text1"/>
          <w:sz w:val="24"/>
          <w:szCs w:val="24"/>
        </w:rPr>
        <w:t xml:space="preserve">This provision seems </w:t>
      </w:r>
      <w:r w:rsidR="00D82CC5">
        <w:rPr>
          <w:color w:val="000000" w:themeColor="text1"/>
          <w:sz w:val="24"/>
          <w:szCs w:val="24"/>
        </w:rPr>
        <w:t>t</w:t>
      </w:r>
      <w:r>
        <w:rPr>
          <w:color w:val="000000" w:themeColor="text1"/>
          <w:sz w:val="24"/>
          <w:szCs w:val="24"/>
        </w:rPr>
        <w:t xml:space="preserve">o ensure that </w:t>
      </w:r>
      <w:r w:rsidR="00D82CC5">
        <w:rPr>
          <w:color w:val="000000" w:themeColor="text1"/>
          <w:sz w:val="24"/>
          <w:szCs w:val="24"/>
        </w:rPr>
        <w:t>t</w:t>
      </w:r>
      <w:r w:rsidR="00B63B89" w:rsidRPr="00ED0973">
        <w:rPr>
          <w:color w:val="000000" w:themeColor="text1"/>
          <w:sz w:val="24"/>
          <w:szCs w:val="24"/>
        </w:rPr>
        <w:t>he ICS</w:t>
      </w:r>
      <w:r>
        <w:rPr>
          <w:color w:val="000000" w:themeColor="text1"/>
          <w:sz w:val="24"/>
          <w:szCs w:val="24"/>
        </w:rPr>
        <w:t xml:space="preserve"> judges</w:t>
      </w:r>
      <w:r w:rsidR="00B63B89" w:rsidRPr="00ED0973">
        <w:rPr>
          <w:color w:val="000000" w:themeColor="text1"/>
          <w:sz w:val="24"/>
          <w:szCs w:val="24"/>
        </w:rPr>
        <w:t xml:space="preserve"> will </w:t>
      </w:r>
      <w:r w:rsidR="00D82CC5">
        <w:rPr>
          <w:color w:val="000000" w:themeColor="text1"/>
          <w:sz w:val="24"/>
          <w:szCs w:val="24"/>
        </w:rPr>
        <w:t xml:space="preserve">only </w:t>
      </w:r>
      <w:r w:rsidR="00B63B89" w:rsidRPr="00ED0973">
        <w:rPr>
          <w:color w:val="000000" w:themeColor="text1"/>
          <w:sz w:val="24"/>
          <w:szCs w:val="24"/>
        </w:rPr>
        <w:t>be interpreting the investor rights granted by the CETA, which form</w:t>
      </w:r>
      <w:r w:rsidR="00ED306D" w:rsidRPr="00ED0973">
        <w:rPr>
          <w:color w:val="000000" w:themeColor="text1"/>
          <w:sz w:val="24"/>
          <w:szCs w:val="24"/>
        </w:rPr>
        <w:t>s</w:t>
      </w:r>
      <w:r w:rsidR="00B63B89" w:rsidRPr="00ED0973">
        <w:rPr>
          <w:color w:val="000000" w:themeColor="text1"/>
          <w:sz w:val="24"/>
          <w:szCs w:val="24"/>
        </w:rPr>
        <w:t xml:space="preserve"> an integral part of the </w:t>
      </w:r>
      <w:r w:rsidR="00ED306D" w:rsidRPr="00ED0973">
        <w:rPr>
          <w:color w:val="000000" w:themeColor="text1"/>
          <w:sz w:val="24"/>
          <w:szCs w:val="24"/>
        </w:rPr>
        <w:t>EU legal order.</w:t>
      </w:r>
      <w:r w:rsidR="00D732E1" w:rsidRPr="00ED0973">
        <w:rPr>
          <w:color w:val="000000" w:themeColor="text1"/>
          <w:sz w:val="24"/>
          <w:szCs w:val="24"/>
        </w:rPr>
        <w:t xml:space="preserve"> In itself, this can be compatible with EU law as long a</w:t>
      </w:r>
      <w:r w:rsidR="00EA16F0">
        <w:rPr>
          <w:color w:val="000000" w:themeColor="text1"/>
          <w:sz w:val="24"/>
          <w:szCs w:val="24"/>
        </w:rPr>
        <w:t>s, in</w:t>
      </w:r>
      <w:r w:rsidR="001048E8" w:rsidRPr="00ED0973">
        <w:rPr>
          <w:color w:val="000000" w:themeColor="text1"/>
          <w:sz w:val="24"/>
          <w:szCs w:val="24"/>
        </w:rPr>
        <w:t xml:space="preserve"> the </w:t>
      </w:r>
      <w:r w:rsidR="00EA16F0">
        <w:rPr>
          <w:color w:val="000000" w:themeColor="text1"/>
          <w:sz w:val="24"/>
          <w:szCs w:val="24"/>
        </w:rPr>
        <w:t>words of the CJEU</w:t>
      </w:r>
      <w:r w:rsidR="001048E8" w:rsidRPr="00ED0973">
        <w:rPr>
          <w:color w:val="000000" w:themeColor="text1"/>
          <w:sz w:val="24"/>
          <w:szCs w:val="24"/>
        </w:rPr>
        <w:t>, the inte</w:t>
      </w:r>
      <w:r w:rsidR="00EA16F0">
        <w:rPr>
          <w:color w:val="000000" w:themeColor="text1"/>
          <w:sz w:val="24"/>
          <w:szCs w:val="24"/>
        </w:rPr>
        <w:t>rnational agreement in which the dispute settlement regime</w:t>
      </w:r>
      <w:r w:rsidR="001048E8" w:rsidRPr="00ED0973">
        <w:rPr>
          <w:color w:val="000000" w:themeColor="text1"/>
          <w:sz w:val="24"/>
          <w:szCs w:val="24"/>
        </w:rPr>
        <w:t xml:space="preserve"> is </w:t>
      </w:r>
      <w:r w:rsidR="00BC5E2B" w:rsidRPr="00ED0973">
        <w:rPr>
          <w:color w:val="000000" w:themeColor="text1"/>
          <w:sz w:val="24"/>
          <w:szCs w:val="24"/>
        </w:rPr>
        <w:t xml:space="preserve">laid down is </w:t>
      </w:r>
      <w:r w:rsidR="00B63B89" w:rsidRPr="00ED0973">
        <w:rPr>
          <w:color w:val="000000" w:themeColor="text1"/>
          <w:sz w:val="24"/>
          <w:szCs w:val="24"/>
        </w:rPr>
        <w:t xml:space="preserve">designed ‘in essence, to resolve disputes on the </w:t>
      </w:r>
      <w:r w:rsidR="00BC5E2B" w:rsidRPr="00ED0973">
        <w:rPr>
          <w:color w:val="000000" w:themeColor="text1"/>
          <w:sz w:val="24"/>
          <w:szCs w:val="24"/>
        </w:rPr>
        <w:t>interpreta</w:t>
      </w:r>
      <w:r w:rsidR="00B63B89" w:rsidRPr="00ED0973">
        <w:rPr>
          <w:color w:val="000000" w:themeColor="text1"/>
          <w:sz w:val="24"/>
          <w:szCs w:val="24"/>
        </w:rPr>
        <w:t>tion or application of the actual provisions of the international agreements’</w:t>
      </w:r>
      <w:r w:rsidR="00BC5E2B" w:rsidRPr="00ED0973">
        <w:rPr>
          <w:color w:val="000000" w:themeColor="text1"/>
          <w:sz w:val="24"/>
          <w:szCs w:val="24"/>
        </w:rPr>
        <w:t>.</w:t>
      </w:r>
      <w:r w:rsidR="00090C1C" w:rsidRPr="00ED0973">
        <w:rPr>
          <w:rStyle w:val="Voetnootmarkering"/>
          <w:color w:val="000000" w:themeColor="text1"/>
          <w:sz w:val="24"/>
          <w:szCs w:val="24"/>
        </w:rPr>
        <w:footnoteReference w:id="84"/>
      </w:r>
      <w:r w:rsidR="00004C4F" w:rsidRPr="00ED0973">
        <w:rPr>
          <w:sz w:val="24"/>
          <w:szCs w:val="24"/>
        </w:rPr>
        <w:t xml:space="preserve"> </w:t>
      </w:r>
    </w:p>
    <w:p w14:paraId="204C9247" w14:textId="2395C9D0" w:rsidR="00EE46CD" w:rsidRPr="00D82CC5" w:rsidRDefault="00D31DCE" w:rsidP="00D82CC5">
      <w:pPr>
        <w:spacing w:after="0" w:line="240" w:lineRule="auto"/>
        <w:ind w:firstLine="720"/>
        <w:jc w:val="both"/>
        <w:rPr>
          <w:sz w:val="24"/>
          <w:szCs w:val="24"/>
        </w:rPr>
      </w:pPr>
      <w:r>
        <w:rPr>
          <w:sz w:val="24"/>
          <w:szCs w:val="24"/>
        </w:rPr>
        <w:t>Do</w:t>
      </w:r>
      <w:r w:rsidR="004B7BD4" w:rsidRPr="00ED0973">
        <w:rPr>
          <w:sz w:val="24"/>
          <w:szCs w:val="24"/>
        </w:rPr>
        <w:t xml:space="preserve"> these </w:t>
      </w:r>
      <w:r w:rsidR="00E73863" w:rsidRPr="00ED0973">
        <w:rPr>
          <w:sz w:val="24"/>
          <w:szCs w:val="24"/>
        </w:rPr>
        <w:t>provisions</w:t>
      </w:r>
      <w:r w:rsidR="002F41EB" w:rsidRPr="00ED0973">
        <w:rPr>
          <w:sz w:val="24"/>
          <w:szCs w:val="24"/>
        </w:rPr>
        <w:t xml:space="preserve"> </w:t>
      </w:r>
      <w:r>
        <w:rPr>
          <w:sz w:val="24"/>
          <w:szCs w:val="24"/>
        </w:rPr>
        <w:t xml:space="preserve">really </w:t>
      </w:r>
      <w:r w:rsidR="00E73863" w:rsidRPr="00ED0973">
        <w:rPr>
          <w:sz w:val="24"/>
          <w:szCs w:val="24"/>
        </w:rPr>
        <w:t xml:space="preserve">suffice to </w:t>
      </w:r>
      <w:r w:rsidR="002B7EB0" w:rsidRPr="00ED0973">
        <w:rPr>
          <w:sz w:val="24"/>
          <w:szCs w:val="24"/>
        </w:rPr>
        <w:t xml:space="preserve">conclude that </w:t>
      </w:r>
      <w:r w:rsidR="00C1134C" w:rsidRPr="00ED0973">
        <w:rPr>
          <w:sz w:val="24"/>
          <w:szCs w:val="24"/>
        </w:rPr>
        <w:t xml:space="preserve">the ICS will not interfere with the </w:t>
      </w:r>
      <w:r w:rsidR="004B7BD4" w:rsidRPr="00ED0973">
        <w:rPr>
          <w:sz w:val="24"/>
          <w:szCs w:val="24"/>
        </w:rPr>
        <w:t>autonomy of the EU legal order?</w:t>
      </w:r>
      <w:r w:rsidR="00BB0703" w:rsidRPr="00ED0973">
        <w:rPr>
          <w:sz w:val="24"/>
          <w:szCs w:val="24"/>
        </w:rPr>
        <w:t xml:space="preserve"> </w:t>
      </w:r>
      <w:r w:rsidR="008848B3" w:rsidRPr="00ED0973">
        <w:rPr>
          <w:sz w:val="24"/>
          <w:szCs w:val="24"/>
        </w:rPr>
        <w:t xml:space="preserve">Or could the ICS still deprive </w:t>
      </w:r>
      <w:r w:rsidR="00EA16F0">
        <w:rPr>
          <w:sz w:val="24"/>
          <w:szCs w:val="24"/>
        </w:rPr>
        <w:t>Member States’ courts</w:t>
      </w:r>
      <w:r w:rsidR="00BB0703" w:rsidRPr="00ED0973">
        <w:rPr>
          <w:sz w:val="24"/>
          <w:szCs w:val="24"/>
        </w:rPr>
        <w:t xml:space="preserve"> of their powers in relation to the</w:t>
      </w:r>
      <w:r w:rsidR="008848B3" w:rsidRPr="00ED0973">
        <w:rPr>
          <w:sz w:val="24"/>
          <w:szCs w:val="24"/>
        </w:rPr>
        <w:t xml:space="preserve"> interpretation </w:t>
      </w:r>
      <w:r w:rsidR="003F7B2D" w:rsidRPr="00ED0973">
        <w:rPr>
          <w:sz w:val="24"/>
          <w:szCs w:val="24"/>
        </w:rPr>
        <w:t xml:space="preserve">and application of </w:t>
      </w:r>
      <w:r w:rsidR="002F41EB" w:rsidRPr="00ED0973">
        <w:rPr>
          <w:sz w:val="24"/>
          <w:szCs w:val="24"/>
        </w:rPr>
        <w:t>EU</w:t>
      </w:r>
      <w:r w:rsidR="00EA16F0">
        <w:rPr>
          <w:sz w:val="24"/>
          <w:szCs w:val="24"/>
        </w:rPr>
        <w:t xml:space="preserve"> rules</w:t>
      </w:r>
      <w:r w:rsidR="003F7B2D" w:rsidRPr="00ED0973">
        <w:rPr>
          <w:sz w:val="24"/>
          <w:szCs w:val="24"/>
        </w:rPr>
        <w:t>, which are presumably relevant in the arbitral proceeding</w:t>
      </w:r>
      <w:r w:rsidR="00091625" w:rsidRPr="00ED0973">
        <w:rPr>
          <w:sz w:val="24"/>
          <w:szCs w:val="24"/>
        </w:rPr>
        <w:t>?</w:t>
      </w:r>
      <w:r w:rsidR="00091625" w:rsidRPr="00ED0973">
        <w:rPr>
          <w:rStyle w:val="Voetnootmarkering"/>
          <w:sz w:val="24"/>
          <w:szCs w:val="24"/>
        </w:rPr>
        <w:footnoteReference w:id="85"/>
      </w:r>
      <w:r w:rsidR="00753713" w:rsidRPr="00ED0973">
        <w:rPr>
          <w:sz w:val="24"/>
          <w:szCs w:val="24"/>
        </w:rPr>
        <w:t xml:space="preserve"> </w:t>
      </w:r>
      <w:r w:rsidR="00753713" w:rsidRPr="00CA115A">
        <w:rPr>
          <w:sz w:val="24"/>
          <w:szCs w:val="24"/>
          <w:lang w:val="fr-FR"/>
        </w:rPr>
        <w:t xml:space="preserve">Declaring that the ICS is merely </w:t>
      </w:r>
      <w:r w:rsidR="00B341FB" w:rsidRPr="00CA115A">
        <w:rPr>
          <w:sz w:val="24"/>
          <w:szCs w:val="24"/>
          <w:lang w:val="fr-FR"/>
        </w:rPr>
        <w:t>considering EU law as a matter of fac</w:t>
      </w:r>
      <w:r w:rsidR="00EA16F0" w:rsidRPr="00CA115A">
        <w:rPr>
          <w:sz w:val="24"/>
          <w:szCs w:val="24"/>
          <w:lang w:val="fr-FR"/>
        </w:rPr>
        <w:t>t resembles the</w:t>
      </w:r>
      <w:r w:rsidR="002B16B5">
        <w:rPr>
          <w:sz w:val="24"/>
          <w:szCs w:val="24"/>
          <w:lang w:val="fr-FR"/>
        </w:rPr>
        <w:t xml:space="preserve"> unlikely</w:t>
      </w:r>
      <w:r w:rsidR="00EA16F0" w:rsidRPr="00CA115A">
        <w:rPr>
          <w:sz w:val="24"/>
          <w:szCs w:val="24"/>
          <w:lang w:val="fr-FR"/>
        </w:rPr>
        <w:t xml:space="preserve"> idea that a judge</w:t>
      </w:r>
      <w:r w:rsidR="00B341FB" w:rsidRPr="00CA115A">
        <w:rPr>
          <w:sz w:val="24"/>
          <w:szCs w:val="24"/>
          <w:lang w:val="fr-FR"/>
        </w:rPr>
        <w:t xml:space="preserve"> </w:t>
      </w:r>
      <w:r w:rsidR="006E19E5" w:rsidRPr="00CA115A">
        <w:rPr>
          <w:sz w:val="24"/>
          <w:szCs w:val="24"/>
          <w:lang w:val="fr-FR"/>
        </w:rPr>
        <w:t xml:space="preserve">can mechanically </w:t>
      </w:r>
      <w:r w:rsidR="00B472EC" w:rsidRPr="00CA115A">
        <w:rPr>
          <w:sz w:val="24"/>
          <w:szCs w:val="24"/>
          <w:lang w:val="fr-FR"/>
        </w:rPr>
        <w:t>function</w:t>
      </w:r>
      <w:r w:rsidR="00B472EC" w:rsidRPr="00E07780">
        <w:rPr>
          <w:sz w:val="24"/>
          <w:szCs w:val="24"/>
          <w:lang w:val="fr-FR"/>
        </w:rPr>
        <w:t xml:space="preserve"> as</w:t>
      </w:r>
      <w:r w:rsidR="00F92F3A" w:rsidRPr="00E07780">
        <w:rPr>
          <w:sz w:val="24"/>
          <w:szCs w:val="24"/>
          <w:lang w:val="fr-FR"/>
        </w:rPr>
        <w:t xml:space="preserve"> </w:t>
      </w:r>
      <w:r w:rsidR="00F92F3A" w:rsidRPr="00EA16F0">
        <w:rPr>
          <w:sz w:val="24"/>
          <w:szCs w:val="24"/>
          <w:lang w:val="fr-FR"/>
        </w:rPr>
        <w:t>‘</w:t>
      </w:r>
      <w:r w:rsidR="00EA16F0">
        <w:rPr>
          <w:sz w:val="24"/>
          <w:szCs w:val="24"/>
          <w:lang w:val="fr-FR"/>
        </w:rPr>
        <w:t>la</w:t>
      </w:r>
      <w:r w:rsidR="00B472EC" w:rsidRPr="00EA16F0">
        <w:rPr>
          <w:sz w:val="24"/>
          <w:szCs w:val="24"/>
          <w:lang w:val="fr-FR"/>
        </w:rPr>
        <w:t xml:space="preserve"> </w:t>
      </w:r>
      <w:r w:rsidR="00EA16F0">
        <w:rPr>
          <w:sz w:val="24"/>
          <w:szCs w:val="24"/>
          <w:lang w:val="fr-FR"/>
        </w:rPr>
        <w:t>bouche</w:t>
      </w:r>
      <w:r w:rsidR="003C5967" w:rsidRPr="00EA16F0">
        <w:rPr>
          <w:sz w:val="24"/>
          <w:szCs w:val="24"/>
          <w:lang w:val="fr-FR"/>
        </w:rPr>
        <w:t xml:space="preserve"> qui </w:t>
      </w:r>
      <w:r w:rsidR="00862834" w:rsidRPr="00EA16F0">
        <w:rPr>
          <w:sz w:val="24"/>
          <w:szCs w:val="24"/>
          <w:lang w:val="fr-FR"/>
        </w:rPr>
        <w:t xml:space="preserve">prononce </w:t>
      </w:r>
      <w:r w:rsidR="00F92F3A" w:rsidRPr="00EA16F0">
        <w:rPr>
          <w:sz w:val="24"/>
          <w:szCs w:val="24"/>
          <w:lang w:val="fr-FR"/>
        </w:rPr>
        <w:t>le</w:t>
      </w:r>
      <w:r w:rsidR="00B004A2" w:rsidRPr="00EA16F0">
        <w:rPr>
          <w:sz w:val="24"/>
          <w:szCs w:val="24"/>
          <w:lang w:val="fr-FR"/>
        </w:rPr>
        <w:t>s</w:t>
      </w:r>
      <w:r w:rsidR="00F92F3A" w:rsidRPr="00EA16F0">
        <w:rPr>
          <w:sz w:val="24"/>
          <w:szCs w:val="24"/>
          <w:lang w:val="fr-FR"/>
        </w:rPr>
        <w:t xml:space="preserve"> </w:t>
      </w:r>
      <w:r w:rsidR="00EA16F0">
        <w:rPr>
          <w:sz w:val="24"/>
          <w:szCs w:val="24"/>
          <w:lang w:val="fr-FR"/>
        </w:rPr>
        <w:t xml:space="preserve">paroles de la </w:t>
      </w:r>
      <w:r w:rsidR="00F92F3A" w:rsidRPr="00EA16F0">
        <w:rPr>
          <w:sz w:val="24"/>
          <w:szCs w:val="24"/>
          <w:lang w:val="fr-FR"/>
        </w:rPr>
        <w:t>lo</w:t>
      </w:r>
      <w:r w:rsidR="00EA16F0">
        <w:rPr>
          <w:sz w:val="24"/>
          <w:szCs w:val="24"/>
          <w:lang w:val="fr-FR"/>
        </w:rPr>
        <w:t>i</w:t>
      </w:r>
      <w:r w:rsidR="0012347F">
        <w:rPr>
          <w:sz w:val="24"/>
          <w:szCs w:val="24"/>
          <w:lang w:val="fr-FR"/>
        </w:rPr>
        <w:t>; des êtres inanimés qui ne peuvent modérer ni la force ni la rigueur</w:t>
      </w:r>
      <w:r w:rsidR="008A03B3">
        <w:rPr>
          <w:sz w:val="24"/>
          <w:szCs w:val="24"/>
          <w:lang w:val="fr-FR"/>
        </w:rPr>
        <w:t>’</w:t>
      </w:r>
      <w:r w:rsidR="00CF2EC3">
        <w:rPr>
          <w:sz w:val="24"/>
          <w:szCs w:val="24"/>
          <w:lang w:val="fr-FR"/>
        </w:rPr>
        <w:t xml:space="preserve"> (</w:t>
      </w:r>
      <w:r w:rsidR="008A03B3">
        <w:rPr>
          <w:sz w:val="24"/>
          <w:szCs w:val="24"/>
          <w:lang w:val="fr-FR"/>
        </w:rPr>
        <w:t>‘</w:t>
      </w:r>
      <w:r w:rsidR="00CF2EC3">
        <w:rPr>
          <w:sz w:val="24"/>
          <w:szCs w:val="24"/>
          <w:lang w:val="fr-FR"/>
        </w:rPr>
        <w:t>the mouth that</w:t>
      </w:r>
      <w:r w:rsidR="00B60AE0">
        <w:rPr>
          <w:sz w:val="24"/>
          <w:szCs w:val="24"/>
          <w:lang w:val="fr-FR"/>
        </w:rPr>
        <w:t xml:space="preserve"> pronounces the words of the law;</w:t>
      </w:r>
      <w:r w:rsidR="00D50DA0">
        <w:rPr>
          <w:sz w:val="24"/>
          <w:szCs w:val="24"/>
          <w:lang w:val="fr-FR"/>
        </w:rPr>
        <w:t xml:space="preserve"> </w:t>
      </w:r>
      <w:r w:rsidR="00B46B2C">
        <w:rPr>
          <w:sz w:val="24"/>
          <w:szCs w:val="24"/>
          <w:lang w:val="fr-FR"/>
        </w:rPr>
        <w:t xml:space="preserve">unconscious </w:t>
      </w:r>
      <w:r w:rsidR="00D50DA0">
        <w:rPr>
          <w:sz w:val="24"/>
          <w:szCs w:val="24"/>
          <w:lang w:val="fr-FR"/>
        </w:rPr>
        <w:t xml:space="preserve">beings </w:t>
      </w:r>
      <w:r w:rsidR="008500CC">
        <w:rPr>
          <w:sz w:val="24"/>
          <w:szCs w:val="24"/>
          <w:lang w:val="fr-FR"/>
        </w:rPr>
        <w:t>t</w:t>
      </w:r>
      <w:r w:rsidR="00E001D9">
        <w:rPr>
          <w:sz w:val="24"/>
          <w:szCs w:val="24"/>
          <w:lang w:val="fr-FR"/>
        </w:rPr>
        <w:t>hat can neither</w:t>
      </w:r>
      <w:r w:rsidR="008500CC">
        <w:rPr>
          <w:sz w:val="24"/>
          <w:szCs w:val="24"/>
          <w:lang w:val="fr-FR"/>
        </w:rPr>
        <w:t xml:space="preserve"> change the</w:t>
      </w:r>
      <w:r w:rsidR="00E001D9">
        <w:rPr>
          <w:sz w:val="24"/>
          <w:szCs w:val="24"/>
          <w:lang w:val="fr-FR"/>
        </w:rPr>
        <w:t xml:space="preserve"> strenght nor the</w:t>
      </w:r>
      <w:r w:rsidR="00FC2EC5">
        <w:rPr>
          <w:sz w:val="24"/>
          <w:szCs w:val="24"/>
          <w:lang w:val="fr-FR"/>
        </w:rPr>
        <w:t xml:space="preserve"> strictness</w:t>
      </w:r>
      <w:r w:rsidR="008A03B3">
        <w:rPr>
          <w:sz w:val="24"/>
          <w:szCs w:val="24"/>
          <w:lang w:val="fr-FR"/>
        </w:rPr>
        <w:t>’</w:t>
      </w:r>
      <w:r w:rsidR="00E35EFF">
        <w:rPr>
          <w:sz w:val="24"/>
          <w:szCs w:val="24"/>
          <w:lang w:val="fr-FR"/>
        </w:rPr>
        <w:t>)</w:t>
      </w:r>
      <w:r w:rsidR="002B16B5">
        <w:rPr>
          <w:sz w:val="24"/>
          <w:szCs w:val="24"/>
          <w:lang w:val="fr-FR"/>
        </w:rPr>
        <w:t>.</w:t>
      </w:r>
      <w:r w:rsidR="00271984" w:rsidRPr="00ED0973">
        <w:rPr>
          <w:rStyle w:val="Voetnootmarkering"/>
          <w:sz w:val="24"/>
          <w:szCs w:val="24"/>
          <w:lang w:val="fr-FR"/>
        </w:rPr>
        <w:footnoteReference w:id="86"/>
      </w:r>
      <w:r w:rsidR="002F6CF7" w:rsidRPr="00E07780">
        <w:rPr>
          <w:sz w:val="24"/>
          <w:szCs w:val="24"/>
          <w:lang w:val="fr-FR"/>
        </w:rPr>
        <w:t xml:space="preserve"> </w:t>
      </w:r>
      <w:r w:rsidR="0012347F">
        <w:rPr>
          <w:sz w:val="24"/>
          <w:szCs w:val="24"/>
        </w:rPr>
        <w:t xml:space="preserve">In practice, ICS judges </w:t>
      </w:r>
      <w:r w:rsidR="00DF6524" w:rsidRPr="00ED0973">
        <w:rPr>
          <w:sz w:val="24"/>
          <w:szCs w:val="24"/>
        </w:rPr>
        <w:t>deter</w:t>
      </w:r>
      <w:r w:rsidR="0012347F">
        <w:rPr>
          <w:sz w:val="24"/>
          <w:szCs w:val="24"/>
        </w:rPr>
        <w:t>mining</w:t>
      </w:r>
      <w:r w:rsidR="00435748" w:rsidRPr="00ED0973">
        <w:rPr>
          <w:sz w:val="24"/>
          <w:szCs w:val="24"/>
        </w:rPr>
        <w:t xml:space="preserve"> whether, for instance, FET rules were violated by an EU host state</w:t>
      </w:r>
      <w:r w:rsidR="001C7432">
        <w:rPr>
          <w:sz w:val="24"/>
          <w:szCs w:val="24"/>
        </w:rPr>
        <w:t xml:space="preserve">, </w:t>
      </w:r>
      <w:r w:rsidR="00602D71" w:rsidRPr="00ED0973">
        <w:rPr>
          <w:sz w:val="24"/>
          <w:szCs w:val="24"/>
        </w:rPr>
        <w:t xml:space="preserve">can take a violation of </w:t>
      </w:r>
      <w:r w:rsidR="00A8303D" w:rsidRPr="00ED0973">
        <w:rPr>
          <w:sz w:val="24"/>
          <w:szCs w:val="24"/>
        </w:rPr>
        <w:t>EU law</w:t>
      </w:r>
      <w:r w:rsidR="00602D71" w:rsidRPr="00ED0973">
        <w:rPr>
          <w:sz w:val="24"/>
          <w:szCs w:val="24"/>
        </w:rPr>
        <w:t xml:space="preserve"> into account</w:t>
      </w:r>
      <w:r w:rsidR="00355DF4" w:rsidRPr="00ED0973">
        <w:rPr>
          <w:sz w:val="24"/>
          <w:szCs w:val="24"/>
        </w:rPr>
        <w:t>.</w:t>
      </w:r>
      <w:r w:rsidR="008F45A6" w:rsidRPr="00ED0973">
        <w:rPr>
          <w:rStyle w:val="Voetnootmarkering"/>
          <w:sz w:val="24"/>
          <w:szCs w:val="24"/>
        </w:rPr>
        <w:footnoteReference w:id="87"/>
      </w:r>
      <w:r w:rsidR="00355DF4" w:rsidRPr="00ED0973">
        <w:rPr>
          <w:sz w:val="24"/>
          <w:szCs w:val="24"/>
        </w:rPr>
        <w:t xml:space="preserve"> It seems hard or impossible </w:t>
      </w:r>
      <w:r w:rsidR="000E6DAE" w:rsidRPr="00ED0973">
        <w:rPr>
          <w:sz w:val="24"/>
          <w:szCs w:val="24"/>
        </w:rPr>
        <w:t xml:space="preserve">to arrive at a conclusion on </w:t>
      </w:r>
      <w:r w:rsidR="001C7432">
        <w:rPr>
          <w:sz w:val="24"/>
          <w:szCs w:val="24"/>
        </w:rPr>
        <w:t>such a matter without pronouncing an interpretation of EU law</w:t>
      </w:r>
      <w:r w:rsidR="00A8303D" w:rsidRPr="00ED0973">
        <w:rPr>
          <w:sz w:val="24"/>
          <w:szCs w:val="24"/>
        </w:rPr>
        <w:t>.</w:t>
      </w:r>
      <w:r w:rsidR="0070137D" w:rsidRPr="00ED0973">
        <w:rPr>
          <w:rStyle w:val="Voetnootmarkering"/>
          <w:sz w:val="24"/>
          <w:szCs w:val="24"/>
        </w:rPr>
        <w:footnoteReference w:id="88"/>
      </w:r>
    </w:p>
    <w:p w14:paraId="60D415CB" w14:textId="0C0E7C6E" w:rsidR="00BF3C0C" w:rsidRDefault="00570635" w:rsidP="00DD4DB0">
      <w:pPr>
        <w:pStyle w:val="Kop2"/>
        <w:ind w:firstLine="720"/>
        <w:jc w:val="both"/>
        <w:rPr>
          <w:color w:val="000000" w:themeColor="text1"/>
          <w:sz w:val="24"/>
          <w:szCs w:val="24"/>
        </w:rPr>
      </w:pPr>
      <w:r>
        <w:rPr>
          <w:rFonts w:asciiTheme="minorHAnsi" w:hAnsiTheme="minorHAnsi"/>
          <w:color w:val="000000" w:themeColor="text1"/>
          <w:sz w:val="24"/>
          <w:szCs w:val="24"/>
        </w:rPr>
        <w:lastRenderedPageBreak/>
        <w:t>The Commission and other proponents of the trade agreements time and time again stressed that t</w:t>
      </w:r>
      <w:r w:rsidR="731A9F31" w:rsidRPr="00ED0973">
        <w:rPr>
          <w:rFonts w:asciiTheme="minorHAnsi" w:hAnsiTheme="minorHAnsi"/>
          <w:color w:val="000000" w:themeColor="text1"/>
          <w:sz w:val="24"/>
          <w:szCs w:val="24"/>
        </w:rPr>
        <w:t>he right to regulate</w:t>
      </w:r>
      <w:r>
        <w:rPr>
          <w:rFonts w:asciiTheme="minorHAnsi" w:hAnsiTheme="minorHAnsi"/>
          <w:color w:val="000000" w:themeColor="text1"/>
          <w:sz w:val="24"/>
          <w:szCs w:val="24"/>
        </w:rPr>
        <w:t xml:space="preserve"> is protected. </w:t>
      </w:r>
      <w:r w:rsidR="00687CD5">
        <w:rPr>
          <w:rFonts w:asciiTheme="minorHAnsi" w:hAnsiTheme="minorHAnsi"/>
          <w:color w:val="000000" w:themeColor="text1"/>
          <w:sz w:val="24"/>
          <w:szCs w:val="24"/>
        </w:rPr>
        <w:t xml:space="preserve">The fact </w:t>
      </w:r>
      <w:r w:rsidR="00C726E3">
        <w:rPr>
          <w:rFonts w:asciiTheme="minorHAnsi" w:hAnsiTheme="minorHAnsi"/>
          <w:color w:val="000000" w:themeColor="text1"/>
          <w:sz w:val="24"/>
          <w:szCs w:val="24"/>
        </w:rPr>
        <w:t xml:space="preserve">remains </w:t>
      </w:r>
      <w:r w:rsidR="00687CD5">
        <w:rPr>
          <w:rFonts w:asciiTheme="minorHAnsi" w:hAnsiTheme="minorHAnsi"/>
          <w:color w:val="000000" w:themeColor="text1"/>
          <w:sz w:val="24"/>
          <w:szCs w:val="24"/>
        </w:rPr>
        <w:t xml:space="preserve">that arbiters nevertheless can pronounce legislation to be in violation of the </w:t>
      </w:r>
      <w:r w:rsidR="00C726E3">
        <w:rPr>
          <w:rFonts w:asciiTheme="minorHAnsi" w:hAnsiTheme="minorHAnsi"/>
          <w:color w:val="000000" w:themeColor="text1"/>
          <w:sz w:val="24"/>
          <w:szCs w:val="24"/>
        </w:rPr>
        <w:t xml:space="preserve">agreement’s </w:t>
      </w:r>
      <w:r w:rsidR="00CA2678">
        <w:rPr>
          <w:rFonts w:asciiTheme="minorHAnsi" w:hAnsiTheme="minorHAnsi"/>
          <w:color w:val="000000" w:themeColor="text1"/>
          <w:sz w:val="24"/>
          <w:szCs w:val="24"/>
        </w:rPr>
        <w:t>pro</w:t>
      </w:r>
      <w:r w:rsidR="00231E69">
        <w:rPr>
          <w:rFonts w:asciiTheme="minorHAnsi" w:hAnsiTheme="minorHAnsi"/>
          <w:color w:val="000000" w:themeColor="text1"/>
          <w:sz w:val="24"/>
          <w:szCs w:val="24"/>
        </w:rPr>
        <w:t xml:space="preserve">visions. </w:t>
      </w:r>
      <w:r w:rsidR="003075C2" w:rsidRPr="00ED0973">
        <w:rPr>
          <w:color w:val="000000" w:themeColor="text1"/>
          <w:sz w:val="24"/>
          <w:szCs w:val="24"/>
        </w:rPr>
        <w:t>In</w:t>
      </w:r>
      <w:r w:rsidR="00A96A5E" w:rsidRPr="00ED0973">
        <w:rPr>
          <w:color w:val="000000" w:themeColor="text1"/>
          <w:sz w:val="24"/>
          <w:szCs w:val="24"/>
        </w:rPr>
        <w:t xml:space="preserve"> the CETA</w:t>
      </w:r>
      <w:r w:rsidR="00A8702A" w:rsidRPr="00ED0973">
        <w:rPr>
          <w:color w:val="000000" w:themeColor="text1"/>
          <w:sz w:val="24"/>
          <w:szCs w:val="24"/>
        </w:rPr>
        <w:t>,</w:t>
      </w:r>
      <w:r w:rsidR="003075C2" w:rsidRPr="00ED0973">
        <w:rPr>
          <w:color w:val="000000" w:themeColor="text1"/>
          <w:sz w:val="24"/>
          <w:szCs w:val="24"/>
        </w:rPr>
        <w:t xml:space="preserve"> it is explained that </w:t>
      </w:r>
      <w:r w:rsidR="00A8702A" w:rsidRPr="00ED0973">
        <w:rPr>
          <w:color w:val="000000" w:themeColor="text1"/>
          <w:sz w:val="24"/>
          <w:szCs w:val="24"/>
        </w:rPr>
        <w:t>for the purpose of the Investment Chapter 8, “the Parties reaffirm their right to regulate within their territories to achieve legitimate policy objectives, such as the protection of public health, safety, the environment or public morals, social or consumer protection”.</w:t>
      </w:r>
      <w:r w:rsidR="00A96A5E" w:rsidRPr="00ED0973">
        <w:rPr>
          <w:rStyle w:val="Voetnootmarkering"/>
          <w:color w:val="000000" w:themeColor="text1"/>
          <w:sz w:val="24"/>
          <w:szCs w:val="24"/>
        </w:rPr>
        <w:footnoteReference w:id="89"/>
      </w:r>
      <w:r w:rsidR="00A8702A" w:rsidRPr="00ED0973">
        <w:rPr>
          <w:color w:val="000000" w:themeColor="text1"/>
          <w:sz w:val="24"/>
          <w:szCs w:val="24"/>
        </w:rPr>
        <w:t xml:space="preserve"> The TTIP</w:t>
      </w:r>
      <w:r w:rsidR="003075C2" w:rsidRPr="00ED0973">
        <w:rPr>
          <w:color w:val="000000" w:themeColor="text1"/>
          <w:sz w:val="24"/>
          <w:szCs w:val="24"/>
        </w:rPr>
        <w:t xml:space="preserve"> proposal of the EU </w:t>
      </w:r>
      <w:r w:rsidR="000D7E6B" w:rsidRPr="00ED0973">
        <w:rPr>
          <w:color w:val="000000" w:themeColor="text1"/>
          <w:sz w:val="24"/>
          <w:szCs w:val="24"/>
        </w:rPr>
        <w:t>contains</w:t>
      </w:r>
      <w:r w:rsidR="003075C2" w:rsidRPr="00ED0973">
        <w:rPr>
          <w:color w:val="000000" w:themeColor="text1"/>
          <w:sz w:val="24"/>
          <w:szCs w:val="24"/>
        </w:rPr>
        <w:t xml:space="preserve"> </w:t>
      </w:r>
      <w:r w:rsidR="00A8702A" w:rsidRPr="00ED0973">
        <w:rPr>
          <w:color w:val="000000" w:themeColor="text1"/>
          <w:sz w:val="24"/>
          <w:szCs w:val="24"/>
        </w:rPr>
        <w:t>a similar provision, but i</w:t>
      </w:r>
      <w:r w:rsidR="000D7E6B" w:rsidRPr="00ED0973">
        <w:rPr>
          <w:color w:val="000000" w:themeColor="text1"/>
          <w:sz w:val="24"/>
          <w:szCs w:val="24"/>
        </w:rPr>
        <w:t>nterestingly enough it</w:t>
      </w:r>
      <w:r w:rsidR="00A8702A" w:rsidRPr="00ED0973">
        <w:rPr>
          <w:color w:val="000000" w:themeColor="text1"/>
          <w:sz w:val="24"/>
          <w:szCs w:val="24"/>
        </w:rPr>
        <w:t xml:space="preserve"> raises the hurdle higher for the regulator by asserting “the right of the Parties to regulate within their territories through measures </w:t>
      </w:r>
      <w:r w:rsidR="00A8702A" w:rsidRPr="00ED0973">
        <w:rPr>
          <w:i/>
          <w:iCs/>
          <w:color w:val="000000" w:themeColor="text1"/>
          <w:sz w:val="24"/>
          <w:szCs w:val="24"/>
        </w:rPr>
        <w:t>necessary</w:t>
      </w:r>
      <w:r w:rsidR="00A8702A" w:rsidRPr="00ED0973">
        <w:rPr>
          <w:color w:val="000000" w:themeColor="text1"/>
          <w:sz w:val="24"/>
          <w:szCs w:val="24"/>
        </w:rPr>
        <w:t xml:space="preserve"> to achieve legitimate policy objectives”.</w:t>
      </w:r>
      <w:r w:rsidR="00A8702A" w:rsidRPr="00ED0973">
        <w:rPr>
          <w:rStyle w:val="Voetnootmarkering"/>
          <w:color w:val="000000" w:themeColor="text1"/>
          <w:sz w:val="24"/>
          <w:szCs w:val="24"/>
        </w:rPr>
        <w:footnoteReference w:id="90"/>
      </w:r>
      <w:r w:rsidR="00A8702A" w:rsidRPr="00ED0973">
        <w:rPr>
          <w:color w:val="000000" w:themeColor="text1"/>
          <w:sz w:val="24"/>
          <w:szCs w:val="24"/>
        </w:rPr>
        <w:t xml:space="preserve"> </w:t>
      </w:r>
      <w:r w:rsidR="00570DDB" w:rsidRPr="00ED0973">
        <w:rPr>
          <w:color w:val="000000" w:themeColor="text1"/>
          <w:sz w:val="24"/>
          <w:szCs w:val="24"/>
        </w:rPr>
        <w:t>T</w:t>
      </w:r>
      <w:r w:rsidR="00A96A5E" w:rsidRPr="00ED0973">
        <w:rPr>
          <w:color w:val="000000" w:themeColor="text1"/>
          <w:sz w:val="24"/>
          <w:szCs w:val="24"/>
        </w:rPr>
        <w:t xml:space="preserve">he same chapter does set out that the Parties must </w:t>
      </w:r>
      <w:r w:rsidR="00570DDB" w:rsidRPr="00ED0973">
        <w:rPr>
          <w:color w:val="000000" w:themeColor="text1"/>
          <w:sz w:val="24"/>
          <w:szCs w:val="24"/>
        </w:rPr>
        <w:t>accord foreign investors ‘fair and equitable treatment’ in accordance with a number of stipulations.</w:t>
      </w:r>
      <w:r w:rsidR="00570DDB" w:rsidRPr="00ED0973">
        <w:rPr>
          <w:rStyle w:val="Voetnootmarkering"/>
          <w:color w:val="000000" w:themeColor="text1"/>
          <w:sz w:val="24"/>
          <w:szCs w:val="24"/>
        </w:rPr>
        <w:footnoteReference w:id="91"/>
      </w:r>
    </w:p>
    <w:p w14:paraId="204C9252" w14:textId="3A9E9B07" w:rsidR="00A739C8" w:rsidRDefault="002F553B" w:rsidP="00BF3C0C">
      <w:pPr>
        <w:spacing w:line="240" w:lineRule="auto"/>
        <w:ind w:firstLine="720"/>
        <w:jc w:val="both"/>
        <w:rPr>
          <w:color w:val="000000" w:themeColor="text1"/>
          <w:sz w:val="24"/>
          <w:szCs w:val="24"/>
        </w:rPr>
      </w:pPr>
      <w:r>
        <w:rPr>
          <w:color w:val="000000" w:themeColor="text1"/>
          <w:sz w:val="24"/>
          <w:szCs w:val="24"/>
        </w:rPr>
        <w:t>As for CETA</w:t>
      </w:r>
      <w:r w:rsidR="00B00EC4" w:rsidRPr="00ED0973">
        <w:rPr>
          <w:color w:val="000000" w:themeColor="text1"/>
          <w:sz w:val="24"/>
          <w:szCs w:val="24"/>
        </w:rPr>
        <w:t xml:space="preserve">, where non-discriminatory measures adopted for a public purpose under due process of law are concerned, art. 8.12(1) </w:t>
      </w:r>
      <w:r w:rsidR="000D7E6B" w:rsidRPr="00ED0973">
        <w:rPr>
          <w:color w:val="000000" w:themeColor="text1"/>
          <w:sz w:val="24"/>
          <w:szCs w:val="24"/>
        </w:rPr>
        <w:t xml:space="preserve">CETA </w:t>
      </w:r>
      <w:r w:rsidR="00E573BA" w:rsidRPr="00ED0973">
        <w:rPr>
          <w:color w:val="000000" w:themeColor="text1"/>
          <w:sz w:val="24"/>
          <w:szCs w:val="24"/>
        </w:rPr>
        <w:t xml:space="preserve">still </w:t>
      </w:r>
      <w:r w:rsidR="00B00EC4" w:rsidRPr="00ED0973">
        <w:rPr>
          <w:color w:val="000000" w:themeColor="text1"/>
          <w:sz w:val="24"/>
          <w:szCs w:val="24"/>
        </w:rPr>
        <w:t xml:space="preserve">obliges the payment of “prompt, adequate and effective compensation” to foreign investors when these measures have an equivalent effect to nationalisation. </w:t>
      </w:r>
      <w:r w:rsidR="00E573BA" w:rsidRPr="00ED0973">
        <w:rPr>
          <w:color w:val="000000" w:themeColor="text1"/>
          <w:sz w:val="24"/>
          <w:szCs w:val="24"/>
        </w:rPr>
        <w:t>The good news is that in an annex it is explained that “non-discriminatory measures of a Party that are designed and applied to protect legitimate public welfare objectives, such as health, safety and the environment, do not con</w:t>
      </w:r>
      <w:r w:rsidR="00A96A5E" w:rsidRPr="00ED0973">
        <w:rPr>
          <w:color w:val="000000" w:themeColor="text1"/>
          <w:sz w:val="24"/>
          <w:szCs w:val="24"/>
        </w:rPr>
        <w:t>stitute indirect expropriations</w:t>
      </w:r>
      <w:r w:rsidR="00E573BA" w:rsidRPr="00ED0973">
        <w:rPr>
          <w:color w:val="000000" w:themeColor="text1"/>
          <w:sz w:val="24"/>
          <w:szCs w:val="24"/>
        </w:rPr>
        <w:t>”</w:t>
      </w:r>
      <w:r w:rsidR="00A96A5E" w:rsidRPr="00ED0973">
        <w:rPr>
          <w:color w:val="000000" w:themeColor="text1"/>
          <w:sz w:val="24"/>
          <w:szCs w:val="24"/>
        </w:rPr>
        <w:t>,</w:t>
      </w:r>
      <w:r w:rsidR="00E573BA" w:rsidRPr="00ED0973">
        <w:rPr>
          <w:color w:val="000000" w:themeColor="text1"/>
          <w:sz w:val="24"/>
          <w:szCs w:val="24"/>
        </w:rPr>
        <w:t xml:space="preserve"> </w:t>
      </w:r>
      <w:r w:rsidR="00A96A5E" w:rsidRPr="00ED0973">
        <w:rPr>
          <w:color w:val="000000" w:themeColor="text1"/>
          <w:sz w:val="24"/>
          <w:szCs w:val="24"/>
        </w:rPr>
        <w:t xml:space="preserve">unless </w:t>
      </w:r>
      <w:r w:rsidR="00E573BA" w:rsidRPr="00ED0973">
        <w:rPr>
          <w:color w:val="000000" w:themeColor="text1"/>
          <w:sz w:val="24"/>
          <w:szCs w:val="24"/>
        </w:rPr>
        <w:t>“the impact of a measure or series of measures is so severe in light of its purpose that it appears manifestly excessive”.</w:t>
      </w:r>
      <w:r w:rsidR="00A96A5E" w:rsidRPr="00ED0973">
        <w:rPr>
          <w:rStyle w:val="Voetnootmarkering"/>
          <w:color w:val="000000" w:themeColor="text1"/>
          <w:sz w:val="24"/>
          <w:szCs w:val="24"/>
        </w:rPr>
        <w:footnoteReference w:id="92"/>
      </w:r>
      <w:r w:rsidR="00A96A5E" w:rsidRPr="00ED0973">
        <w:rPr>
          <w:color w:val="000000" w:themeColor="text1"/>
          <w:sz w:val="24"/>
          <w:szCs w:val="24"/>
        </w:rPr>
        <w:t xml:space="preserve"> </w:t>
      </w:r>
      <w:r w:rsidR="007943AF">
        <w:rPr>
          <w:color w:val="000000" w:themeColor="text1"/>
          <w:sz w:val="24"/>
          <w:szCs w:val="24"/>
        </w:rPr>
        <w:t>This provision is important as it enables governments to adopt non-discriminatory, proportionate measures regarding, for instance, public health in the form of rules on sale of tobacco products without</w:t>
      </w:r>
      <w:r w:rsidR="007E2DAC">
        <w:rPr>
          <w:color w:val="000000" w:themeColor="text1"/>
          <w:sz w:val="24"/>
          <w:szCs w:val="24"/>
        </w:rPr>
        <w:t xml:space="preserve"> – in principle -</w:t>
      </w:r>
      <w:r w:rsidR="007943AF">
        <w:rPr>
          <w:color w:val="000000" w:themeColor="text1"/>
          <w:sz w:val="24"/>
          <w:szCs w:val="24"/>
        </w:rPr>
        <w:t xml:space="preserve"> having to fear that </w:t>
      </w:r>
      <w:r w:rsidR="00760031">
        <w:rPr>
          <w:color w:val="000000" w:themeColor="text1"/>
          <w:sz w:val="24"/>
          <w:szCs w:val="24"/>
        </w:rPr>
        <w:t xml:space="preserve">such measures are </w:t>
      </w:r>
      <w:r w:rsidR="00DE6216">
        <w:rPr>
          <w:color w:val="000000" w:themeColor="text1"/>
          <w:sz w:val="24"/>
          <w:szCs w:val="24"/>
        </w:rPr>
        <w:t xml:space="preserve">judged to be in violation of the trade agreement. </w:t>
      </w:r>
      <w:r w:rsidR="00EB0BAB">
        <w:rPr>
          <w:color w:val="000000" w:themeColor="text1"/>
          <w:sz w:val="24"/>
          <w:szCs w:val="24"/>
        </w:rPr>
        <w:t>Instead of me</w:t>
      </w:r>
      <w:r w:rsidR="004D1BEA">
        <w:rPr>
          <w:color w:val="000000" w:themeColor="text1"/>
          <w:sz w:val="24"/>
          <w:szCs w:val="24"/>
        </w:rPr>
        <w:t xml:space="preserve">rely stating that states retain the right to regulate, this provision </w:t>
      </w:r>
      <w:r w:rsidR="0067291D">
        <w:rPr>
          <w:color w:val="000000" w:themeColor="text1"/>
          <w:sz w:val="24"/>
          <w:szCs w:val="24"/>
        </w:rPr>
        <w:t xml:space="preserve">actually </w:t>
      </w:r>
      <w:r w:rsidR="00A23818">
        <w:rPr>
          <w:color w:val="000000" w:themeColor="text1"/>
          <w:sz w:val="24"/>
          <w:szCs w:val="24"/>
        </w:rPr>
        <w:t>could ensure</w:t>
      </w:r>
      <w:r w:rsidR="0067291D">
        <w:rPr>
          <w:color w:val="000000" w:themeColor="text1"/>
          <w:sz w:val="24"/>
          <w:szCs w:val="24"/>
        </w:rPr>
        <w:t xml:space="preserve"> </w:t>
      </w:r>
      <w:r w:rsidR="00855350">
        <w:rPr>
          <w:color w:val="000000" w:themeColor="text1"/>
          <w:sz w:val="24"/>
          <w:szCs w:val="24"/>
        </w:rPr>
        <w:t xml:space="preserve">that this right does not </w:t>
      </w:r>
      <w:r w:rsidR="00A35B19">
        <w:rPr>
          <w:color w:val="000000" w:themeColor="text1"/>
          <w:sz w:val="24"/>
          <w:szCs w:val="24"/>
        </w:rPr>
        <w:t>form</w:t>
      </w:r>
      <w:r w:rsidR="00855350">
        <w:rPr>
          <w:color w:val="000000" w:themeColor="text1"/>
          <w:sz w:val="24"/>
          <w:szCs w:val="24"/>
        </w:rPr>
        <w:t xml:space="preserve"> an empty shell.</w:t>
      </w:r>
    </w:p>
    <w:p w14:paraId="6D9E76F0" w14:textId="1DC025BF" w:rsidR="00183EF3" w:rsidRPr="00CD0840" w:rsidRDefault="00241B81" w:rsidP="00CD0840">
      <w:pPr>
        <w:widowControl w:val="0"/>
        <w:autoSpaceDE w:val="0"/>
        <w:autoSpaceDN w:val="0"/>
        <w:adjustRightInd w:val="0"/>
        <w:spacing w:after="0" w:line="240" w:lineRule="auto"/>
        <w:ind w:firstLine="720"/>
        <w:jc w:val="both"/>
        <w:rPr>
          <w:rFonts w:cs="Georgia"/>
          <w:color w:val="000000" w:themeColor="text1"/>
          <w:sz w:val="24"/>
          <w:szCs w:val="24"/>
        </w:rPr>
      </w:pPr>
      <w:r>
        <w:rPr>
          <w:rFonts w:eastAsia="Georgia" w:cs="Georgia"/>
          <w:color w:val="000000" w:themeColor="text1"/>
          <w:sz w:val="24"/>
          <w:szCs w:val="24"/>
        </w:rPr>
        <w:t>The provision is largely in line with</w:t>
      </w:r>
      <w:r w:rsidR="00183EF3" w:rsidRPr="00ED0973">
        <w:rPr>
          <w:rFonts w:eastAsia="Georgia" w:cs="Georgia"/>
          <w:color w:val="000000" w:themeColor="text1"/>
          <w:sz w:val="24"/>
          <w:szCs w:val="24"/>
        </w:rPr>
        <w:t xml:space="preserve"> UNCTAD’s Investment Policy Framework for Sustainable Development, launched in 2012 and updated in 2015, </w:t>
      </w:r>
      <w:r w:rsidR="008F75C8">
        <w:rPr>
          <w:rFonts w:eastAsia="Georgia" w:cs="Georgia"/>
          <w:color w:val="000000" w:themeColor="text1"/>
          <w:sz w:val="24"/>
          <w:szCs w:val="24"/>
        </w:rPr>
        <w:t xml:space="preserve">which </w:t>
      </w:r>
      <w:r w:rsidR="00183EF3" w:rsidRPr="00ED0973">
        <w:rPr>
          <w:rFonts w:eastAsia="Georgia" w:cs="Georgia"/>
          <w:color w:val="000000" w:themeColor="text1"/>
          <w:sz w:val="24"/>
          <w:szCs w:val="24"/>
        </w:rPr>
        <w:t>is intended to serve as a reference point for policymakers in formulating new investment policies.</w:t>
      </w:r>
      <w:r w:rsidR="00183EF3" w:rsidRPr="00ED0973">
        <w:rPr>
          <w:rStyle w:val="Voetnootmarkering"/>
          <w:rFonts w:eastAsia="Georgia" w:cs="Georgia"/>
          <w:color w:val="000000" w:themeColor="text1"/>
          <w:sz w:val="24"/>
          <w:szCs w:val="24"/>
        </w:rPr>
        <w:footnoteReference w:id="93"/>
      </w:r>
      <w:r w:rsidR="00183EF3" w:rsidRPr="00ED0973">
        <w:rPr>
          <w:rFonts w:eastAsia="Georgia" w:cs="Georgia"/>
          <w:color w:val="000000" w:themeColor="text1"/>
          <w:sz w:val="24"/>
          <w:szCs w:val="24"/>
        </w:rPr>
        <w:t xml:space="preserve"> The </w:t>
      </w:r>
      <w:r w:rsidR="008F75C8">
        <w:rPr>
          <w:rFonts w:eastAsia="Georgia" w:cs="Georgia"/>
          <w:color w:val="000000" w:themeColor="text1"/>
          <w:sz w:val="24"/>
          <w:szCs w:val="24"/>
        </w:rPr>
        <w:t>framework</w:t>
      </w:r>
      <w:r w:rsidR="00183EF3" w:rsidRPr="00ED0973">
        <w:rPr>
          <w:rFonts w:eastAsia="Georgia" w:cs="Georgia"/>
          <w:color w:val="000000" w:themeColor="text1"/>
          <w:sz w:val="24"/>
          <w:szCs w:val="24"/>
        </w:rPr>
        <w:t xml:space="preserve"> stresses that a balance is to be achieved between the rights of investors a</w:t>
      </w:r>
      <w:r w:rsidR="008F75C8">
        <w:rPr>
          <w:rFonts w:eastAsia="Georgia" w:cs="Georgia"/>
          <w:color w:val="000000" w:themeColor="text1"/>
          <w:sz w:val="24"/>
          <w:szCs w:val="24"/>
        </w:rPr>
        <w:t xml:space="preserve">nd that of the host state, and </w:t>
      </w:r>
      <w:r w:rsidR="00CD0840">
        <w:rPr>
          <w:rFonts w:eastAsia="Georgia" w:cs="Georgia"/>
          <w:color w:val="000000" w:themeColor="text1"/>
          <w:sz w:val="24"/>
          <w:szCs w:val="24"/>
        </w:rPr>
        <w:t xml:space="preserve">as </w:t>
      </w:r>
      <w:r w:rsidR="00183EF3" w:rsidRPr="00ED0973">
        <w:rPr>
          <w:rFonts w:eastAsia="Georgia" w:cs="Georgia"/>
          <w:color w:val="000000" w:themeColor="text1"/>
          <w:sz w:val="24"/>
          <w:szCs w:val="24"/>
        </w:rPr>
        <w:t>one of the options to achieve this, it is set out that it may be appropriate to exclude from a treaty's scope specific areas of public policy.</w:t>
      </w:r>
      <w:r w:rsidR="00183EF3" w:rsidRPr="00ED0973">
        <w:rPr>
          <w:rStyle w:val="Voetnootmarkering"/>
          <w:rFonts w:eastAsia="Georgia" w:cs="Georgia"/>
          <w:color w:val="000000" w:themeColor="text1"/>
          <w:sz w:val="24"/>
          <w:szCs w:val="24"/>
        </w:rPr>
        <w:footnoteReference w:id="94"/>
      </w:r>
    </w:p>
    <w:p w14:paraId="787E9E7F" w14:textId="59560C19" w:rsidR="0048632D" w:rsidRPr="00BA7FC3" w:rsidRDefault="00A35B19" w:rsidP="000526C4">
      <w:pPr>
        <w:spacing w:line="240" w:lineRule="auto"/>
        <w:ind w:firstLine="720"/>
        <w:jc w:val="both"/>
        <w:rPr>
          <w:color w:val="000000" w:themeColor="text1"/>
          <w:sz w:val="24"/>
          <w:szCs w:val="24"/>
        </w:rPr>
      </w:pPr>
      <w:r>
        <w:rPr>
          <w:color w:val="000000" w:themeColor="text1"/>
          <w:sz w:val="24"/>
          <w:szCs w:val="24"/>
        </w:rPr>
        <w:t xml:space="preserve">Without such </w:t>
      </w:r>
      <w:r w:rsidR="006119A2">
        <w:rPr>
          <w:color w:val="000000" w:themeColor="text1"/>
          <w:sz w:val="24"/>
          <w:szCs w:val="24"/>
        </w:rPr>
        <w:t xml:space="preserve">detailed </w:t>
      </w:r>
      <w:r w:rsidR="00C76952">
        <w:rPr>
          <w:color w:val="000000" w:themeColor="text1"/>
          <w:sz w:val="24"/>
          <w:szCs w:val="24"/>
        </w:rPr>
        <w:t xml:space="preserve">provisions, in the past </w:t>
      </w:r>
      <w:r w:rsidR="000D7E6B" w:rsidRPr="00ED0973">
        <w:rPr>
          <w:color w:val="000000" w:themeColor="text1"/>
          <w:sz w:val="24"/>
          <w:szCs w:val="24"/>
        </w:rPr>
        <w:t>the right to regulate was severely limited</w:t>
      </w:r>
      <w:r w:rsidR="00C76952">
        <w:rPr>
          <w:color w:val="000000" w:themeColor="text1"/>
          <w:sz w:val="24"/>
          <w:szCs w:val="24"/>
        </w:rPr>
        <w:t xml:space="preserve"> in practice</w:t>
      </w:r>
      <w:r w:rsidR="000D7E6B" w:rsidRPr="00ED0973">
        <w:rPr>
          <w:color w:val="000000" w:themeColor="text1"/>
          <w:sz w:val="24"/>
          <w:szCs w:val="24"/>
        </w:rPr>
        <w:t xml:space="preserve">. </w:t>
      </w:r>
      <w:r w:rsidR="006E6E35" w:rsidRPr="00ED0973">
        <w:rPr>
          <w:color w:val="000000" w:themeColor="text1"/>
          <w:sz w:val="24"/>
          <w:szCs w:val="24"/>
        </w:rPr>
        <w:t xml:space="preserve">Art. 1114 NAFTA (Environmental Measures) sets out that nothing in the Investment Chapter shall be construed to “prevent a Party from adopting, maintaining or enforcing any measure otherwise consistent with this Chapter that it considers appropriate to ensure that investment activity in its territory is undertaken in a manner sensitive to environmental concerns.” That right to regulate provision did not stand in the way of an award of $16,7 million in the case of the US company Metalclad against Mexico when it was </w:t>
      </w:r>
      <w:r w:rsidR="006E6E35" w:rsidRPr="00ED0973">
        <w:rPr>
          <w:color w:val="000000" w:themeColor="text1"/>
          <w:sz w:val="24"/>
          <w:szCs w:val="24"/>
        </w:rPr>
        <w:lastRenderedPageBreak/>
        <w:t>not allowed to start the operation of a hazardous waste landfill site that it had constructed.</w:t>
      </w:r>
      <w:bookmarkStart w:id="4" w:name="_Ref462696738"/>
      <w:r w:rsidR="006E6E35" w:rsidRPr="00ED0973">
        <w:rPr>
          <w:rStyle w:val="Voetnootmarkering"/>
          <w:color w:val="000000" w:themeColor="text1"/>
          <w:sz w:val="24"/>
          <w:szCs w:val="24"/>
        </w:rPr>
        <w:footnoteReference w:id="95"/>
      </w:r>
      <w:bookmarkEnd w:id="4"/>
      <w:r w:rsidR="006E6E35" w:rsidRPr="00ED0973">
        <w:rPr>
          <w:color w:val="000000" w:themeColor="text1"/>
          <w:sz w:val="24"/>
          <w:szCs w:val="24"/>
        </w:rPr>
        <w:t xml:space="preserve">  </w:t>
      </w:r>
      <w:r w:rsidR="006E6E35">
        <w:rPr>
          <w:color w:val="000000" w:themeColor="text1"/>
          <w:sz w:val="24"/>
          <w:szCs w:val="24"/>
        </w:rPr>
        <w:t xml:space="preserve">Nor did Art. 1114 NAFTA </w:t>
      </w:r>
      <w:r w:rsidR="006E6E35" w:rsidRPr="00ED0973">
        <w:rPr>
          <w:color w:val="000000" w:themeColor="text1"/>
          <w:sz w:val="24"/>
          <w:szCs w:val="24"/>
        </w:rPr>
        <w:t>prevent an award of €5.6 million to the US waste treatment company S.D. Meyers that complained about a Canadian ban on the export of PCBs. This was judged to form a violation of the minimum standards of treatment foreign investors must be provided under NAFTA.</w:t>
      </w:r>
      <w:r w:rsidR="006E6E35" w:rsidRPr="00ED0973">
        <w:rPr>
          <w:rStyle w:val="Voetnootmarkering"/>
          <w:color w:val="000000" w:themeColor="text1"/>
          <w:sz w:val="24"/>
          <w:szCs w:val="24"/>
        </w:rPr>
        <w:footnoteReference w:id="96"/>
      </w:r>
      <w:r w:rsidR="009D5908">
        <w:rPr>
          <w:color w:val="000000" w:themeColor="text1"/>
          <w:sz w:val="24"/>
          <w:szCs w:val="24"/>
        </w:rPr>
        <w:t xml:space="preserve"> </w:t>
      </w:r>
      <w:r w:rsidR="006119A2">
        <w:rPr>
          <w:color w:val="000000" w:themeColor="text1"/>
          <w:sz w:val="24"/>
          <w:szCs w:val="24"/>
        </w:rPr>
        <w:t>Also under NAFTA</w:t>
      </w:r>
      <w:r w:rsidR="000D7E6B" w:rsidRPr="00ED0973">
        <w:rPr>
          <w:color w:val="000000" w:themeColor="text1"/>
          <w:sz w:val="24"/>
          <w:szCs w:val="24"/>
        </w:rPr>
        <w:t>, Canada payed</w:t>
      </w:r>
      <w:r w:rsidR="00C76952">
        <w:rPr>
          <w:color w:val="000000" w:themeColor="text1"/>
          <w:sz w:val="24"/>
          <w:szCs w:val="24"/>
        </w:rPr>
        <w:t xml:space="preserve"> the</w:t>
      </w:r>
      <w:r w:rsidR="000D7E6B" w:rsidRPr="00ED0973">
        <w:rPr>
          <w:color w:val="000000" w:themeColor="text1"/>
          <w:sz w:val="24"/>
          <w:szCs w:val="24"/>
        </w:rPr>
        <w:t xml:space="preserve"> Ethyl Corporation $13 million in an out-of-court settlement based on a challenge to Canada’s restrictions on the gasoline additive MMT.</w:t>
      </w:r>
      <w:r w:rsidR="000D7E6B" w:rsidRPr="00ED0973">
        <w:rPr>
          <w:rStyle w:val="Voetnootmarkering"/>
          <w:color w:val="000000" w:themeColor="text1"/>
          <w:sz w:val="24"/>
          <w:szCs w:val="24"/>
        </w:rPr>
        <w:footnoteReference w:id="97"/>
      </w:r>
      <w:r w:rsidR="000D7E6B" w:rsidRPr="00ED0973">
        <w:rPr>
          <w:color w:val="000000" w:themeColor="text1"/>
          <w:sz w:val="24"/>
          <w:szCs w:val="24"/>
        </w:rPr>
        <w:t xml:space="preserve"> The sam</w:t>
      </w:r>
      <w:r w:rsidR="00C76952">
        <w:rPr>
          <w:color w:val="000000" w:themeColor="text1"/>
          <w:sz w:val="24"/>
          <w:szCs w:val="24"/>
        </w:rPr>
        <w:t>e substance is banned in the EU</w:t>
      </w:r>
      <w:r w:rsidR="001D5DB8" w:rsidRPr="00ED0973">
        <w:rPr>
          <w:color w:val="000000" w:themeColor="text1"/>
          <w:sz w:val="24"/>
          <w:szCs w:val="24"/>
        </w:rPr>
        <w:t xml:space="preserve"> </w:t>
      </w:r>
      <w:r w:rsidR="000D7E6B" w:rsidRPr="00ED0973">
        <w:rPr>
          <w:color w:val="000000" w:themeColor="text1"/>
          <w:sz w:val="24"/>
          <w:szCs w:val="24"/>
        </w:rPr>
        <w:t>– with th</w:t>
      </w:r>
      <w:r w:rsidR="001D5DB8" w:rsidRPr="00ED0973">
        <w:rPr>
          <w:color w:val="000000" w:themeColor="text1"/>
          <w:sz w:val="24"/>
          <w:szCs w:val="24"/>
        </w:rPr>
        <w:t>e ECJ rejecting claims attacking</w:t>
      </w:r>
      <w:r w:rsidR="000D7E6B" w:rsidRPr="00ED0973">
        <w:rPr>
          <w:color w:val="000000" w:themeColor="text1"/>
          <w:sz w:val="24"/>
          <w:szCs w:val="24"/>
        </w:rPr>
        <w:t xml:space="preserve"> the validity of this measure.</w:t>
      </w:r>
      <w:r w:rsidR="000D7E6B" w:rsidRPr="00ED0973">
        <w:rPr>
          <w:rStyle w:val="Voetnootmarkering"/>
          <w:color w:val="000000" w:themeColor="text1"/>
          <w:sz w:val="24"/>
          <w:szCs w:val="24"/>
        </w:rPr>
        <w:footnoteReference w:id="98"/>
      </w:r>
      <w:r w:rsidR="001D5DB8" w:rsidRPr="00ED0973">
        <w:rPr>
          <w:color w:val="000000" w:themeColor="text1"/>
          <w:sz w:val="24"/>
          <w:szCs w:val="24"/>
        </w:rPr>
        <w:t xml:space="preserve"> </w:t>
      </w:r>
      <w:r w:rsidR="009D5908">
        <w:rPr>
          <w:color w:val="000000" w:themeColor="text1"/>
          <w:sz w:val="24"/>
          <w:szCs w:val="24"/>
        </w:rPr>
        <w:t xml:space="preserve">Last but not least, in the Digby Neck case </w:t>
      </w:r>
      <w:r w:rsidR="00656D75" w:rsidRPr="00ED0973">
        <w:rPr>
          <w:color w:val="000000" w:themeColor="text1"/>
          <w:sz w:val="24"/>
          <w:szCs w:val="24"/>
        </w:rPr>
        <w:t>Canadian authorities did not approve of the re-opening of a quarry in line with an environmental</w:t>
      </w:r>
      <w:r w:rsidR="007A3DAF">
        <w:rPr>
          <w:color w:val="000000" w:themeColor="text1"/>
          <w:sz w:val="24"/>
          <w:szCs w:val="24"/>
        </w:rPr>
        <w:t xml:space="preserve"> impact assessment. T</w:t>
      </w:r>
      <w:r w:rsidR="00656D75" w:rsidRPr="00ED0973">
        <w:rPr>
          <w:color w:val="000000" w:themeColor="text1"/>
          <w:sz w:val="24"/>
          <w:szCs w:val="24"/>
        </w:rPr>
        <w:t>his was judged to be a violation of the fair and equitable treatment provision in</w:t>
      </w:r>
      <w:r w:rsidR="00656D75">
        <w:rPr>
          <w:color w:val="000000" w:themeColor="text1"/>
          <w:sz w:val="24"/>
          <w:szCs w:val="24"/>
        </w:rPr>
        <w:t xml:space="preserve"> NAFTA by the majority of the arbiters.</w:t>
      </w:r>
      <w:r w:rsidR="00656D75" w:rsidRPr="00ED0973">
        <w:rPr>
          <w:color w:val="000000" w:themeColor="text1"/>
          <w:sz w:val="24"/>
          <w:szCs w:val="24"/>
          <w:vertAlign w:val="superscript"/>
        </w:rPr>
        <w:footnoteReference w:id="99"/>
      </w:r>
      <w:r w:rsidR="00656D75" w:rsidRPr="00ED0973">
        <w:rPr>
          <w:color w:val="000000" w:themeColor="text1"/>
          <w:sz w:val="24"/>
          <w:szCs w:val="24"/>
        </w:rPr>
        <w:t xml:space="preserve"> The dissenting arbiter called this decision “a remarkable step backwards in environmental protection.”</w:t>
      </w:r>
      <w:r w:rsidR="0048632D" w:rsidRPr="00ED0973">
        <w:rPr>
          <w:color w:val="000000" w:themeColor="text1"/>
          <w:sz w:val="24"/>
          <w:szCs w:val="24"/>
          <w:vertAlign w:val="superscript"/>
        </w:rPr>
        <w:footnoteReference w:id="100"/>
      </w:r>
    </w:p>
    <w:p w14:paraId="28AA5C89" w14:textId="2A6C34A4" w:rsidR="0040504A" w:rsidRDefault="0040504A" w:rsidP="00120452">
      <w:pPr>
        <w:widowControl w:val="0"/>
        <w:autoSpaceDE w:val="0"/>
        <w:autoSpaceDN w:val="0"/>
        <w:adjustRightInd w:val="0"/>
        <w:spacing w:after="0" w:line="240" w:lineRule="auto"/>
        <w:ind w:firstLine="720"/>
        <w:jc w:val="both"/>
        <w:rPr>
          <w:rFonts w:eastAsia="ArialMT" w:cs="ArialMT"/>
          <w:color w:val="000000" w:themeColor="text1"/>
          <w:sz w:val="24"/>
          <w:szCs w:val="24"/>
        </w:rPr>
      </w:pPr>
      <w:r>
        <w:rPr>
          <w:color w:val="000000" w:themeColor="text1"/>
          <w:sz w:val="24"/>
          <w:szCs w:val="24"/>
        </w:rPr>
        <w:t xml:space="preserve">The academics critical to ISDS/ICS extensively discussed </w:t>
      </w:r>
      <w:r w:rsidRPr="00ED0973">
        <w:rPr>
          <w:color w:val="000000" w:themeColor="text1"/>
          <w:sz w:val="24"/>
          <w:szCs w:val="24"/>
        </w:rPr>
        <w:t>the EU objectives a</w:t>
      </w:r>
      <w:r w:rsidR="00D227FF">
        <w:rPr>
          <w:color w:val="000000" w:themeColor="text1"/>
          <w:sz w:val="24"/>
          <w:szCs w:val="24"/>
        </w:rPr>
        <w:t>nd approach regarding FET</w:t>
      </w:r>
      <w:r w:rsidR="00735CFB">
        <w:rPr>
          <w:color w:val="000000" w:themeColor="text1"/>
          <w:sz w:val="24"/>
          <w:szCs w:val="24"/>
        </w:rPr>
        <w:t xml:space="preserve"> under the TTIP</w:t>
      </w:r>
      <w:r w:rsidR="00D227FF">
        <w:rPr>
          <w:color w:val="000000" w:themeColor="text1"/>
          <w:sz w:val="24"/>
          <w:szCs w:val="24"/>
        </w:rPr>
        <w:t xml:space="preserve">. They underline that the </w:t>
      </w:r>
      <w:r w:rsidRPr="00ED0973">
        <w:rPr>
          <w:color w:val="000000" w:themeColor="text1"/>
          <w:sz w:val="24"/>
          <w:szCs w:val="24"/>
        </w:rPr>
        <w:t>main objective of the EU is to clarify the standard, in particular by incorporating key lessons learned from case-law</w:t>
      </w:r>
      <w:r w:rsidR="007A2C8F">
        <w:rPr>
          <w:color w:val="000000" w:themeColor="text1"/>
          <w:sz w:val="24"/>
          <w:szCs w:val="24"/>
        </w:rPr>
        <w:t xml:space="preserve">, and in this manner </w:t>
      </w:r>
      <w:r w:rsidRPr="00ED0973">
        <w:rPr>
          <w:color w:val="000000" w:themeColor="text1"/>
          <w:sz w:val="24"/>
          <w:szCs w:val="24"/>
        </w:rPr>
        <w:t xml:space="preserve">eliminate uncertainty for both states and investors. </w:t>
      </w:r>
      <w:r w:rsidR="00120452">
        <w:rPr>
          <w:color w:val="000000" w:themeColor="text1"/>
          <w:sz w:val="24"/>
          <w:szCs w:val="24"/>
        </w:rPr>
        <w:t>In this way,</w:t>
      </w:r>
      <w:r w:rsidRPr="00ED0973">
        <w:rPr>
          <w:color w:val="000000" w:themeColor="text1"/>
          <w:sz w:val="24"/>
          <w:szCs w:val="24"/>
        </w:rPr>
        <w:t xml:space="preserve"> a state could </w:t>
      </w:r>
      <w:r w:rsidR="005F087F">
        <w:rPr>
          <w:color w:val="000000" w:themeColor="text1"/>
          <w:sz w:val="24"/>
          <w:szCs w:val="24"/>
        </w:rPr>
        <w:t xml:space="preserve">only </w:t>
      </w:r>
      <w:r w:rsidRPr="00ED0973">
        <w:rPr>
          <w:color w:val="000000" w:themeColor="text1"/>
          <w:sz w:val="24"/>
          <w:szCs w:val="24"/>
        </w:rPr>
        <w:t>be held responsible for a b</w:t>
      </w:r>
      <w:r w:rsidR="005F087F">
        <w:rPr>
          <w:color w:val="000000" w:themeColor="text1"/>
          <w:sz w:val="24"/>
          <w:szCs w:val="24"/>
        </w:rPr>
        <w:t xml:space="preserve">reach of the FET </w:t>
      </w:r>
      <w:r w:rsidRPr="00ED0973">
        <w:rPr>
          <w:color w:val="000000" w:themeColor="text1"/>
          <w:sz w:val="24"/>
          <w:szCs w:val="24"/>
        </w:rPr>
        <w:t>obligation for breaches o</w:t>
      </w:r>
      <w:r w:rsidR="005F087F">
        <w:rPr>
          <w:color w:val="000000" w:themeColor="text1"/>
          <w:sz w:val="24"/>
          <w:szCs w:val="24"/>
        </w:rPr>
        <w:t>f a limited set of basic rights</w:t>
      </w:r>
      <w:r w:rsidRPr="00ED0973">
        <w:rPr>
          <w:color w:val="000000" w:themeColor="text1"/>
          <w:sz w:val="24"/>
          <w:szCs w:val="24"/>
        </w:rPr>
        <w:t xml:space="preserve">: the denial of justice; the disregard of the fundamental principles of due process; manifest arbitrariness; targeted discrimination based on gender, race or religious belief; and abusive treatment, such as coercion, duress or harassment. </w:t>
      </w:r>
      <w:r w:rsidR="00735CFB">
        <w:rPr>
          <w:color w:val="000000" w:themeColor="text1"/>
          <w:sz w:val="24"/>
          <w:szCs w:val="24"/>
        </w:rPr>
        <w:t>The</w:t>
      </w:r>
      <w:r w:rsidRPr="00ED0973">
        <w:rPr>
          <w:color w:val="000000" w:themeColor="text1"/>
          <w:sz w:val="24"/>
          <w:szCs w:val="24"/>
        </w:rPr>
        <w:t xml:space="preserve"> list </w:t>
      </w:r>
      <w:r w:rsidR="00735CFB">
        <w:rPr>
          <w:color w:val="000000" w:themeColor="text1"/>
          <w:sz w:val="24"/>
          <w:szCs w:val="24"/>
        </w:rPr>
        <w:t>can be</w:t>
      </w:r>
      <w:r w:rsidRPr="00ED0973">
        <w:rPr>
          <w:color w:val="000000" w:themeColor="text1"/>
          <w:sz w:val="24"/>
          <w:szCs w:val="24"/>
        </w:rPr>
        <w:t xml:space="preserve"> extended </w:t>
      </w:r>
      <w:r w:rsidR="004A19E2">
        <w:rPr>
          <w:color w:val="000000" w:themeColor="text1"/>
          <w:sz w:val="24"/>
          <w:szCs w:val="24"/>
        </w:rPr>
        <w:t xml:space="preserve">where the parties </w:t>
      </w:r>
      <w:r w:rsidRPr="00ED0973">
        <w:rPr>
          <w:color w:val="000000" w:themeColor="text1"/>
          <w:sz w:val="24"/>
          <w:szCs w:val="24"/>
        </w:rPr>
        <w:t xml:space="preserve">specifically agree to add such elements to the content of the standard, for instance where there is evidence that new elements of the standard have </w:t>
      </w:r>
      <w:r w:rsidR="004A19E2">
        <w:rPr>
          <w:color w:val="000000" w:themeColor="text1"/>
          <w:sz w:val="24"/>
          <w:szCs w:val="24"/>
        </w:rPr>
        <w:t>emerged from international law.</w:t>
      </w:r>
      <w:r w:rsidRPr="00ED0973">
        <w:rPr>
          <w:color w:val="000000" w:themeColor="text1"/>
          <w:sz w:val="24"/>
          <w:szCs w:val="24"/>
        </w:rPr>
        <w:t xml:space="preserve"> While subscribing to the need to curtail unwarranted interpretations of FET, the group of academics opposed the notion of introducing </w:t>
      </w:r>
      <w:r w:rsidRPr="00ED0973">
        <w:rPr>
          <w:rFonts w:eastAsia="ArialMT" w:cs="ArialMT"/>
          <w:color w:val="000000" w:themeColor="text1"/>
          <w:sz w:val="24"/>
          <w:szCs w:val="24"/>
        </w:rPr>
        <w:t xml:space="preserve">a closed list of basic obligations, and to insert a separate clause that purports to limit the doctrine of ‘legitimate expectations’ to instances where those expectations are generated by specific representations, which need not be in writing, made by the host state in order to induce the investment upon which the investor relied when making the investment. </w:t>
      </w:r>
      <w:r w:rsidR="00CC7696">
        <w:rPr>
          <w:rFonts w:eastAsia="ArialMT" w:cs="ArialMT"/>
          <w:color w:val="000000" w:themeColor="text1"/>
          <w:sz w:val="24"/>
          <w:szCs w:val="24"/>
        </w:rPr>
        <w:t>In their eyes, h</w:t>
      </w:r>
      <w:r w:rsidRPr="00ED0973">
        <w:rPr>
          <w:rFonts w:eastAsia="ArialMT" w:cs="ArialMT"/>
          <w:color w:val="000000" w:themeColor="text1"/>
          <w:sz w:val="24"/>
          <w:szCs w:val="24"/>
        </w:rPr>
        <w:t xml:space="preserve">istory suggests that the Commission’s approach is unlikely to have the desired effect. </w:t>
      </w:r>
      <w:r w:rsidR="006C47B3">
        <w:rPr>
          <w:rFonts w:eastAsia="ArialMT" w:cs="ArialMT"/>
          <w:color w:val="000000" w:themeColor="text1"/>
          <w:sz w:val="24"/>
          <w:szCs w:val="24"/>
        </w:rPr>
        <w:t>“</w:t>
      </w:r>
      <w:r w:rsidRPr="00ED0973">
        <w:rPr>
          <w:rFonts w:eastAsia="ArialMT" w:cs="ArialMT"/>
          <w:color w:val="000000" w:themeColor="text1"/>
          <w:sz w:val="24"/>
          <w:szCs w:val="24"/>
        </w:rPr>
        <w:t xml:space="preserve">States have tried before to curtail the expansive interpretation of FET by explicitly stipulating that it does not require treatment that goes beyond the customary international law minimum standard of treatment of aliens and does not create additional substantive rights. These efforts, however, have turned fruitless in the face of Tribunals’ insistence that, for example, ‘in fact, the Treaty standard of fair and equitable treatment and its connection with the required stability and predictability of the business environment, founded on </w:t>
      </w:r>
      <w:r w:rsidRPr="00ED0973">
        <w:rPr>
          <w:rFonts w:eastAsia="ArialMT" w:cs="ArialMT"/>
          <w:color w:val="000000" w:themeColor="text1"/>
          <w:sz w:val="24"/>
          <w:szCs w:val="24"/>
        </w:rPr>
        <w:lastRenderedPageBreak/>
        <w:t>solemn and contractual commitments, is not different from the international law minimum standard and its evolution under customary law.’ If this line of reasoning is continued, Tribunals will likely consider the doctrine of ‘legitimate expectations’ to flow from – and give meaning to – components of the various ‘basic obligations’ that the Commission proposes, such as ‘due process’ and the prohibition of ‘arbitrariness.’ In that case, the Commission’s efforts to remove the risk of expansive interpretations of the FET standard and the concept of an</w:t>
      </w:r>
      <w:r w:rsidRPr="0040504A">
        <w:rPr>
          <w:rFonts w:eastAsia="ArialMT" w:cs="ArialMT"/>
          <w:color w:val="000000" w:themeColor="text1"/>
          <w:sz w:val="24"/>
          <w:szCs w:val="24"/>
        </w:rPr>
        <w:t xml:space="preserve"> </w:t>
      </w:r>
      <w:r w:rsidRPr="00ED0973">
        <w:rPr>
          <w:rFonts w:eastAsia="ArialMT" w:cs="ArialMT"/>
          <w:color w:val="000000" w:themeColor="text1"/>
          <w:sz w:val="24"/>
          <w:szCs w:val="24"/>
        </w:rPr>
        <w:t>investor’s ‘legitimate expectations’ will have very little effect.”</w:t>
      </w:r>
      <w:r w:rsidR="001A3669">
        <w:rPr>
          <w:rStyle w:val="Voetnootmarkering"/>
          <w:rFonts w:eastAsia="ArialMT" w:cs="ArialMT"/>
          <w:color w:val="000000" w:themeColor="text1"/>
          <w:sz w:val="24"/>
          <w:szCs w:val="24"/>
        </w:rPr>
        <w:footnoteReference w:id="101"/>
      </w:r>
    </w:p>
    <w:p w14:paraId="6076382B" w14:textId="77777777" w:rsidR="001C609C" w:rsidRDefault="00AA709C" w:rsidP="00AA709C">
      <w:pPr>
        <w:ind w:firstLine="720"/>
        <w:rPr>
          <w:color w:val="000000" w:themeColor="text1"/>
          <w:sz w:val="24"/>
          <w:szCs w:val="24"/>
        </w:rPr>
      </w:pPr>
      <w:r w:rsidRPr="00ED0973">
        <w:rPr>
          <w:color w:val="000000" w:themeColor="text1"/>
          <w:sz w:val="24"/>
          <w:szCs w:val="24"/>
        </w:rPr>
        <w:t xml:space="preserve">The Commission is of the opinion that the new formulations would avoid claims against legitimate public policy measures. A somewhat stricter standard of review than ‘not necessary’ is introduced, notably demanding that only ‘manifestly excessive’ measures could qualify as indirect expropriation. Yet, the arbiters still would </w:t>
      </w:r>
      <w:r w:rsidR="000E2B2B">
        <w:rPr>
          <w:color w:val="000000" w:themeColor="text1"/>
          <w:sz w:val="24"/>
          <w:szCs w:val="24"/>
        </w:rPr>
        <w:t xml:space="preserve">be performing </w:t>
      </w:r>
      <w:r w:rsidRPr="00ED0973">
        <w:rPr>
          <w:color w:val="000000" w:themeColor="text1"/>
          <w:sz w:val="24"/>
          <w:szCs w:val="24"/>
        </w:rPr>
        <w:t xml:space="preserve">a proportionality </w:t>
      </w:r>
      <w:r w:rsidR="007A05D2">
        <w:rPr>
          <w:color w:val="000000" w:themeColor="text1"/>
          <w:sz w:val="24"/>
          <w:szCs w:val="24"/>
        </w:rPr>
        <w:t>test</w:t>
      </w:r>
      <w:r w:rsidRPr="00ED0973">
        <w:rPr>
          <w:color w:val="000000" w:themeColor="text1"/>
          <w:sz w:val="24"/>
          <w:szCs w:val="24"/>
        </w:rPr>
        <w:t xml:space="preserve"> and </w:t>
      </w:r>
      <w:r w:rsidR="00CF3F20">
        <w:rPr>
          <w:color w:val="000000" w:themeColor="text1"/>
          <w:sz w:val="24"/>
          <w:szCs w:val="24"/>
        </w:rPr>
        <w:t>in this wa</w:t>
      </w:r>
      <w:r w:rsidR="00931105">
        <w:rPr>
          <w:color w:val="000000" w:themeColor="text1"/>
          <w:sz w:val="24"/>
          <w:szCs w:val="24"/>
        </w:rPr>
        <w:t xml:space="preserve">y </w:t>
      </w:r>
      <w:r w:rsidRPr="00ED0973">
        <w:rPr>
          <w:color w:val="000000" w:themeColor="text1"/>
          <w:sz w:val="24"/>
          <w:szCs w:val="24"/>
        </w:rPr>
        <w:t>substitute their opinion for that of a democratic government on the relative importance of the purpose the measures at issue seek to achieve, an</w:t>
      </w:r>
      <w:r w:rsidR="00D8641B">
        <w:rPr>
          <w:color w:val="000000" w:themeColor="text1"/>
          <w:sz w:val="24"/>
          <w:szCs w:val="24"/>
        </w:rPr>
        <w:t>d could perform</w:t>
      </w:r>
      <w:r w:rsidRPr="00ED0973">
        <w:rPr>
          <w:color w:val="000000" w:themeColor="text1"/>
          <w:sz w:val="24"/>
          <w:szCs w:val="24"/>
        </w:rPr>
        <w:t xml:space="preserve"> </w:t>
      </w:r>
      <w:r w:rsidR="00D8641B">
        <w:rPr>
          <w:color w:val="000000" w:themeColor="text1"/>
          <w:sz w:val="24"/>
          <w:szCs w:val="24"/>
        </w:rPr>
        <w:t>a cost-benefit analysis and conclude that</w:t>
      </w:r>
      <w:r w:rsidRPr="00ED0973">
        <w:rPr>
          <w:color w:val="000000" w:themeColor="text1"/>
          <w:sz w:val="24"/>
          <w:szCs w:val="24"/>
        </w:rPr>
        <w:t xml:space="preserve"> the costs imposed on investors a</w:t>
      </w:r>
      <w:r w:rsidR="00931105">
        <w:rPr>
          <w:color w:val="000000" w:themeColor="text1"/>
          <w:sz w:val="24"/>
          <w:szCs w:val="24"/>
        </w:rPr>
        <w:t xml:space="preserve">re ‘excessive.’ The arbiters would </w:t>
      </w:r>
      <w:r w:rsidR="000B444B">
        <w:rPr>
          <w:color w:val="000000" w:themeColor="text1"/>
          <w:sz w:val="24"/>
          <w:szCs w:val="24"/>
        </w:rPr>
        <w:t>be able</w:t>
      </w:r>
      <w:r w:rsidR="00D336A9">
        <w:rPr>
          <w:color w:val="000000" w:themeColor="text1"/>
          <w:sz w:val="24"/>
          <w:szCs w:val="24"/>
        </w:rPr>
        <w:t xml:space="preserve"> to</w:t>
      </w:r>
      <w:r w:rsidR="003B6FEA">
        <w:rPr>
          <w:color w:val="000000" w:themeColor="text1"/>
          <w:sz w:val="24"/>
          <w:szCs w:val="24"/>
        </w:rPr>
        <w:t xml:space="preserve"> assess </w:t>
      </w:r>
      <w:r w:rsidR="00CC7967" w:rsidRPr="00ED0973">
        <w:rPr>
          <w:color w:val="000000" w:themeColor="text1"/>
          <w:sz w:val="24"/>
          <w:szCs w:val="24"/>
        </w:rPr>
        <w:t>whether the</w:t>
      </w:r>
      <w:r w:rsidR="00CC7967">
        <w:rPr>
          <w:color w:val="000000" w:themeColor="text1"/>
          <w:sz w:val="24"/>
          <w:szCs w:val="24"/>
        </w:rPr>
        <w:t xml:space="preserve"> contested measure </w:t>
      </w:r>
      <w:r w:rsidR="00CC7967" w:rsidRPr="00ED0973">
        <w:rPr>
          <w:color w:val="000000" w:themeColor="text1"/>
          <w:sz w:val="24"/>
          <w:szCs w:val="24"/>
        </w:rPr>
        <w:t xml:space="preserve">‘substantially advances’ </w:t>
      </w:r>
      <w:r w:rsidR="00B631CE">
        <w:rPr>
          <w:color w:val="000000" w:themeColor="text1"/>
          <w:sz w:val="24"/>
          <w:szCs w:val="24"/>
        </w:rPr>
        <w:t>its</w:t>
      </w:r>
      <w:r w:rsidR="00CC7967" w:rsidRPr="00ED0973">
        <w:rPr>
          <w:color w:val="000000" w:themeColor="text1"/>
          <w:sz w:val="24"/>
          <w:szCs w:val="24"/>
        </w:rPr>
        <w:t xml:space="preserve"> stated purpose</w:t>
      </w:r>
      <w:r w:rsidRPr="00ED0973">
        <w:rPr>
          <w:color w:val="000000" w:themeColor="text1"/>
          <w:sz w:val="24"/>
          <w:szCs w:val="24"/>
        </w:rPr>
        <w:t xml:space="preserve">, </w:t>
      </w:r>
      <w:r w:rsidR="0082475B">
        <w:rPr>
          <w:color w:val="000000" w:themeColor="text1"/>
          <w:sz w:val="24"/>
          <w:szCs w:val="24"/>
        </w:rPr>
        <w:t>or</w:t>
      </w:r>
      <w:r w:rsidRPr="00ED0973">
        <w:rPr>
          <w:color w:val="000000" w:themeColor="text1"/>
          <w:sz w:val="24"/>
          <w:szCs w:val="24"/>
        </w:rPr>
        <w:t xml:space="preserve"> whether the impact of a measure is ‘excessive’ in light of its pur</w:t>
      </w:r>
      <w:r w:rsidR="005F5ECA">
        <w:rPr>
          <w:color w:val="000000" w:themeColor="text1"/>
          <w:sz w:val="24"/>
          <w:szCs w:val="24"/>
        </w:rPr>
        <w:t>pose.</w:t>
      </w:r>
      <w:r w:rsidRPr="00ED0973">
        <w:rPr>
          <w:color w:val="000000" w:themeColor="text1"/>
          <w:sz w:val="24"/>
          <w:szCs w:val="24"/>
        </w:rPr>
        <w:t xml:space="preserve"> </w:t>
      </w:r>
    </w:p>
    <w:p w14:paraId="1EBC4746" w14:textId="4DB88326" w:rsidR="00106F2E" w:rsidRPr="00AA709C" w:rsidRDefault="001C5ACF" w:rsidP="00106F2E">
      <w:pPr>
        <w:ind w:firstLine="720"/>
      </w:pPr>
      <w:r>
        <w:rPr>
          <w:color w:val="000000" w:themeColor="text1"/>
          <w:sz w:val="24"/>
          <w:szCs w:val="24"/>
        </w:rPr>
        <w:t xml:space="preserve">Even when considering </w:t>
      </w:r>
      <w:r w:rsidR="00AA709C" w:rsidRPr="00ED0973">
        <w:rPr>
          <w:color w:val="000000" w:themeColor="text1"/>
          <w:sz w:val="24"/>
          <w:szCs w:val="24"/>
        </w:rPr>
        <w:t xml:space="preserve">several awards </w:t>
      </w:r>
      <w:r w:rsidR="00E5627A">
        <w:rPr>
          <w:color w:val="000000" w:themeColor="text1"/>
          <w:sz w:val="24"/>
          <w:szCs w:val="24"/>
        </w:rPr>
        <w:t xml:space="preserve">of investment tribunals, </w:t>
      </w:r>
      <w:r w:rsidR="00D37A71">
        <w:rPr>
          <w:color w:val="000000" w:themeColor="text1"/>
          <w:sz w:val="24"/>
          <w:szCs w:val="24"/>
        </w:rPr>
        <w:t xml:space="preserve">it </w:t>
      </w:r>
      <w:r w:rsidR="00DE682F">
        <w:rPr>
          <w:color w:val="000000" w:themeColor="text1"/>
          <w:sz w:val="24"/>
          <w:szCs w:val="24"/>
        </w:rPr>
        <w:t xml:space="preserve">the group of academics correctly </w:t>
      </w:r>
      <w:r w:rsidR="00E62A2E">
        <w:rPr>
          <w:color w:val="000000" w:themeColor="text1"/>
          <w:sz w:val="24"/>
          <w:szCs w:val="24"/>
        </w:rPr>
        <w:t>remarked</w:t>
      </w:r>
      <w:r w:rsidR="00562EA8">
        <w:rPr>
          <w:color w:val="000000" w:themeColor="text1"/>
          <w:sz w:val="24"/>
          <w:szCs w:val="24"/>
        </w:rPr>
        <w:t xml:space="preserve"> that inserting the</w:t>
      </w:r>
      <w:r w:rsidR="00D37A71">
        <w:rPr>
          <w:color w:val="000000" w:themeColor="text1"/>
          <w:sz w:val="24"/>
          <w:szCs w:val="24"/>
        </w:rPr>
        <w:t xml:space="preserve"> </w:t>
      </w:r>
      <w:r w:rsidR="00AA709C" w:rsidRPr="00ED0973">
        <w:rPr>
          <w:color w:val="000000" w:themeColor="text1"/>
          <w:sz w:val="24"/>
          <w:szCs w:val="24"/>
        </w:rPr>
        <w:t xml:space="preserve">proportionality analysis into the definition of what constitutes an ‘indirect expropriation’ is, quite simply, conceptually flawed. </w:t>
      </w:r>
      <w:r w:rsidR="004E7E72">
        <w:rPr>
          <w:color w:val="000000" w:themeColor="text1"/>
          <w:sz w:val="24"/>
          <w:szCs w:val="24"/>
        </w:rPr>
        <w:t>“</w:t>
      </w:r>
      <w:r w:rsidR="00AA709C" w:rsidRPr="00ED0973">
        <w:rPr>
          <w:color w:val="000000" w:themeColor="text1"/>
          <w:sz w:val="24"/>
          <w:szCs w:val="24"/>
        </w:rPr>
        <w:t>The norm governing direct expropriations demands compensation for takings that are (a) for a public purpose, (b) non-discriminatory, and (c) taken under due process of law. The logical implication is that governments are required to pay compensation for every measure that constitutes an ‘expropriation,’ however laudable and beneficial to a society as a whole the measure may be. This decoupling of the definition of ‘expropriation’ and the purpose and effect of the measure at issue logically works both ways however: the fact that a non-discriminatory measure designed and applied to protect legitimate public welfare objectives may be thoroughly misguided, may be badly designed, may have unfair distributive consequences, or is not rationally suited to achieve those objectives has no bearing whatsoever on the question of whether it constitutes an ‘expropriation’ or has an effect equivalent to expropriation. Under international law, non-discriminatory measures taken in the exercise of a State’s regulatory powers aimed at the general welfare, and which involve the exercise of States’ ‘police powers’, are simply not ‘expropriations’ requiring compensation.</w:t>
      </w:r>
      <w:r w:rsidR="00753B30">
        <w:t>”</w:t>
      </w:r>
      <w:r w:rsidR="00106F2E">
        <w:rPr>
          <w:rStyle w:val="Voetnootmarkering"/>
        </w:rPr>
        <w:footnoteReference w:id="102"/>
      </w:r>
    </w:p>
    <w:p w14:paraId="2F7FAF0F" w14:textId="78C77A38" w:rsidR="0040504A" w:rsidRPr="005D75D9" w:rsidRDefault="0040504A" w:rsidP="005D75D9">
      <w:pPr>
        <w:ind w:firstLine="720"/>
      </w:pPr>
    </w:p>
    <w:p w14:paraId="77EE0F35" w14:textId="0C565D33" w:rsidR="00F5141B" w:rsidRDefault="005D75D9" w:rsidP="00212753">
      <w:pPr>
        <w:pStyle w:val="Kop2"/>
      </w:pPr>
      <w:r>
        <w:t>3.3</w:t>
      </w:r>
      <w:r w:rsidR="007271DF">
        <w:t xml:space="preserve"> Exclusive competence CJEU regarding non-contractual liability of the EU</w:t>
      </w:r>
    </w:p>
    <w:p w14:paraId="24C1977B" w14:textId="701FF208" w:rsidR="00831807" w:rsidRDefault="007271DF" w:rsidP="00D73158">
      <w:pPr>
        <w:spacing w:line="240" w:lineRule="auto"/>
        <w:jc w:val="both"/>
        <w:rPr>
          <w:color w:val="000000" w:themeColor="text1"/>
          <w:sz w:val="24"/>
          <w:szCs w:val="24"/>
        </w:rPr>
      </w:pPr>
      <w:r>
        <w:rPr>
          <w:color w:val="000000" w:themeColor="text1"/>
          <w:sz w:val="24"/>
          <w:szCs w:val="24"/>
        </w:rPr>
        <w:t xml:space="preserve">Articles </w:t>
      </w:r>
      <w:r w:rsidR="00A96CEA">
        <w:rPr>
          <w:color w:val="000000" w:themeColor="text1"/>
          <w:sz w:val="24"/>
          <w:szCs w:val="24"/>
        </w:rPr>
        <w:t xml:space="preserve">268 </w:t>
      </w:r>
      <w:r w:rsidR="00F511AF">
        <w:rPr>
          <w:color w:val="000000" w:themeColor="text1"/>
          <w:sz w:val="24"/>
          <w:szCs w:val="24"/>
        </w:rPr>
        <w:t>and</w:t>
      </w:r>
      <w:r w:rsidR="00A96CEA">
        <w:rPr>
          <w:color w:val="000000" w:themeColor="text1"/>
          <w:sz w:val="24"/>
          <w:szCs w:val="24"/>
        </w:rPr>
        <w:t xml:space="preserve"> 340 </w:t>
      </w:r>
      <w:r>
        <w:rPr>
          <w:color w:val="000000" w:themeColor="text1"/>
          <w:sz w:val="24"/>
          <w:szCs w:val="24"/>
        </w:rPr>
        <w:t>TFEU confer on the CJEU the exclusive competence to rule on the</w:t>
      </w:r>
      <w:r w:rsidR="00F5141B" w:rsidRPr="00F5141B">
        <w:rPr>
          <w:color w:val="000000" w:themeColor="text1"/>
          <w:sz w:val="24"/>
          <w:szCs w:val="24"/>
        </w:rPr>
        <w:t xml:space="preserve"> non-contractual li</w:t>
      </w:r>
      <w:r>
        <w:rPr>
          <w:color w:val="000000" w:themeColor="text1"/>
          <w:sz w:val="24"/>
          <w:szCs w:val="24"/>
        </w:rPr>
        <w:t xml:space="preserve">ability of the EU. If the EU concludes international agreements like CETA and TTIP, these become part of EU, ranking above secondary, but below primary EU law. </w:t>
      </w:r>
      <w:r w:rsidR="00584C51">
        <w:rPr>
          <w:color w:val="000000" w:themeColor="text1"/>
          <w:sz w:val="24"/>
          <w:szCs w:val="24"/>
        </w:rPr>
        <w:t xml:space="preserve">While article 340 does not preclude the EU from incurring responsibility for violations of an </w:t>
      </w:r>
      <w:r w:rsidR="00584C51">
        <w:rPr>
          <w:color w:val="000000" w:themeColor="text1"/>
          <w:sz w:val="24"/>
          <w:szCs w:val="24"/>
        </w:rPr>
        <w:lastRenderedPageBreak/>
        <w:t xml:space="preserve">international agreement, </w:t>
      </w:r>
      <w:r w:rsidR="00726BAF">
        <w:rPr>
          <w:color w:val="000000" w:themeColor="text1"/>
          <w:sz w:val="24"/>
          <w:szCs w:val="24"/>
        </w:rPr>
        <w:t>introducing ISDS or ICS mechanisms by way of an international agreement and thus robbing the CJEU of its exclusive competence on this matter could be contrary to EU law</w:t>
      </w:r>
      <w:r w:rsidR="00584C51">
        <w:rPr>
          <w:color w:val="000000" w:themeColor="text1"/>
          <w:sz w:val="24"/>
          <w:szCs w:val="24"/>
        </w:rPr>
        <w:t>.</w:t>
      </w:r>
    </w:p>
    <w:p w14:paraId="31FB2DA2" w14:textId="591858B3" w:rsidR="00DE330E" w:rsidRDefault="000D795D" w:rsidP="004B62C8">
      <w:pPr>
        <w:spacing w:after="0" w:line="240" w:lineRule="auto"/>
        <w:ind w:firstLine="720"/>
        <w:jc w:val="both"/>
        <w:rPr>
          <w:color w:val="000000" w:themeColor="text1"/>
          <w:sz w:val="24"/>
          <w:szCs w:val="24"/>
        </w:rPr>
      </w:pPr>
      <w:r w:rsidRPr="000D795D">
        <w:rPr>
          <w:color w:val="000000" w:themeColor="text1"/>
          <w:sz w:val="24"/>
          <w:szCs w:val="24"/>
        </w:rPr>
        <w:t xml:space="preserve">While article 340 TFEU sets out that in the case of non-contractual liability, the Union shall make good any damage caused by its institutions in accordance with the general principles common to the laws of the Member States, the CJEU has spelled out a number of conditions that </w:t>
      </w:r>
      <w:r w:rsidR="00F62316">
        <w:rPr>
          <w:color w:val="000000" w:themeColor="text1"/>
          <w:sz w:val="24"/>
          <w:szCs w:val="24"/>
        </w:rPr>
        <w:t>must be met. C</w:t>
      </w:r>
      <w:r w:rsidR="0099011D">
        <w:rPr>
          <w:color w:val="000000" w:themeColor="text1"/>
          <w:sz w:val="24"/>
          <w:szCs w:val="24"/>
        </w:rPr>
        <w:t xml:space="preserve">laims for reparation of damages </w:t>
      </w:r>
      <w:r w:rsidR="00B13ADB">
        <w:rPr>
          <w:color w:val="000000" w:themeColor="text1"/>
          <w:sz w:val="24"/>
          <w:szCs w:val="24"/>
        </w:rPr>
        <w:t xml:space="preserve">regarding unlawful acts </w:t>
      </w:r>
      <w:r w:rsidR="00831807">
        <w:rPr>
          <w:color w:val="000000" w:themeColor="text1"/>
          <w:sz w:val="24"/>
          <w:szCs w:val="24"/>
        </w:rPr>
        <w:t>are</w:t>
      </w:r>
      <w:r w:rsidR="0099011D">
        <w:rPr>
          <w:color w:val="000000" w:themeColor="text1"/>
          <w:sz w:val="24"/>
          <w:szCs w:val="24"/>
        </w:rPr>
        <w:t xml:space="preserve"> only</w:t>
      </w:r>
      <w:r w:rsidR="00831807">
        <w:rPr>
          <w:color w:val="000000" w:themeColor="text1"/>
          <w:sz w:val="24"/>
          <w:szCs w:val="24"/>
        </w:rPr>
        <w:t xml:space="preserve"> </w:t>
      </w:r>
      <w:r w:rsidR="0099011D">
        <w:rPr>
          <w:color w:val="000000" w:themeColor="text1"/>
          <w:sz w:val="24"/>
          <w:szCs w:val="24"/>
        </w:rPr>
        <w:t xml:space="preserve">successful </w:t>
      </w:r>
      <w:r w:rsidR="00FE6C4E">
        <w:rPr>
          <w:color w:val="000000" w:themeColor="text1"/>
          <w:sz w:val="24"/>
          <w:szCs w:val="24"/>
        </w:rPr>
        <w:t xml:space="preserve">if </w:t>
      </w:r>
      <w:r w:rsidR="00FE6C4E" w:rsidRPr="00FE6C4E">
        <w:rPr>
          <w:color w:val="000000" w:themeColor="text1"/>
          <w:sz w:val="24"/>
          <w:szCs w:val="24"/>
        </w:rPr>
        <w:t>‘a sufficiently flagrant violation of a superior rule of law for the protection of the individual</w:t>
      </w:r>
      <w:r w:rsidR="00FE6C4E">
        <w:rPr>
          <w:color w:val="000000" w:themeColor="text1"/>
          <w:sz w:val="24"/>
          <w:szCs w:val="24"/>
        </w:rPr>
        <w:t xml:space="preserve"> interest’</w:t>
      </w:r>
      <w:r w:rsidR="0099011D">
        <w:rPr>
          <w:color w:val="000000" w:themeColor="text1"/>
          <w:sz w:val="24"/>
          <w:szCs w:val="24"/>
        </w:rPr>
        <w:t xml:space="preserve"> </w:t>
      </w:r>
      <w:r w:rsidR="00FE6C4E">
        <w:rPr>
          <w:color w:val="000000" w:themeColor="text1"/>
          <w:sz w:val="24"/>
          <w:szCs w:val="24"/>
        </w:rPr>
        <w:t>has occurred, i.e. when the EU ‘manifestly and gravely disregarded the limits on its discretion’.</w:t>
      </w:r>
      <w:bookmarkStart w:id="5" w:name="_Ref463220747"/>
      <w:r w:rsidR="00831807">
        <w:rPr>
          <w:rStyle w:val="Voetnootmarkering"/>
          <w:color w:val="000000" w:themeColor="text1"/>
          <w:sz w:val="24"/>
          <w:szCs w:val="24"/>
        </w:rPr>
        <w:footnoteReference w:id="103"/>
      </w:r>
      <w:bookmarkEnd w:id="5"/>
      <w:r w:rsidR="00FE6C4E">
        <w:rPr>
          <w:color w:val="000000" w:themeColor="text1"/>
          <w:sz w:val="24"/>
          <w:szCs w:val="24"/>
        </w:rPr>
        <w:t xml:space="preserve"> </w:t>
      </w:r>
      <w:r>
        <w:rPr>
          <w:color w:val="000000" w:themeColor="text1"/>
          <w:sz w:val="24"/>
          <w:szCs w:val="24"/>
        </w:rPr>
        <w:t xml:space="preserve">The CJEU takes </w:t>
      </w:r>
      <w:r w:rsidRPr="00831807">
        <w:rPr>
          <w:color w:val="000000" w:themeColor="text1"/>
          <w:sz w:val="24"/>
          <w:szCs w:val="24"/>
        </w:rPr>
        <w:t>the complexity of the situations to be regulated, difficulties in the application or interpretation of the legislation and, more particularly, the margin of discretion available to the author of the act in question</w:t>
      </w:r>
      <w:r>
        <w:rPr>
          <w:color w:val="000000" w:themeColor="text1"/>
          <w:sz w:val="24"/>
          <w:szCs w:val="24"/>
        </w:rPr>
        <w:t xml:space="preserve"> into account when judging on liability issues.</w:t>
      </w:r>
      <w:r>
        <w:rPr>
          <w:rStyle w:val="Voetnootmarkering"/>
          <w:color w:val="000000" w:themeColor="text1"/>
          <w:sz w:val="24"/>
          <w:szCs w:val="24"/>
        </w:rPr>
        <w:footnoteReference w:id="104"/>
      </w:r>
      <w:r w:rsidR="00F62316">
        <w:rPr>
          <w:color w:val="000000" w:themeColor="text1"/>
          <w:sz w:val="24"/>
          <w:szCs w:val="24"/>
        </w:rPr>
        <w:t xml:space="preserve"> </w:t>
      </w:r>
      <w:r w:rsidR="00726BAF">
        <w:rPr>
          <w:color w:val="000000" w:themeColor="text1"/>
          <w:sz w:val="24"/>
          <w:szCs w:val="24"/>
        </w:rPr>
        <w:t xml:space="preserve">Where </w:t>
      </w:r>
      <w:r w:rsidR="00954934">
        <w:rPr>
          <w:color w:val="000000" w:themeColor="text1"/>
          <w:sz w:val="24"/>
          <w:szCs w:val="24"/>
        </w:rPr>
        <w:t>liability for</w:t>
      </w:r>
      <w:r w:rsidR="00B13ADB">
        <w:rPr>
          <w:color w:val="000000" w:themeColor="text1"/>
          <w:sz w:val="24"/>
          <w:szCs w:val="24"/>
        </w:rPr>
        <w:t xml:space="preserve"> </w:t>
      </w:r>
      <w:r w:rsidR="00954934">
        <w:rPr>
          <w:color w:val="000000" w:themeColor="text1"/>
          <w:sz w:val="24"/>
          <w:szCs w:val="24"/>
        </w:rPr>
        <w:t>lawful acts is</w:t>
      </w:r>
      <w:r w:rsidR="00726BAF">
        <w:rPr>
          <w:color w:val="000000" w:themeColor="text1"/>
          <w:sz w:val="24"/>
          <w:szCs w:val="24"/>
        </w:rPr>
        <w:t xml:space="preserve"> concerned,</w:t>
      </w:r>
      <w:r w:rsidR="00B13ADB">
        <w:rPr>
          <w:color w:val="000000" w:themeColor="text1"/>
          <w:sz w:val="24"/>
          <w:szCs w:val="24"/>
        </w:rPr>
        <w:t xml:space="preserve"> </w:t>
      </w:r>
      <w:r w:rsidR="00954934">
        <w:rPr>
          <w:color w:val="000000" w:themeColor="text1"/>
          <w:sz w:val="24"/>
          <w:szCs w:val="24"/>
        </w:rPr>
        <w:t xml:space="preserve">the Court pointed out that this is only recognised in two Member States, and that ‘exercise of the legislative function </w:t>
      </w:r>
      <w:r w:rsidR="00954934" w:rsidRPr="00954934">
        <w:rPr>
          <w:color w:val="000000" w:themeColor="text1"/>
          <w:sz w:val="24"/>
          <w:szCs w:val="24"/>
        </w:rPr>
        <w:t>must not be hindered by the prospect of actions for damages whenever the general interest of the Community requires legislative measures to be adopted which may adversely affect individual interests.</w:t>
      </w:r>
      <w:r w:rsidR="00954934">
        <w:rPr>
          <w:color w:val="000000" w:themeColor="text1"/>
          <w:sz w:val="24"/>
          <w:szCs w:val="24"/>
        </w:rPr>
        <w:t>’</w:t>
      </w:r>
      <w:r w:rsidR="00954934" w:rsidRPr="00954934">
        <w:rPr>
          <w:color w:val="000000" w:themeColor="text1"/>
          <w:sz w:val="24"/>
          <w:szCs w:val="24"/>
        </w:rPr>
        <w:t xml:space="preserve"> </w:t>
      </w:r>
      <w:r w:rsidR="00954934">
        <w:rPr>
          <w:color w:val="000000" w:themeColor="text1"/>
          <w:sz w:val="24"/>
          <w:szCs w:val="24"/>
        </w:rPr>
        <w:t>It also explained that</w:t>
      </w:r>
      <w:r w:rsidR="00F62316">
        <w:rPr>
          <w:color w:val="000000" w:themeColor="text1"/>
          <w:sz w:val="24"/>
          <w:szCs w:val="24"/>
        </w:rPr>
        <w:t xml:space="preserve"> the legislator’s wide discretion </w:t>
      </w:r>
      <w:r w:rsidR="00954934" w:rsidRPr="00954934">
        <w:rPr>
          <w:color w:val="000000" w:themeColor="text1"/>
          <w:sz w:val="24"/>
          <w:szCs w:val="24"/>
        </w:rPr>
        <w:t xml:space="preserve">is essential for implementing a Community policy, </w:t>
      </w:r>
      <w:r w:rsidR="00F62316">
        <w:rPr>
          <w:color w:val="000000" w:themeColor="text1"/>
          <w:sz w:val="24"/>
          <w:szCs w:val="24"/>
        </w:rPr>
        <w:t xml:space="preserve">and that hence </w:t>
      </w:r>
      <w:r w:rsidR="00954934" w:rsidRPr="00954934">
        <w:rPr>
          <w:color w:val="000000" w:themeColor="text1"/>
          <w:sz w:val="24"/>
          <w:szCs w:val="24"/>
        </w:rPr>
        <w:t xml:space="preserve">the Community cannot incur liability unless the institution concerned has </w:t>
      </w:r>
      <w:r w:rsidR="00954934">
        <w:rPr>
          <w:color w:val="000000" w:themeColor="text1"/>
          <w:sz w:val="24"/>
          <w:szCs w:val="24"/>
        </w:rPr>
        <w:t>‘</w:t>
      </w:r>
      <w:r w:rsidR="00954934" w:rsidRPr="00954934">
        <w:rPr>
          <w:color w:val="000000" w:themeColor="text1"/>
          <w:sz w:val="24"/>
          <w:szCs w:val="24"/>
        </w:rPr>
        <w:t>manifestly and gravely disregarded the limits on the exercise of its powers</w:t>
      </w:r>
      <w:r w:rsidR="00954934">
        <w:rPr>
          <w:color w:val="000000" w:themeColor="text1"/>
          <w:sz w:val="24"/>
          <w:szCs w:val="24"/>
        </w:rPr>
        <w:t>’. It therefore found that ‘</w:t>
      </w:r>
      <w:r w:rsidR="00954934" w:rsidRPr="00954934">
        <w:rPr>
          <w:color w:val="000000" w:themeColor="text1"/>
          <w:sz w:val="24"/>
          <w:szCs w:val="24"/>
        </w:rPr>
        <w:t>a Community legislative measure whose application leads to restrictions of the right to property and the freedom to pursue a trade or profession that impair the very substance of those rights in a disproportionate and intolerable manner, perhaps precisely because no provision has been made for compensation calculated to avoid or remedy that impairment, could give rise to non-contractual liability on the part of the Community</w:t>
      </w:r>
      <w:r w:rsidR="00954934">
        <w:rPr>
          <w:color w:val="000000" w:themeColor="text1"/>
          <w:sz w:val="24"/>
          <w:szCs w:val="24"/>
        </w:rPr>
        <w:t>’.</w:t>
      </w:r>
      <w:r w:rsidR="00954934">
        <w:rPr>
          <w:rStyle w:val="Voetnootmarkering"/>
          <w:color w:val="000000" w:themeColor="text1"/>
          <w:sz w:val="24"/>
          <w:szCs w:val="24"/>
        </w:rPr>
        <w:footnoteReference w:id="105"/>
      </w:r>
      <w:r>
        <w:rPr>
          <w:color w:val="000000" w:themeColor="text1"/>
          <w:sz w:val="24"/>
          <w:szCs w:val="24"/>
        </w:rPr>
        <w:t xml:space="preserve"> From this case it follows that the CJEU accepts that EU acts that are lawful under EU law can still lead to the duty to compensate</w:t>
      </w:r>
      <w:r w:rsidR="00F62316">
        <w:rPr>
          <w:color w:val="000000" w:themeColor="text1"/>
          <w:sz w:val="24"/>
          <w:szCs w:val="24"/>
        </w:rPr>
        <w:t>, but only under very strict conditions</w:t>
      </w:r>
      <w:r>
        <w:rPr>
          <w:color w:val="000000" w:themeColor="text1"/>
          <w:sz w:val="24"/>
          <w:szCs w:val="24"/>
        </w:rPr>
        <w:t>.</w:t>
      </w:r>
      <w:r w:rsidR="00F62316">
        <w:rPr>
          <w:color w:val="000000" w:themeColor="text1"/>
          <w:sz w:val="24"/>
          <w:szCs w:val="24"/>
        </w:rPr>
        <w:t xml:space="preserve"> It also shows that the CJEU is opposed to curtailing the discretion of the legislator in a manner which would bring about a regulatory chill effect</w:t>
      </w:r>
      <w:r w:rsidR="00305A5F">
        <w:rPr>
          <w:color w:val="000000" w:themeColor="text1"/>
          <w:sz w:val="24"/>
          <w:szCs w:val="24"/>
        </w:rPr>
        <w:t xml:space="preserve">. As discussed above, the possibility that </w:t>
      </w:r>
      <w:r w:rsidR="009B2DFC">
        <w:rPr>
          <w:color w:val="000000" w:themeColor="text1"/>
          <w:sz w:val="24"/>
          <w:szCs w:val="24"/>
        </w:rPr>
        <w:t>ISDS/ICS causes such an effect is not merely hypothetical</w:t>
      </w:r>
      <w:r w:rsidR="00F62316">
        <w:rPr>
          <w:color w:val="000000" w:themeColor="text1"/>
          <w:sz w:val="24"/>
          <w:szCs w:val="24"/>
        </w:rPr>
        <w:t xml:space="preserve">. Where this already holds true for economic legislation, </w:t>
      </w:r>
      <w:r w:rsidR="00DC597B">
        <w:rPr>
          <w:color w:val="000000" w:themeColor="text1"/>
          <w:sz w:val="24"/>
          <w:szCs w:val="24"/>
        </w:rPr>
        <w:t xml:space="preserve">a similar or even a more stringent ‘exceptional circumstance test’ </w:t>
      </w:r>
      <w:r w:rsidR="002B1633">
        <w:rPr>
          <w:color w:val="000000" w:themeColor="text1"/>
          <w:sz w:val="24"/>
          <w:szCs w:val="24"/>
        </w:rPr>
        <w:t>should also</w:t>
      </w:r>
      <w:r w:rsidR="00DC597B">
        <w:rPr>
          <w:color w:val="000000" w:themeColor="text1"/>
          <w:sz w:val="24"/>
          <w:szCs w:val="24"/>
        </w:rPr>
        <w:t xml:space="preserve"> apply when facing legislative choices in the public interest, Govaere submits.</w:t>
      </w:r>
      <w:r w:rsidR="00DC597B">
        <w:rPr>
          <w:rStyle w:val="Voetnootmarkering"/>
          <w:color w:val="000000" w:themeColor="text1"/>
          <w:sz w:val="24"/>
          <w:szCs w:val="24"/>
        </w:rPr>
        <w:footnoteReference w:id="106"/>
      </w:r>
      <w:r w:rsidR="00DC597B">
        <w:rPr>
          <w:color w:val="000000" w:themeColor="text1"/>
          <w:sz w:val="24"/>
          <w:szCs w:val="24"/>
        </w:rPr>
        <w:t xml:space="preserve"> Ankersmit adds that while </w:t>
      </w:r>
      <w:r w:rsidR="005A5ED7">
        <w:rPr>
          <w:color w:val="000000" w:themeColor="text1"/>
          <w:sz w:val="24"/>
          <w:szCs w:val="24"/>
        </w:rPr>
        <w:t xml:space="preserve">ISDS mechanisms can formally be distinguished from </w:t>
      </w:r>
      <w:r w:rsidR="00DC597B">
        <w:rPr>
          <w:color w:val="000000" w:themeColor="text1"/>
          <w:sz w:val="24"/>
          <w:szCs w:val="24"/>
        </w:rPr>
        <w:t>article 340 TFEU</w:t>
      </w:r>
      <w:r w:rsidR="005A5ED7">
        <w:rPr>
          <w:color w:val="000000" w:themeColor="text1"/>
          <w:sz w:val="24"/>
          <w:szCs w:val="24"/>
        </w:rPr>
        <w:t>, still the exclusive jurisdiction of the CJEU is likely to be affected through ISDS because investors could rely exclusively on international agreements with lower standards.</w:t>
      </w:r>
      <w:r w:rsidR="005A5ED7">
        <w:rPr>
          <w:rStyle w:val="Voetnootmarkering"/>
          <w:color w:val="000000" w:themeColor="text1"/>
          <w:sz w:val="24"/>
          <w:szCs w:val="24"/>
        </w:rPr>
        <w:footnoteReference w:id="107"/>
      </w:r>
      <w:r w:rsidR="003130BC">
        <w:rPr>
          <w:color w:val="000000" w:themeColor="text1"/>
          <w:sz w:val="24"/>
          <w:szCs w:val="24"/>
        </w:rPr>
        <w:t xml:space="preserve"> T</w:t>
      </w:r>
      <w:r w:rsidR="003130BC" w:rsidRPr="003130BC">
        <w:rPr>
          <w:color w:val="000000" w:themeColor="text1"/>
          <w:sz w:val="24"/>
          <w:szCs w:val="24"/>
        </w:rPr>
        <w:t>he</w:t>
      </w:r>
      <w:r w:rsidR="003130BC">
        <w:rPr>
          <w:color w:val="000000" w:themeColor="text1"/>
          <w:sz w:val="24"/>
          <w:szCs w:val="24"/>
        </w:rPr>
        <w:t xml:space="preserve"> inclusion of ISDS could</w:t>
      </w:r>
      <w:r w:rsidR="003130BC" w:rsidRPr="003130BC">
        <w:rPr>
          <w:color w:val="000000" w:themeColor="text1"/>
          <w:sz w:val="24"/>
          <w:szCs w:val="24"/>
        </w:rPr>
        <w:t xml:space="preserve"> infringe the principle of institutional balance </w:t>
      </w:r>
      <w:r w:rsidR="003130BC">
        <w:rPr>
          <w:color w:val="000000" w:themeColor="text1"/>
          <w:sz w:val="24"/>
          <w:szCs w:val="24"/>
        </w:rPr>
        <w:t xml:space="preserve">of article 13(2) TEU </w:t>
      </w:r>
      <w:r w:rsidR="003130BC" w:rsidRPr="003130BC">
        <w:rPr>
          <w:color w:val="000000" w:themeColor="text1"/>
          <w:sz w:val="24"/>
          <w:szCs w:val="24"/>
        </w:rPr>
        <w:t>as the EU legislator would delegate one of the powers of the Court to investment tribunals without adequately respectin</w:t>
      </w:r>
      <w:r w:rsidR="003130BC">
        <w:rPr>
          <w:color w:val="000000" w:themeColor="text1"/>
          <w:sz w:val="24"/>
          <w:szCs w:val="24"/>
        </w:rPr>
        <w:t>g the ECJ's competences.</w:t>
      </w:r>
      <w:r w:rsidR="003130BC">
        <w:rPr>
          <w:rStyle w:val="Voetnootmarkering"/>
          <w:color w:val="000000" w:themeColor="text1"/>
          <w:sz w:val="24"/>
          <w:szCs w:val="24"/>
        </w:rPr>
        <w:footnoteReference w:id="108"/>
      </w:r>
      <w:r w:rsidR="00424955">
        <w:rPr>
          <w:color w:val="000000" w:themeColor="text1"/>
          <w:sz w:val="24"/>
          <w:szCs w:val="24"/>
        </w:rPr>
        <w:t xml:space="preserve"> </w:t>
      </w:r>
      <w:r w:rsidR="003A4B10">
        <w:rPr>
          <w:color w:val="000000" w:themeColor="text1"/>
          <w:sz w:val="24"/>
          <w:szCs w:val="24"/>
        </w:rPr>
        <w:t xml:space="preserve">It will be interesting to see whether the CJEU will follow </w:t>
      </w:r>
      <w:r w:rsidR="003A4B10">
        <w:rPr>
          <w:color w:val="000000" w:themeColor="text1"/>
          <w:sz w:val="24"/>
          <w:szCs w:val="24"/>
        </w:rPr>
        <w:lastRenderedPageBreak/>
        <w:t xml:space="preserve">this </w:t>
      </w:r>
      <w:r w:rsidR="00392799">
        <w:rPr>
          <w:color w:val="000000" w:themeColor="text1"/>
          <w:sz w:val="24"/>
          <w:szCs w:val="24"/>
        </w:rPr>
        <w:t xml:space="preserve">line of reasoning when answering the questions that will be put to it by Belgium, </w:t>
      </w:r>
      <w:r w:rsidR="001C11D1">
        <w:rPr>
          <w:color w:val="000000" w:themeColor="text1"/>
          <w:sz w:val="24"/>
          <w:szCs w:val="24"/>
        </w:rPr>
        <w:t>provided the questions allow the Court to e</w:t>
      </w:r>
      <w:r w:rsidR="005A5EAF">
        <w:rPr>
          <w:color w:val="000000" w:themeColor="text1"/>
          <w:sz w:val="24"/>
          <w:szCs w:val="24"/>
        </w:rPr>
        <w:t>xpand on these issues.</w:t>
      </w:r>
    </w:p>
    <w:p w14:paraId="39F118E9" w14:textId="12E92087" w:rsidR="00DE330E" w:rsidRDefault="00DE330E">
      <w:pPr>
        <w:rPr>
          <w:color w:val="000000" w:themeColor="text1"/>
          <w:sz w:val="24"/>
          <w:szCs w:val="24"/>
        </w:rPr>
      </w:pPr>
    </w:p>
    <w:p w14:paraId="4DE432C6" w14:textId="753F8D9E" w:rsidR="00AF4DAC" w:rsidRDefault="00DE330E" w:rsidP="00DE330E">
      <w:pPr>
        <w:pStyle w:val="Kop2"/>
      </w:pPr>
      <w:r>
        <w:t>3.5 Independency ICS</w:t>
      </w:r>
    </w:p>
    <w:p w14:paraId="687BB7F7" w14:textId="49221ECE" w:rsidR="00285A42" w:rsidRDefault="00360052" w:rsidP="00D73158">
      <w:pPr>
        <w:spacing w:line="240" w:lineRule="auto"/>
        <w:jc w:val="both"/>
        <w:rPr>
          <w:color w:val="000000" w:themeColor="text1"/>
          <w:sz w:val="24"/>
          <w:szCs w:val="24"/>
        </w:rPr>
      </w:pPr>
      <w:r>
        <w:rPr>
          <w:color w:val="000000" w:themeColor="text1"/>
          <w:sz w:val="24"/>
          <w:szCs w:val="24"/>
        </w:rPr>
        <w:t xml:space="preserve">Under CETA’s ICS, the judges </w:t>
      </w:r>
      <w:r w:rsidR="005A5EAF">
        <w:rPr>
          <w:color w:val="000000" w:themeColor="text1"/>
          <w:sz w:val="24"/>
          <w:szCs w:val="24"/>
        </w:rPr>
        <w:t>possess</w:t>
      </w:r>
      <w:r w:rsidR="00285A42">
        <w:rPr>
          <w:color w:val="000000" w:themeColor="text1"/>
          <w:sz w:val="24"/>
          <w:szCs w:val="24"/>
        </w:rPr>
        <w:t xml:space="preserve"> the power to decide cases that affect fundamental issues like whether public policy measures adopted by democrati</w:t>
      </w:r>
      <w:r w:rsidR="005A5EAF">
        <w:rPr>
          <w:color w:val="000000" w:themeColor="text1"/>
          <w:sz w:val="24"/>
          <w:szCs w:val="24"/>
        </w:rPr>
        <w:t>cally elected legislators in EU</w:t>
      </w:r>
      <w:r w:rsidR="00285A42">
        <w:rPr>
          <w:color w:val="000000" w:themeColor="text1"/>
          <w:sz w:val="24"/>
          <w:szCs w:val="24"/>
        </w:rPr>
        <w:t xml:space="preserve"> Member States or in the EU aimed at protecting the greater good are only allowed when investors receive compensation. It is thus of the utmost importance that the ICS judges are democratically </w:t>
      </w:r>
      <w:r w:rsidR="00B0749B">
        <w:rPr>
          <w:color w:val="000000" w:themeColor="text1"/>
          <w:sz w:val="24"/>
          <w:szCs w:val="24"/>
        </w:rPr>
        <w:t>legitimised</w:t>
      </w:r>
      <w:r w:rsidR="003A5A46">
        <w:rPr>
          <w:color w:val="000000" w:themeColor="text1"/>
          <w:sz w:val="24"/>
          <w:szCs w:val="24"/>
        </w:rPr>
        <w:t>.</w:t>
      </w:r>
    </w:p>
    <w:p w14:paraId="48365CB2" w14:textId="77777777" w:rsidR="003103FF" w:rsidRDefault="00DE330E" w:rsidP="004E7E72">
      <w:pPr>
        <w:spacing w:line="240" w:lineRule="auto"/>
        <w:jc w:val="both"/>
        <w:rPr>
          <w:color w:val="000000" w:themeColor="text1"/>
          <w:sz w:val="24"/>
          <w:szCs w:val="24"/>
        </w:rPr>
      </w:pPr>
      <w:r>
        <w:rPr>
          <w:color w:val="000000" w:themeColor="text1"/>
          <w:sz w:val="24"/>
          <w:szCs w:val="24"/>
        </w:rPr>
        <w:t>The new ICS judges</w:t>
      </w:r>
      <w:r w:rsidR="00326AFE">
        <w:rPr>
          <w:color w:val="000000" w:themeColor="text1"/>
          <w:sz w:val="24"/>
          <w:szCs w:val="24"/>
        </w:rPr>
        <w:t xml:space="preserve"> will be appointed by the CETA Joint C</w:t>
      </w:r>
      <w:r>
        <w:rPr>
          <w:color w:val="000000" w:themeColor="text1"/>
          <w:sz w:val="24"/>
          <w:szCs w:val="24"/>
        </w:rPr>
        <w:t>ommittee</w:t>
      </w:r>
      <w:r w:rsidR="00EA6048">
        <w:rPr>
          <w:color w:val="000000" w:themeColor="text1"/>
          <w:sz w:val="24"/>
          <w:szCs w:val="24"/>
        </w:rPr>
        <w:t>, according to art. 8.27(2) CETA</w:t>
      </w:r>
      <w:r>
        <w:rPr>
          <w:color w:val="000000" w:themeColor="text1"/>
          <w:sz w:val="24"/>
          <w:szCs w:val="24"/>
        </w:rPr>
        <w:t>. The latter body</w:t>
      </w:r>
      <w:r w:rsidR="00EA6048">
        <w:rPr>
          <w:color w:val="000000" w:themeColor="text1"/>
          <w:sz w:val="24"/>
          <w:szCs w:val="24"/>
        </w:rPr>
        <w:t xml:space="preserve"> consists of </w:t>
      </w:r>
      <w:r w:rsidR="00326AFE">
        <w:rPr>
          <w:color w:val="000000" w:themeColor="text1"/>
          <w:sz w:val="24"/>
          <w:szCs w:val="24"/>
        </w:rPr>
        <w:t>‘</w:t>
      </w:r>
      <w:r w:rsidR="00EA6048">
        <w:rPr>
          <w:color w:val="000000" w:themeColor="text1"/>
          <w:sz w:val="24"/>
          <w:szCs w:val="24"/>
        </w:rPr>
        <w:t>representatives of the European Union and representatives of Canada</w:t>
      </w:r>
      <w:r w:rsidR="00326AFE">
        <w:rPr>
          <w:color w:val="000000" w:themeColor="text1"/>
          <w:sz w:val="24"/>
          <w:szCs w:val="24"/>
        </w:rPr>
        <w:t xml:space="preserve">’ and is ‘cochaired </w:t>
      </w:r>
      <w:r w:rsidR="00326AFE" w:rsidRPr="00326AFE">
        <w:rPr>
          <w:color w:val="000000" w:themeColor="text1"/>
          <w:sz w:val="24"/>
          <w:szCs w:val="24"/>
        </w:rPr>
        <w:t>by the Minister for International Trade of Canada and the Member of the European Commission responsible for Trade</w:t>
      </w:r>
      <w:r w:rsidR="00326AFE">
        <w:rPr>
          <w:color w:val="000000" w:themeColor="text1"/>
          <w:sz w:val="24"/>
          <w:szCs w:val="24"/>
        </w:rPr>
        <w:t xml:space="preserve">, or their respective designees’ (art. 26.1(1) CETA). </w:t>
      </w:r>
      <w:r w:rsidR="00285A42">
        <w:rPr>
          <w:color w:val="000000" w:themeColor="text1"/>
          <w:sz w:val="24"/>
          <w:szCs w:val="24"/>
        </w:rPr>
        <w:t>The treaty does not specify how many members the Committee will have, how they are elected and whether representatives of (some of) the Member States will be</w:t>
      </w:r>
      <w:r w:rsidR="00C76312">
        <w:rPr>
          <w:color w:val="000000" w:themeColor="text1"/>
          <w:sz w:val="24"/>
          <w:szCs w:val="24"/>
        </w:rPr>
        <w:t xml:space="preserve"> in it</w:t>
      </w:r>
      <w:r w:rsidR="004E42FD">
        <w:rPr>
          <w:color w:val="000000" w:themeColor="text1"/>
          <w:sz w:val="24"/>
          <w:szCs w:val="24"/>
        </w:rPr>
        <w:t>.</w:t>
      </w:r>
      <w:r w:rsidR="00C76312">
        <w:rPr>
          <w:color w:val="000000" w:themeColor="text1"/>
          <w:sz w:val="24"/>
          <w:szCs w:val="24"/>
        </w:rPr>
        <w:t xml:space="preserve"> </w:t>
      </w:r>
    </w:p>
    <w:p w14:paraId="204C926F" w14:textId="193B211E" w:rsidR="00EF1046" w:rsidRPr="004E7E72" w:rsidRDefault="008E3725" w:rsidP="004E7E72">
      <w:pPr>
        <w:spacing w:line="240" w:lineRule="auto"/>
        <w:jc w:val="both"/>
        <w:rPr>
          <w:color w:val="000000" w:themeColor="text1"/>
          <w:sz w:val="24"/>
          <w:szCs w:val="24"/>
        </w:rPr>
      </w:pPr>
      <w:r>
        <w:rPr>
          <w:color w:val="000000" w:themeColor="text1"/>
          <w:sz w:val="24"/>
          <w:szCs w:val="24"/>
        </w:rPr>
        <w:t xml:space="preserve">Although a step forwards compared to </w:t>
      </w:r>
      <w:r w:rsidRPr="008E3725">
        <w:rPr>
          <w:i/>
          <w:color w:val="000000" w:themeColor="text1"/>
          <w:sz w:val="24"/>
          <w:szCs w:val="24"/>
        </w:rPr>
        <w:t>ad hoc</w:t>
      </w:r>
      <w:r>
        <w:rPr>
          <w:color w:val="000000" w:themeColor="text1"/>
          <w:sz w:val="24"/>
          <w:szCs w:val="24"/>
        </w:rPr>
        <w:t xml:space="preserve"> private arbiters under the old ISDS system, the democratic accountability of the new permanent dispute settlement body </w:t>
      </w:r>
      <w:r w:rsidR="002E739C">
        <w:rPr>
          <w:color w:val="000000" w:themeColor="text1"/>
          <w:sz w:val="24"/>
          <w:szCs w:val="24"/>
        </w:rPr>
        <w:t xml:space="preserve">still </w:t>
      </w:r>
      <w:r>
        <w:rPr>
          <w:color w:val="000000" w:themeColor="text1"/>
          <w:sz w:val="24"/>
          <w:szCs w:val="24"/>
        </w:rPr>
        <w:t>suff</w:t>
      </w:r>
      <w:r w:rsidR="00D22B8C">
        <w:rPr>
          <w:color w:val="000000" w:themeColor="text1"/>
          <w:sz w:val="24"/>
          <w:szCs w:val="24"/>
        </w:rPr>
        <w:t xml:space="preserve">ers from serious shortcomings, </w:t>
      </w:r>
      <w:r w:rsidR="000317A6">
        <w:rPr>
          <w:color w:val="000000" w:themeColor="text1"/>
          <w:sz w:val="24"/>
          <w:szCs w:val="24"/>
        </w:rPr>
        <w:t xml:space="preserve">as set out in detail notably by the academic community in its reaction to the Commission’s </w:t>
      </w:r>
      <w:r w:rsidR="00FD2CA8">
        <w:rPr>
          <w:color w:val="000000" w:themeColor="text1"/>
          <w:sz w:val="24"/>
          <w:szCs w:val="24"/>
        </w:rPr>
        <w:t>public consultation.</w:t>
      </w:r>
      <w:r w:rsidR="00FD2CA8">
        <w:rPr>
          <w:rStyle w:val="Voetnootmarkering"/>
          <w:color w:val="000000" w:themeColor="text1"/>
          <w:sz w:val="24"/>
          <w:szCs w:val="24"/>
        </w:rPr>
        <w:footnoteReference w:id="109"/>
      </w:r>
    </w:p>
    <w:p w14:paraId="204C9270" w14:textId="77777777" w:rsidR="00165D09" w:rsidRPr="00ED0973" w:rsidRDefault="00EF1046" w:rsidP="00D73158">
      <w:pPr>
        <w:widowControl w:val="0"/>
        <w:autoSpaceDE w:val="0"/>
        <w:autoSpaceDN w:val="0"/>
        <w:adjustRightInd w:val="0"/>
        <w:spacing w:after="0" w:line="240" w:lineRule="auto"/>
        <w:jc w:val="both"/>
        <w:rPr>
          <w:rFonts w:cs="Georgia"/>
          <w:color w:val="000000" w:themeColor="text1"/>
          <w:sz w:val="24"/>
          <w:szCs w:val="24"/>
        </w:rPr>
      </w:pPr>
      <w:r w:rsidRPr="00ED0973">
        <w:rPr>
          <w:rFonts w:cs="Georgia"/>
          <w:color w:val="000000" w:themeColor="text1"/>
          <w:sz w:val="24"/>
          <w:szCs w:val="24"/>
        </w:rPr>
        <w:t xml:space="preserve"> </w:t>
      </w:r>
    </w:p>
    <w:p w14:paraId="204C9271" w14:textId="1DA636E1" w:rsidR="00D32C3D" w:rsidRPr="00706C6E" w:rsidRDefault="00DE7F35" w:rsidP="00D73158">
      <w:pPr>
        <w:pStyle w:val="Kop2"/>
        <w:jc w:val="both"/>
        <w:rPr>
          <w:rFonts w:asciiTheme="minorHAnsi" w:hAnsiTheme="minorHAnsi"/>
          <w:color w:val="4F81BD" w:themeColor="accent1"/>
          <w:sz w:val="24"/>
          <w:szCs w:val="24"/>
        </w:rPr>
      </w:pPr>
      <w:r w:rsidRPr="00706C6E">
        <w:rPr>
          <w:rFonts w:asciiTheme="minorHAnsi" w:hAnsiTheme="minorHAnsi"/>
          <w:color w:val="4F81BD" w:themeColor="accent1"/>
          <w:sz w:val="24"/>
          <w:szCs w:val="24"/>
        </w:rPr>
        <w:t xml:space="preserve">3.6 </w:t>
      </w:r>
      <w:r w:rsidR="731A9F31" w:rsidRPr="00706C6E">
        <w:rPr>
          <w:rFonts w:asciiTheme="minorHAnsi" w:hAnsiTheme="minorHAnsi"/>
          <w:color w:val="4F81BD" w:themeColor="accent1"/>
          <w:sz w:val="24"/>
          <w:szCs w:val="24"/>
        </w:rPr>
        <w:t>Need for ISDS / ICS between EU &amp; USA / Canada?</w:t>
      </w:r>
    </w:p>
    <w:p w14:paraId="3DDDB4D6" w14:textId="375E64D6" w:rsidR="00C21B67" w:rsidRPr="00014198" w:rsidRDefault="004C7208" w:rsidP="00D73158">
      <w:pPr>
        <w:jc w:val="both"/>
        <w:rPr>
          <w:color w:val="000000" w:themeColor="text1"/>
          <w:sz w:val="24"/>
          <w:szCs w:val="24"/>
        </w:rPr>
      </w:pPr>
      <w:r>
        <w:rPr>
          <w:color w:val="000000" w:themeColor="text1"/>
          <w:sz w:val="24"/>
          <w:szCs w:val="24"/>
        </w:rPr>
        <w:t>Under ISDS/ICS systems, ho</w:t>
      </w:r>
      <w:r w:rsidRPr="00ED0973">
        <w:rPr>
          <w:color w:val="000000" w:themeColor="text1"/>
          <w:sz w:val="24"/>
          <w:szCs w:val="24"/>
        </w:rPr>
        <w:t>st states that have a dispute with foreign investors are required to outsource the resolution of the case to arbiters. In this way, rule of law challenges (like biased or corrupt judges) in the host states’ judicial systems can be circumvented. Given the state of the legal system in large parts of the world (not limiting ourselves to developing countries) this makes sense. Which begs the question: do we need to include ISDS in the TTIP and CETA? The US, Canadian and EU legal systems are among the most advanced</w:t>
      </w:r>
      <w:r w:rsidR="00014198">
        <w:rPr>
          <w:color w:val="000000" w:themeColor="text1"/>
          <w:sz w:val="24"/>
          <w:szCs w:val="24"/>
        </w:rPr>
        <w:t xml:space="preserve"> systems of the world.</w:t>
      </w:r>
    </w:p>
    <w:p w14:paraId="204C9272" w14:textId="7D6F3B7F" w:rsidR="00812728" w:rsidRPr="00ED0973" w:rsidRDefault="00C51EBB" w:rsidP="00014198">
      <w:pPr>
        <w:ind w:firstLine="720"/>
        <w:jc w:val="both"/>
        <w:rPr>
          <w:color w:val="000000" w:themeColor="text1"/>
          <w:sz w:val="24"/>
          <w:szCs w:val="24"/>
        </w:rPr>
      </w:pPr>
      <w:r>
        <w:rPr>
          <w:color w:val="000000" w:themeColor="text1"/>
          <w:sz w:val="24"/>
          <w:szCs w:val="24"/>
        </w:rPr>
        <w:t xml:space="preserve">Investments from the U.S.A. and Canada in the EU already amounted to 1810.8 and 165.9 billion Euro respectively in 2014, without an EU investment protection regime like the ones envisaged in </w:t>
      </w:r>
      <w:r w:rsidR="00593B27">
        <w:rPr>
          <w:color w:val="000000" w:themeColor="text1"/>
          <w:sz w:val="24"/>
          <w:szCs w:val="24"/>
        </w:rPr>
        <w:t xml:space="preserve">the </w:t>
      </w:r>
      <w:r>
        <w:rPr>
          <w:color w:val="000000" w:themeColor="text1"/>
          <w:sz w:val="24"/>
          <w:szCs w:val="24"/>
        </w:rPr>
        <w:t xml:space="preserve">TTIP and CETA in place. </w:t>
      </w:r>
      <w:r w:rsidR="009344A6">
        <w:rPr>
          <w:color w:val="000000" w:themeColor="text1"/>
          <w:sz w:val="24"/>
          <w:szCs w:val="24"/>
        </w:rPr>
        <w:t xml:space="preserve">One argument frequently encountered from the side of ISDS/ICS proponents is that many of the </w:t>
      </w:r>
      <w:r>
        <w:rPr>
          <w:color w:val="000000" w:themeColor="text1"/>
          <w:sz w:val="24"/>
          <w:szCs w:val="24"/>
        </w:rPr>
        <w:t>BITs that the EU wants to repl</w:t>
      </w:r>
      <w:r w:rsidR="009344A6">
        <w:rPr>
          <w:color w:val="000000" w:themeColor="text1"/>
          <w:sz w:val="24"/>
          <w:szCs w:val="24"/>
        </w:rPr>
        <w:t>ace already contain ISDS provisions</w:t>
      </w:r>
      <w:r w:rsidR="001A0BA8">
        <w:rPr>
          <w:color w:val="000000" w:themeColor="text1"/>
          <w:sz w:val="24"/>
          <w:szCs w:val="24"/>
        </w:rPr>
        <w:t xml:space="preserve">. What that argument ignores, however, is that where </w:t>
      </w:r>
      <w:r w:rsidR="0036430A" w:rsidRPr="00ED0973">
        <w:rPr>
          <w:color w:val="000000" w:themeColor="text1"/>
          <w:sz w:val="24"/>
          <w:szCs w:val="24"/>
        </w:rPr>
        <w:t>the relationship between the USA and the EU Member States</w:t>
      </w:r>
      <w:r w:rsidR="002668B1" w:rsidRPr="00ED0973">
        <w:rPr>
          <w:color w:val="000000" w:themeColor="text1"/>
          <w:sz w:val="24"/>
          <w:szCs w:val="24"/>
        </w:rPr>
        <w:t xml:space="preserve"> is concerned</w:t>
      </w:r>
      <w:r>
        <w:rPr>
          <w:color w:val="000000" w:themeColor="text1"/>
          <w:sz w:val="24"/>
          <w:szCs w:val="24"/>
        </w:rPr>
        <w:t xml:space="preserve">, </w:t>
      </w:r>
      <w:r w:rsidR="0036430A" w:rsidRPr="00ED0973">
        <w:rPr>
          <w:color w:val="000000" w:themeColor="text1"/>
          <w:sz w:val="24"/>
          <w:szCs w:val="24"/>
        </w:rPr>
        <w:t>no</w:t>
      </w:r>
      <w:r>
        <w:rPr>
          <w:color w:val="000000" w:themeColor="text1"/>
          <w:sz w:val="24"/>
          <w:szCs w:val="24"/>
        </w:rPr>
        <w:t>t a single BIT</w:t>
      </w:r>
      <w:r w:rsidR="0036430A" w:rsidRPr="00ED0973">
        <w:rPr>
          <w:color w:val="000000" w:themeColor="text1"/>
          <w:sz w:val="24"/>
          <w:szCs w:val="24"/>
        </w:rPr>
        <w:t xml:space="preserve"> with </w:t>
      </w:r>
      <w:r w:rsidR="00F4067D" w:rsidRPr="00ED0973">
        <w:rPr>
          <w:color w:val="000000" w:themeColor="text1"/>
          <w:sz w:val="24"/>
          <w:szCs w:val="24"/>
        </w:rPr>
        <w:t xml:space="preserve">any of the original EU-15 member states </w:t>
      </w:r>
      <w:r w:rsidR="0036430A" w:rsidRPr="00ED0973">
        <w:rPr>
          <w:color w:val="000000" w:themeColor="text1"/>
          <w:sz w:val="24"/>
          <w:szCs w:val="24"/>
        </w:rPr>
        <w:t>exist</w:t>
      </w:r>
      <w:r>
        <w:rPr>
          <w:color w:val="000000" w:themeColor="text1"/>
          <w:sz w:val="24"/>
          <w:szCs w:val="24"/>
        </w:rPr>
        <w:t>s</w:t>
      </w:r>
      <w:r w:rsidR="00122165" w:rsidRPr="00ED0973">
        <w:rPr>
          <w:color w:val="000000" w:themeColor="text1"/>
          <w:sz w:val="24"/>
          <w:szCs w:val="24"/>
        </w:rPr>
        <w:t>. Friendship, Commerce and Navigation Treaties (FCNT</w:t>
      </w:r>
      <w:r w:rsidR="002E731F">
        <w:rPr>
          <w:color w:val="000000" w:themeColor="text1"/>
          <w:sz w:val="24"/>
          <w:szCs w:val="24"/>
        </w:rPr>
        <w:t>s</w:t>
      </w:r>
      <w:r w:rsidR="00122165" w:rsidRPr="00ED0973">
        <w:rPr>
          <w:color w:val="000000" w:themeColor="text1"/>
          <w:sz w:val="24"/>
          <w:szCs w:val="24"/>
        </w:rPr>
        <w:t xml:space="preserve">) do exist between the USA and several of these EU states. These </w:t>
      </w:r>
      <w:r w:rsidR="002E731F">
        <w:rPr>
          <w:color w:val="000000" w:themeColor="text1"/>
          <w:sz w:val="24"/>
          <w:szCs w:val="24"/>
        </w:rPr>
        <w:t xml:space="preserve">FCNTs </w:t>
      </w:r>
      <w:r w:rsidR="00122165" w:rsidRPr="00ED0973">
        <w:rPr>
          <w:color w:val="000000" w:themeColor="text1"/>
          <w:sz w:val="24"/>
          <w:szCs w:val="24"/>
        </w:rPr>
        <w:t xml:space="preserve">cover, amongst other things, investment protection, but do not contain an ISDS </w:t>
      </w:r>
      <w:r w:rsidR="00122165" w:rsidRPr="00ED0973">
        <w:rPr>
          <w:color w:val="000000" w:themeColor="text1"/>
          <w:sz w:val="24"/>
          <w:szCs w:val="24"/>
        </w:rPr>
        <w:lastRenderedPageBreak/>
        <w:t>mechanism.</w:t>
      </w:r>
      <w:r w:rsidR="002E2DCD" w:rsidRPr="00ED0973">
        <w:rPr>
          <w:rStyle w:val="Voetnootmarkering"/>
          <w:color w:val="000000" w:themeColor="text1"/>
          <w:sz w:val="24"/>
          <w:szCs w:val="24"/>
        </w:rPr>
        <w:footnoteReference w:id="110"/>
      </w:r>
      <w:r w:rsidR="00122165" w:rsidRPr="00ED0973">
        <w:rPr>
          <w:color w:val="000000" w:themeColor="text1"/>
          <w:sz w:val="24"/>
          <w:szCs w:val="24"/>
        </w:rPr>
        <w:t xml:space="preserve"> Hence, there have not </w:t>
      </w:r>
      <w:r w:rsidR="00F64240" w:rsidRPr="00ED0973">
        <w:rPr>
          <w:color w:val="000000" w:themeColor="text1"/>
          <w:sz w:val="24"/>
          <w:szCs w:val="24"/>
        </w:rPr>
        <w:t xml:space="preserve">been </w:t>
      </w:r>
      <w:r w:rsidR="00CB02CA">
        <w:rPr>
          <w:color w:val="000000" w:themeColor="text1"/>
          <w:sz w:val="24"/>
          <w:szCs w:val="24"/>
        </w:rPr>
        <w:t xml:space="preserve">any </w:t>
      </w:r>
      <w:r w:rsidR="00F64240" w:rsidRPr="00ED0973">
        <w:rPr>
          <w:color w:val="000000" w:themeColor="text1"/>
          <w:sz w:val="24"/>
          <w:szCs w:val="24"/>
        </w:rPr>
        <w:t>ISDS cases between a U</w:t>
      </w:r>
      <w:r w:rsidR="0021764D">
        <w:rPr>
          <w:color w:val="000000" w:themeColor="text1"/>
          <w:sz w:val="24"/>
          <w:szCs w:val="24"/>
        </w:rPr>
        <w:t>.</w:t>
      </w:r>
      <w:r w:rsidR="00F64240" w:rsidRPr="00ED0973">
        <w:rPr>
          <w:color w:val="000000" w:themeColor="text1"/>
          <w:sz w:val="24"/>
          <w:szCs w:val="24"/>
        </w:rPr>
        <w:t>S</w:t>
      </w:r>
      <w:r w:rsidR="0021764D">
        <w:rPr>
          <w:color w:val="000000" w:themeColor="text1"/>
          <w:sz w:val="24"/>
          <w:szCs w:val="24"/>
        </w:rPr>
        <w:t>.</w:t>
      </w:r>
      <w:r w:rsidR="00F64240" w:rsidRPr="00ED0973">
        <w:rPr>
          <w:color w:val="000000" w:themeColor="text1"/>
          <w:sz w:val="24"/>
          <w:szCs w:val="24"/>
        </w:rPr>
        <w:t xml:space="preserve"> company and one of these </w:t>
      </w:r>
      <w:r w:rsidR="00BE5683">
        <w:rPr>
          <w:color w:val="000000" w:themeColor="text1"/>
          <w:sz w:val="24"/>
          <w:szCs w:val="24"/>
        </w:rPr>
        <w:t xml:space="preserve">original </w:t>
      </w:r>
      <w:r w:rsidR="0021764D">
        <w:rPr>
          <w:color w:val="000000" w:themeColor="text1"/>
          <w:sz w:val="24"/>
          <w:szCs w:val="24"/>
        </w:rPr>
        <w:t xml:space="preserve">EU </w:t>
      </w:r>
      <w:r w:rsidR="00F64240" w:rsidRPr="00ED0973">
        <w:rPr>
          <w:color w:val="000000" w:themeColor="text1"/>
          <w:sz w:val="24"/>
          <w:szCs w:val="24"/>
        </w:rPr>
        <w:t>states</w:t>
      </w:r>
      <w:r w:rsidR="00CB02CA">
        <w:rPr>
          <w:color w:val="000000" w:themeColor="text1"/>
          <w:sz w:val="24"/>
          <w:szCs w:val="24"/>
        </w:rPr>
        <w:t xml:space="preserve"> under BITs</w:t>
      </w:r>
      <w:r w:rsidR="00F4067D" w:rsidRPr="00ED0973">
        <w:rPr>
          <w:color w:val="000000" w:themeColor="text1"/>
          <w:sz w:val="24"/>
          <w:szCs w:val="24"/>
        </w:rPr>
        <w:t>.</w:t>
      </w:r>
      <w:r w:rsidR="00F64240" w:rsidRPr="00ED0973">
        <w:rPr>
          <w:rStyle w:val="Voetnootmarkering"/>
          <w:color w:val="000000" w:themeColor="text1"/>
          <w:sz w:val="24"/>
          <w:szCs w:val="24"/>
        </w:rPr>
        <w:footnoteReference w:id="111"/>
      </w:r>
      <w:r w:rsidR="0021764D">
        <w:rPr>
          <w:color w:val="000000" w:themeColor="text1"/>
          <w:sz w:val="24"/>
          <w:szCs w:val="24"/>
        </w:rPr>
        <w:t xml:space="preserve"> Only from the</w:t>
      </w:r>
      <w:r w:rsidR="00F4067D" w:rsidRPr="00ED0973">
        <w:rPr>
          <w:color w:val="000000" w:themeColor="text1"/>
          <w:sz w:val="24"/>
          <w:szCs w:val="24"/>
        </w:rPr>
        <w:t xml:space="preserve"> 1990s</w:t>
      </w:r>
      <w:r w:rsidR="0021764D">
        <w:rPr>
          <w:color w:val="000000" w:themeColor="text1"/>
          <w:sz w:val="24"/>
          <w:szCs w:val="24"/>
        </w:rPr>
        <w:t xml:space="preserve"> onwards</w:t>
      </w:r>
      <w:r w:rsidR="00F4067D" w:rsidRPr="00ED0973">
        <w:rPr>
          <w:color w:val="000000" w:themeColor="text1"/>
          <w:sz w:val="24"/>
          <w:szCs w:val="24"/>
        </w:rPr>
        <w:t>,</w:t>
      </w:r>
      <w:r w:rsidR="0036430A" w:rsidRPr="00ED0973">
        <w:rPr>
          <w:color w:val="000000" w:themeColor="text1"/>
          <w:sz w:val="24"/>
          <w:szCs w:val="24"/>
        </w:rPr>
        <w:t xml:space="preserve"> BITs were concluded </w:t>
      </w:r>
      <w:r w:rsidR="0021764D">
        <w:rPr>
          <w:color w:val="000000" w:themeColor="text1"/>
          <w:sz w:val="24"/>
          <w:szCs w:val="24"/>
        </w:rPr>
        <w:t>between the U.S.A. and</w:t>
      </w:r>
      <w:r w:rsidR="0036430A" w:rsidRPr="00ED0973">
        <w:rPr>
          <w:color w:val="000000" w:themeColor="text1"/>
          <w:sz w:val="24"/>
          <w:szCs w:val="24"/>
        </w:rPr>
        <w:t xml:space="preserve"> </w:t>
      </w:r>
      <w:r w:rsidR="0021764D">
        <w:rPr>
          <w:color w:val="000000" w:themeColor="text1"/>
          <w:sz w:val="24"/>
          <w:szCs w:val="24"/>
        </w:rPr>
        <w:t xml:space="preserve">a number of Eastern European </w:t>
      </w:r>
      <w:r w:rsidR="0036430A" w:rsidRPr="00ED0973">
        <w:rPr>
          <w:color w:val="000000" w:themeColor="text1"/>
          <w:sz w:val="24"/>
          <w:szCs w:val="24"/>
        </w:rPr>
        <w:t xml:space="preserve">countries </w:t>
      </w:r>
      <w:r w:rsidR="0021764D">
        <w:rPr>
          <w:color w:val="000000" w:themeColor="text1"/>
          <w:sz w:val="24"/>
          <w:szCs w:val="24"/>
        </w:rPr>
        <w:t xml:space="preserve">that </w:t>
      </w:r>
      <w:r w:rsidR="00F4067D" w:rsidRPr="00ED0973">
        <w:rPr>
          <w:color w:val="000000" w:themeColor="text1"/>
          <w:sz w:val="24"/>
          <w:szCs w:val="24"/>
        </w:rPr>
        <w:t xml:space="preserve">joined the EU </w:t>
      </w:r>
      <w:r w:rsidR="0021764D">
        <w:rPr>
          <w:color w:val="000000" w:themeColor="text1"/>
          <w:sz w:val="24"/>
          <w:szCs w:val="24"/>
        </w:rPr>
        <w:t>at a later stage.</w:t>
      </w:r>
      <w:r w:rsidR="0021764D">
        <w:rPr>
          <w:rStyle w:val="Voetnootmarkering"/>
          <w:color w:val="000000" w:themeColor="text1"/>
          <w:sz w:val="24"/>
          <w:szCs w:val="24"/>
        </w:rPr>
        <w:footnoteReference w:id="112"/>
      </w:r>
      <w:r w:rsidR="0021764D">
        <w:rPr>
          <w:color w:val="000000" w:themeColor="text1"/>
          <w:sz w:val="24"/>
          <w:szCs w:val="24"/>
        </w:rPr>
        <w:t xml:space="preserve"> </w:t>
      </w:r>
      <w:r w:rsidR="00852D25" w:rsidRPr="00ED0973">
        <w:rPr>
          <w:color w:val="000000" w:themeColor="text1"/>
          <w:sz w:val="24"/>
          <w:szCs w:val="24"/>
        </w:rPr>
        <w:t>Apparently, the need to regulate inves</w:t>
      </w:r>
      <w:r w:rsidR="00617B64" w:rsidRPr="00ED0973">
        <w:rPr>
          <w:color w:val="000000" w:themeColor="text1"/>
          <w:sz w:val="24"/>
          <w:szCs w:val="24"/>
        </w:rPr>
        <w:t>tment protection with these</w:t>
      </w:r>
      <w:r w:rsidR="00852D25" w:rsidRPr="00ED0973">
        <w:rPr>
          <w:color w:val="000000" w:themeColor="text1"/>
          <w:sz w:val="24"/>
          <w:szCs w:val="24"/>
        </w:rPr>
        <w:t xml:space="preserve"> countries with their economies and law syst</w:t>
      </w:r>
      <w:r w:rsidR="0021764D">
        <w:rPr>
          <w:color w:val="000000" w:themeColor="text1"/>
          <w:sz w:val="24"/>
          <w:szCs w:val="24"/>
        </w:rPr>
        <w:t xml:space="preserve">ems in transition was </w:t>
      </w:r>
      <w:r w:rsidR="00617B64" w:rsidRPr="00ED0973">
        <w:rPr>
          <w:color w:val="000000" w:themeColor="text1"/>
          <w:sz w:val="24"/>
          <w:szCs w:val="24"/>
        </w:rPr>
        <w:t>necessary</w:t>
      </w:r>
      <w:r w:rsidR="00852D25" w:rsidRPr="00ED0973">
        <w:rPr>
          <w:color w:val="000000" w:themeColor="text1"/>
          <w:sz w:val="24"/>
          <w:szCs w:val="24"/>
        </w:rPr>
        <w:t xml:space="preserve">. </w:t>
      </w:r>
      <w:r w:rsidR="000C6A60" w:rsidRPr="00ED0973">
        <w:rPr>
          <w:color w:val="000000" w:themeColor="text1"/>
          <w:sz w:val="24"/>
          <w:szCs w:val="24"/>
        </w:rPr>
        <w:t xml:space="preserve">In other words: the USA </w:t>
      </w:r>
      <w:r w:rsidR="00C929E7">
        <w:rPr>
          <w:color w:val="000000" w:themeColor="text1"/>
          <w:sz w:val="24"/>
          <w:szCs w:val="24"/>
        </w:rPr>
        <w:t xml:space="preserve">probably </w:t>
      </w:r>
      <w:r w:rsidR="000C6A60" w:rsidRPr="00ED0973">
        <w:rPr>
          <w:color w:val="000000" w:themeColor="text1"/>
          <w:sz w:val="24"/>
          <w:szCs w:val="24"/>
        </w:rPr>
        <w:t>did not trust their legal systems</w:t>
      </w:r>
      <w:r w:rsidR="00617B64" w:rsidRPr="00ED0973">
        <w:rPr>
          <w:color w:val="000000" w:themeColor="text1"/>
          <w:sz w:val="24"/>
          <w:szCs w:val="24"/>
        </w:rPr>
        <w:t>, and there might have been</w:t>
      </w:r>
      <w:r w:rsidR="000C6A60" w:rsidRPr="00ED0973">
        <w:rPr>
          <w:color w:val="000000" w:themeColor="text1"/>
          <w:sz w:val="24"/>
          <w:szCs w:val="24"/>
        </w:rPr>
        <w:t xml:space="preserve"> good reasons </w:t>
      </w:r>
      <w:r w:rsidR="00617B64" w:rsidRPr="00ED0973">
        <w:rPr>
          <w:color w:val="000000" w:themeColor="text1"/>
          <w:sz w:val="24"/>
          <w:szCs w:val="24"/>
        </w:rPr>
        <w:t xml:space="preserve">for that </w:t>
      </w:r>
      <w:r w:rsidR="00812728" w:rsidRPr="00ED0973">
        <w:rPr>
          <w:color w:val="000000" w:themeColor="text1"/>
          <w:sz w:val="24"/>
          <w:szCs w:val="24"/>
        </w:rPr>
        <w:t>at the time</w:t>
      </w:r>
      <w:r w:rsidR="006C4F0C">
        <w:rPr>
          <w:color w:val="000000" w:themeColor="text1"/>
          <w:sz w:val="24"/>
          <w:szCs w:val="24"/>
        </w:rPr>
        <w:t xml:space="preserve"> -</w:t>
      </w:r>
      <w:r w:rsidR="00BE5683">
        <w:rPr>
          <w:color w:val="000000" w:themeColor="text1"/>
          <w:sz w:val="24"/>
          <w:szCs w:val="24"/>
        </w:rPr>
        <w:t xml:space="preserve"> </w:t>
      </w:r>
      <w:r w:rsidR="006A0F9F">
        <w:rPr>
          <w:color w:val="000000" w:themeColor="text1"/>
          <w:sz w:val="24"/>
          <w:szCs w:val="24"/>
        </w:rPr>
        <w:t xml:space="preserve">and in some cases maybe </w:t>
      </w:r>
      <w:r w:rsidR="00A91F06">
        <w:rPr>
          <w:color w:val="000000" w:themeColor="text1"/>
          <w:sz w:val="24"/>
          <w:szCs w:val="24"/>
        </w:rPr>
        <w:t>some</w:t>
      </w:r>
      <w:r w:rsidR="000D4FA4">
        <w:rPr>
          <w:color w:val="000000" w:themeColor="text1"/>
          <w:sz w:val="24"/>
          <w:szCs w:val="24"/>
        </w:rPr>
        <w:t xml:space="preserve"> of those</w:t>
      </w:r>
      <w:r w:rsidR="00A91F06">
        <w:rPr>
          <w:color w:val="000000" w:themeColor="text1"/>
          <w:sz w:val="24"/>
          <w:szCs w:val="24"/>
        </w:rPr>
        <w:t xml:space="preserve"> reasons </w:t>
      </w:r>
      <w:r w:rsidR="001C30A3">
        <w:rPr>
          <w:color w:val="000000" w:themeColor="text1"/>
          <w:sz w:val="24"/>
          <w:szCs w:val="24"/>
        </w:rPr>
        <w:t>remain</w:t>
      </w:r>
      <w:r w:rsidR="00812728" w:rsidRPr="00ED0973">
        <w:rPr>
          <w:color w:val="000000" w:themeColor="text1"/>
          <w:sz w:val="24"/>
          <w:szCs w:val="24"/>
        </w:rPr>
        <w:t>. U</w:t>
      </w:r>
      <w:r w:rsidR="0021764D">
        <w:rPr>
          <w:color w:val="000000" w:themeColor="text1"/>
          <w:sz w:val="24"/>
          <w:szCs w:val="24"/>
        </w:rPr>
        <w:t>.</w:t>
      </w:r>
      <w:r w:rsidR="00812728" w:rsidRPr="00ED0973">
        <w:rPr>
          <w:color w:val="000000" w:themeColor="text1"/>
          <w:sz w:val="24"/>
          <w:szCs w:val="24"/>
        </w:rPr>
        <w:t>S</w:t>
      </w:r>
      <w:r w:rsidR="0021764D">
        <w:rPr>
          <w:color w:val="000000" w:themeColor="text1"/>
          <w:sz w:val="24"/>
          <w:szCs w:val="24"/>
        </w:rPr>
        <w:t>.</w:t>
      </w:r>
      <w:r w:rsidR="00812728" w:rsidRPr="00ED0973">
        <w:rPr>
          <w:color w:val="000000" w:themeColor="text1"/>
          <w:sz w:val="24"/>
          <w:szCs w:val="24"/>
        </w:rPr>
        <w:t xml:space="preserve"> investors initiated six cases against Poland and Romania (respondents in three cases each) in the period 2003-2013.</w:t>
      </w:r>
      <w:r w:rsidR="00812728" w:rsidRPr="00ED0973">
        <w:rPr>
          <w:rStyle w:val="Voetnootmarkering"/>
          <w:color w:val="000000" w:themeColor="text1"/>
          <w:sz w:val="24"/>
          <w:szCs w:val="24"/>
        </w:rPr>
        <w:footnoteReference w:id="113"/>
      </w:r>
    </w:p>
    <w:p w14:paraId="204C9273" w14:textId="1CF654A2" w:rsidR="00977D3B" w:rsidRDefault="0021764D" w:rsidP="00FD2CA8">
      <w:pPr>
        <w:ind w:firstLine="720"/>
        <w:jc w:val="both"/>
        <w:rPr>
          <w:color w:val="000000" w:themeColor="text1"/>
          <w:sz w:val="24"/>
          <w:szCs w:val="24"/>
        </w:rPr>
      </w:pPr>
      <w:r>
        <w:rPr>
          <w:color w:val="000000" w:themeColor="text1"/>
          <w:sz w:val="24"/>
          <w:szCs w:val="24"/>
        </w:rPr>
        <w:t>T</w:t>
      </w:r>
      <w:r w:rsidR="00852D25" w:rsidRPr="00ED0973">
        <w:rPr>
          <w:color w:val="000000" w:themeColor="text1"/>
          <w:sz w:val="24"/>
          <w:szCs w:val="24"/>
        </w:rPr>
        <w:t xml:space="preserve">he </w:t>
      </w:r>
      <w:r w:rsidR="000C6A60" w:rsidRPr="00ED0973">
        <w:rPr>
          <w:color w:val="000000" w:themeColor="text1"/>
          <w:sz w:val="24"/>
          <w:szCs w:val="24"/>
        </w:rPr>
        <w:t xml:space="preserve">former communist countries </w:t>
      </w:r>
      <w:r>
        <w:rPr>
          <w:color w:val="000000" w:themeColor="text1"/>
          <w:sz w:val="24"/>
          <w:szCs w:val="24"/>
        </w:rPr>
        <w:t>that concluded BITs with the U.S.A. later on joined the EU</w:t>
      </w:r>
      <w:r w:rsidR="00617B64" w:rsidRPr="00ED0973">
        <w:rPr>
          <w:color w:val="000000" w:themeColor="text1"/>
          <w:sz w:val="24"/>
          <w:szCs w:val="24"/>
        </w:rPr>
        <w:t xml:space="preserve"> after extensive reforms of </w:t>
      </w:r>
      <w:r w:rsidR="00852D25" w:rsidRPr="00ED0973">
        <w:rPr>
          <w:color w:val="000000" w:themeColor="text1"/>
          <w:sz w:val="24"/>
          <w:szCs w:val="24"/>
        </w:rPr>
        <w:t>their legal systems</w:t>
      </w:r>
      <w:r w:rsidR="00617B64" w:rsidRPr="00ED0973">
        <w:rPr>
          <w:color w:val="000000" w:themeColor="text1"/>
          <w:sz w:val="24"/>
          <w:szCs w:val="24"/>
        </w:rPr>
        <w:t xml:space="preserve">. </w:t>
      </w:r>
      <w:r w:rsidR="000C6A60" w:rsidRPr="00ED0973">
        <w:rPr>
          <w:color w:val="000000" w:themeColor="text1"/>
          <w:sz w:val="24"/>
          <w:szCs w:val="24"/>
        </w:rPr>
        <w:t>In principle, that means that there is as little need for ISDS/ICS as there is for such a method of dispute settlement with the rest of the EU member states</w:t>
      </w:r>
      <w:r w:rsidR="00852D25" w:rsidRPr="00ED0973">
        <w:rPr>
          <w:color w:val="000000" w:themeColor="text1"/>
          <w:sz w:val="24"/>
          <w:szCs w:val="24"/>
        </w:rPr>
        <w:t>.</w:t>
      </w:r>
      <w:r w:rsidR="008348C9" w:rsidRPr="00ED0973">
        <w:rPr>
          <w:rStyle w:val="Voetnootmarkering"/>
          <w:color w:val="000000" w:themeColor="text1"/>
          <w:sz w:val="24"/>
          <w:szCs w:val="24"/>
        </w:rPr>
        <w:footnoteReference w:id="114"/>
      </w:r>
      <w:r w:rsidR="00852D25" w:rsidRPr="00ED0973">
        <w:rPr>
          <w:color w:val="000000" w:themeColor="text1"/>
          <w:sz w:val="24"/>
          <w:szCs w:val="24"/>
        </w:rPr>
        <w:t xml:space="preserve"> </w:t>
      </w:r>
      <w:r w:rsidR="00FB594B">
        <w:rPr>
          <w:color w:val="000000" w:themeColor="text1"/>
          <w:sz w:val="24"/>
          <w:szCs w:val="24"/>
        </w:rPr>
        <w:t xml:space="preserve">Joining the European Union means that </w:t>
      </w:r>
      <w:r w:rsidR="002368F8">
        <w:rPr>
          <w:color w:val="000000" w:themeColor="text1"/>
          <w:sz w:val="24"/>
          <w:szCs w:val="24"/>
        </w:rPr>
        <w:t xml:space="preserve">the rule of </w:t>
      </w:r>
      <w:r w:rsidR="00842F04">
        <w:rPr>
          <w:color w:val="000000" w:themeColor="text1"/>
          <w:sz w:val="24"/>
          <w:szCs w:val="24"/>
        </w:rPr>
        <w:t>law systems should meet EU</w:t>
      </w:r>
      <w:r w:rsidR="002368F8">
        <w:rPr>
          <w:color w:val="000000" w:themeColor="text1"/>
          <w:sz w:val="24"/>
          <w:szCs w:val="24"/>
        </w:rPr>
        <w:t xml:space="preserve"> requirements. </w:t>
      </w:r>
      <w:r w:rsidR="00842F04">
        <w:rPr>
          <w:color w:val="000000" w:themeColor="text1"/>
          <w:sz w:val="24"/>
          <w:szCs w:val="24"/>
        </w:rPr>
        <w:t xml:space="preserve">In some cases, the conditions were not applied as </w:t>
      </w:r>
      <w:r w:rsidR="00AE78B9">
        <w:rPr>
          <w:color w:val="000000" w:themeColor="text1"/>
          <w:sz w:val="24"/>
          <w:szCs w:val="24"/>
        </w:rPr>
        <w:t xml:space="preserve">strict as they should have, as political reasons </w:t>
      </w:r>
      <w:r w:rsidR="00CC69A4">
        <w:rPr>
          <w:color w:val="000000" w:themeColor="text1"/>
          <w:sz w:val="24"/>
          <w:szCs w:val="24"/>
        </w:rPr>
        <w:t xml:space="preserve">to speed up the accession process overruled </w:t>
      </w:r>
      <w:r w:rsidR="00647355">
        <w:rPr>
          <w:color w:val="000000" w:themeColor="text1"/>
          <w:sz w:val="24"/>
          <w:szCs w:val="24"/>
        </w:rPr>
        <w:t xml:space="preserve">the process. </w:t>
      </w:r>
      <w:r w:rsidR="00852D25" w:rsidRPr="00ED0973">
        <w:rPr>
          <w:color w:val="000000" w:themeColor="text1"/>
          <w:sz w:val="24"/>
          <w:szCs w:val="24"/>
        </w:rPr>
        <w:t xml:space="preserve">While </w:t>
      </w:r>
      <w:r w:rsidR="00617B64" w:rsidRPr="00ED0973">
        <w:rPr>
          <w:color w:val="000000" w:themeColor="text1"/>
          <w:sz w:val="24"/>
          <w:szCs w:val="24"/>
        </w:rPr>
        <w:t xml:space="preserve">remaining challenges </w:t>
      </w:r>
      <w:r w:rsidR="00852D25" w:rsidRPr="00ED0973">
        <w:rPr>
          <w:color w:val="000000" w:themeColor="text1"/>
          <w:sz w:val="24"/>
          <w:szCs w:val="24"/>
        </w:rPr>
        <w:t>in the legal systems of some of the newcomers</w:t>
      </w:r>
      <w:r w:rsidR="00647355">
        <w:rPr>
          <w:color w:val="000000" w:themeColor="text1"/>
          <w:sz w:val="24"/>
          <w:szCs w:val="24"/>
        </w:rPr>
        <w:t xml:space="preserve"> thus</w:t>
      </w:r>
      <w:r w:rsidR="00852D25" w:rsidRPr="00ED0973">
        <w:rPr>
          <w:color w:val="000000" w:themeColor="text1"/>
          <w:sz w:val="24"/>
          <w:szCs w:val="24"/>
        </w:rPr>
        <w:t xml:space="preserve"> cannot be denied, </w:t>
      </w:r>
      <w:r w:rsidR="00617B64" w:rsidRPr="00ED0973">
        <w:rPr>
          <w:color w:val="000000" w:themeColor="text1"/>
          <w:sz w:val="24"/>
          <w:szCs w:val="24"/>
        </w:rPr>
        <w:t xml:space="preserve">and new ones can </w:t>
      </w:r>
      <w:r w:rsidR="00FE63C7">
        <w:rPr>
          <w:color w:val="000000" w:themeColor="text1"/>
          <w:sz w:val="24"/>
          <w:szCs w:val="24"/>
        </w:rPr>
        <w:t xml:space="preserve">and are </w:t>
      </w:r>
      <w:r w:rsidR="002F63C5">
        <w:rPr>
          <w:color w:val="000000" w:themeColor="text1"/>
          <w:sz w:val="24"/>
          <w:szCs w:val="24"/>
        </w:rPr>
        <w:t>emerging</w:t>
      </w:r>
      <w:r w:rsidR="009E2C2B" w:rsidRPr="00ED0973">
        <w:rPr>
          <w:color w:val="000000" w:themeColor="text1"/>
          <w:sz w:val="24"/>
          <w:szCs w:val="24"/>
        </w:rPr>
        <w:t xml:space="preserve">, </w:t>
      </w:r>
      <w:r w:rsidR="00781FB4" w:rsidRPr="00ED0973">
        <w:rPr>
          <w:color w:val="000000" w:themeColor="text1"/>
          <w:sz w:val="24"/>
          <w:szCs w:val="24"/>
        </w:rPr>
        <w:t xml:space="preserve">it </w:t>
      </w:r>
      <w:r w:rsidR="002F63C5">
        <w:rPr>
          <w:color w:val="000000" w:themeColor="text1"/>
          <w:sz w:val="24"/>
          <w:szCs w:val="24"/>
        </w:rPr>
        <w:t xml:space="preserve">still is not </w:t>
      </w:r>
      <w:r w:rsidR="00781FB4" w:rsidRPr="00ED0973">
        <w:rPr>
          <w:color w:val="000000" w:themeColor="text1"/>
          <w:sz w:val="24"/>
          <w:szCs w:val="24"/>
        </w:rPr>
        <w:t xml:space="preserve">self-evident that ISDS/ICS provisions need to form a part of the new agreements that the </w:t>
      </w:r>
      <w:r w:rsidR="00FF0C78" w:rsidRPr="00ED0973">
        <w:rPr>
          <w:color w:val="000000" w:themeColor="text1"/>
          <w:sz w:val="24"/>
          <w:szCs w:val="24"/>
        </w:rPr>
        <w:t>EU</w:t>
      </w:r>
      <w:r w:rsidR="00781FB4" w:rsidRPr="00ED0973">
        <w:rPr>
          <w:color w:val="000000" w:themeColor="text1"/>
          <w:sz w:val="24"/>
          <w:szCs w:val="24"/>
        </w:rPr>
        <w:t xml:space="preserve"> aims to conclude with the USA and with Canada. Merely pointing out that ISDS has been a part of BITs traditionally, when that tradition only started during the turbulent 1990s, does not suffice in this respect</w:t>
      </w:r>
      <w:r w:rsidR="006C170A">
        <w:rPr>
          <w:color w:val="000000" w:themeColor="text1"/>
          <w:sz w:val="24"/>
          <w:szCs w:val="24"/>
        </w:rPr>
        <w:t xml:space="preserve">, especially not where only about one third of the current EU Member States has </w:t>
      </w:r>
      <w:r w:rsidR="000776DB">
        <w:rPr>
          <w:color w:val="000000" w:themeColor="text1"/>
          <w:sz w:val="24"/>
          <w:szCs w:val="24"/>
        </w:rPr>
        <w:t>BITs in place with the U.S.A, while two thirds does not</w:t>
      </w:r>
      <w:r w:rsidR="00781FB4" w:rsidRPr="00ED0973">
        <w:rPr>
          <w:color w:val="000000" w:themeColor="text1"/>
          <w:sz w:val="24"/>
          <w:szCs w:val="24"/>
        </w:rPr>
        <w:t xml:space="preserve">. </w:t>
      </w:r>
      <w:r w:rsidR="00FF0C78" w:rsidRPr="00ED0973">
        <w:rPr>
          <w:color w:val="000000" w:themeColor="text1"/>
          <w:sz w:val="24"/>
          <w:szCs w:val="24"/>
        </w:rPr>
        <w:t>With Kokott and Sobotta it can be agreed that “[t]hough EU law does not impose trust in the legal system of third states, there could be specific third states where the legal system already provides sufficient investor protection and, therefore, does not justify special privileges for investors.”</w:t>
      </w:r>
      <w:r w:rsidR="00FF0C78" w:rsidRPr="00ED0973">
        <w:rPr>
          <w:rStyle w:val="Voetnootmarkering"/>
          <w:color w:val="000000" w:themeColor="text1"/>
          <w:sz w:val="24"/>
          <w:szCs w:val="24"/>
        </w:rPr>
        <w:footnoteReference w:id="115"/>
      </w:r>
    </w:p>
    <w:p w14:paraId="27D60DB8" w14:textId="09175C2D" w:rsidR="00B764C1" w:rsidRPr="00ED0973" w:rsidRDefault="00B764C1" w:rsidP="00C31D76">
      <w:pPr>
        <w:ind w:firstLine="720"/>
        <w:jc w:val="both"/>
        <w:rPr>
          <w:color w:val="000000" w:themeColor="text1"/>
          <w:sz w:val="24"/>
          <w:szCs w:val="24"/>
        </w:rPr>
      </w:pPr>
      <w:r w:rsidRPr="00ED0973">
        <w:rPr>
          <w:color w:val="000000" w:themeColor="text1"/>
          <w:sz w:val="24"/>
          <w:szCs w:val="24"/>
        </w:rPr>
        <w:t xml:space="preserve">Marco Bronckers </w:t>
      </w:r>
      <w:r>
        <w:rPr>
          <w:color w:val="000000" w:themeColor="text1"/>
          <w:sz w:val="24"/>
          <w:szCs w:val="24"/>
        </w:rPr>
        <w:t>proposes</w:t>
      </w:r>
      <w:r w:rsidRPr="00ED0973">
        <w:rPr>
          <w:color w:val="000000" w:themeColor="text1"/>
          <w:sz w:val="24"/>
          <w:szCs w:val="24"/>
        </w:rPr>
        <w:t xml:space="preserve"> the argument that we cannot expect the USA to rely on EU domestic courts. Interestingly enough, he refers to Germany in this respect. Foreign investors in that country do not have the same legal protection as domestic investors, he </w:t>
      </w:r>
      <w:r w:rsidRPr="00ED0973">
        <w:rPr>
          <w:color w:val="000000" w:themeColor="text1"/>
          <w:sz w:val="24"/>
          <w:szCs w:val="24"/>
        </w:rPr>
        <w:lastRenderedPageBreak/>
        <w:t>states</w:t>
      </w:r>
      <w:r w:rsidRPr="00ED0973">
        <w:rPr>
          <w:color w:val="000000" w:themeColor="text1"/>
          <w:sz w:val="24"/>
          <w:szCs w:val="24"/>
          <w:vertAlign w:val="superscript"/>
        </w:rPr>
        <w:footnoteReference w:id="116"/>
      </w:r>
      <w:r w:rsidRPr="00ED0973">
        <w:rPr>
          <w:color w:val="000000" w:themeColor="text1"/>
          <w:sz w:val="24"/>
          <w:szCs w:val="24"/>
        </w:rPr>
        <w:t xml:space="preserve"> - referring to an article by Reinhard Quick. In his turn, that author does not actually build the argument, but instead refers to Stephan Schill’s blog.</w:t>
      </w:r>
      <w:r w:rsidRPr="00ED0973">
        <w:rPr>
          <w:color w:val="000000" w:themeColor="text1"/>
          <w:sz w:val="24"/>
          <w:szCs w:val="24"/>
          <w:vertAlign w:val="superscript"/>
        </w:rPr>
        <w:footnoteReference w:id="117"/>
      </w:r>
      <w:r w:rsidRPr="00ED0973">
        <w:rPr>
          <w:color w:val="000000" w:themeColor="text1"/>
          <w:sz w:val="24"/>
          <w:szCs w:val="24"/>
        </w:rPr>
        <w:t xml:space="preserve"> There, it is argued that Art. 19(3) of the German constitution (Grundgesetz, GG) stands in the way of foreign investors invoking that constitution and addressing the German constitutional court (Bundesverfassungsgericht, BVerfG).</w:t>
      </w:r>
      <w:r>
        <w:rPr>
          <w:color w:val="000000" w:themeColor="text1"/>
          <w:sz w:val="24"/>
          <w:szCs w:val="24"/>
          <w:vertAlign w:val="superscript"/>
        </w:rPr>
        <w:t xml:space="preserve"> </w:t>
      </w:r>
      <w:r w:rsidRPr="00ED0973">
        <w:rPr>
          <w:color w:val="000000" w:themeColor="text1"/>
          <w:sz w:val="24"/>
          <w:szCs w:val="24"/>
        </w:rPr>
        <w:t>Art. 19(3) GG states that the basic rights “shall also apply to domestic artificial persons to the extent that the nature of such rights permits.”</w:t>
      </w:r>
      <w:r w:rsidRPr="00ED0973">
        <w:rPr>
          <w:color w:val="000000" w:themeColor="text1"/>
          <w:sz w:val="24"/>
          <w:szCs w:val="24"/>
          <w:vertAlign w:val="superscript"/>
        </w:rPr>
        <w:footnoteReference w:id="118"/>
      </w:r>
      <w:r w:rsidRPr="00ED0973">
        <w:rPr>
          <w:color w:val="000000" w:themeColor="text1"/>
          <w:sz w:val="24"/>
          <w:szCs w:val="24"/>
        </w:rPr>
        <w:t xml:space="preserve">  When accusing the German law system of discrimination, a more in-depth discussion of the issue at hand would seem </w:t>
      </w:r>
      <w:r>
        <w:rPr>
          <w:color w:val="000000" w:themeColor="text1"/>
          <w:sz w:val="24"/>
          <w:szCs w:val="24"/>
        </w:rPr>
        <w:t>advisable. This paper does not form the place for such a discussion, but so</w:t>
      </w:r>
      <w:r w:rsidRPr="00ED0973">
        <w:rPr>
          <w:color w:val="000000" w:themeColor="text1"/>
          <w:sz w:val="24"/>
          <w:szCs w:val="24"/>
        </w:rPr>
        <w:t>me remarks seem at place. First of all, a company active in Germany with an American investor might very well qualify as a 'domestic artificial person' itself and could bring a claim to the BVerfG. Furthermore, it can be noted that the BVerfG has already allowed legal persons from other EU Member States to invoke the same protection as German companies.</w:t>
      </w:r>
      <w:r w:rsidRPr="00ED0973">
        <w:rPr>
          <w:color w:val="000000" w:themeColor="text1"/>
          <w:sz w:val="24"/>
          <w:szCs w:val="24"/>
          <w:vertAlign w:val="superscript"/>
        </w:rPr>
        <w:footnoteReference w:id="119"/>
      </w:r>
      <w:r>
        <w:rPr>
          <w:color w:val="000000" w:themeColor="text1"/>
          <w:sz w:val="24"/>
          <w:szCs w:val="24"/>
        </w:rPr>
        <w:t xml:space="preserve"> In itself, the latter point</w:t>
      </w:r>
      <w:r w:rsidRPr="00ED0973">
        <w:rPr>
          <w:color w:val="000000" w:themeColor="text1"/>
          <w:sz w:val="24"/>
          <w:szCs w:val="24"/>
        </w:rPr>
        <w:t xml:space="preserve"> might not help US companies, but there might actually be yet another way i</w:t>
      </w:r>
      <w:r>
        <w:rPr>
          <w:color w:val="000000" w:themeColor="text1"/>
          <w:sz w:val="24"/>
          <w:szCs w:val="24"/>
        </w:rPr>
        <w:t xml:space="preserve">n which exactly </w:t>
      </w:r>
      <w:r w:rsidRPr="00ED0973">
        <w:rPr>
          <w:color w:val="000000" w:themeColor="text1"/>
          <w:sz w:val="24"/>
          <w:szCs w:val="24"/>
        </w:rPr>
        <w:t>those legal persons could still successfully bring a claim under the German constitution</w:t>
      </w:r>
      <w:r>
        <w:rPr>
          <w:color w:val="000000" w:themeColor="text1"/>
          <w:sz w:val="24"/>
          <w:szCs w:val="24"/>
        </w:rPr>
        <w:t>. The</w:t>
      </w:r>
      <w:r w:rsidRPr="00ED0973">
        <w:rPr>
          <w:color w:val="000000" w:themeColor="text1"/>
          <w:sz w:val="24"/>
          <w:szCs w:val="24"/>
        </w:rPr>
        <w:t xml:space="preserve"> 1956 U.S.-FRG Treaty of Frie</w:t>
      </w:r>
      <w:r>
        <w:rPr>
          <w:color w:val="000000" w:themeColor="text1"/>
          <w:sz w:val="24"/>
          <w:szCs w:val="24"/>
        </w:rPr>
        <w:t>ndship, Commerce and Navigation</w:t>
      </w:r>
      <w:r w:rsidRPr="00ED0973">
        <w:rPr>
          <w:color w:val="000000" w:themeColor="text1"/>
          <w:sz w:val="24"/>
          <w:szCs w:val="24"/>
          <w:vertAlign w:val="superscript"/>
        </w:rPr>
        <w:footnoteReference w:id="120"/>
      </w:r>
      <w:r w:rsidRPr="00ED0973">
        <w:rPr>
          <w:color w:val="000000" w:themeColor="text1"/>
          <w:sz w:val="24"/>
          <w:szCs w:val="24"/>
        </w:rPr>
        <w:t xml:space="preserve"> affords U.S. investors national treatment</w:t>
      </w:r>
      <w:r>
        <w:rPr>
          <w:color w:val="000000" w:themeColor="text1"/>
          <w:sz w:val="24"/>
          <w:szCs w:val="24"/>
        </w:rPr>
        <w:t xml:space="preserve"> and might be invoked in order to ensure that they receive the same protection as German companies</w:t>
      </w:r>
      <w:r w:rsidRPr="00ED0973">
        <w:rPr>
          <w:color w:val="000000" w:themeColor="text1"/>
          <w:sz w:val="24"/>
          <w:szCs w:val="24"/>
        </w:rPr>
        <w:t>.</w:t>
      </w:r>
      <w:r w:rsidRPr="00584547">
        <w:rPr>
          <w:color w:val="000000" w:themeColor="text1"/>
          <w:sz w:val="24"/>
          <w:szCs w:val="24"/>
        </w:rPr>
        <w:t xml:space="preserve"> </w:t>
      </w:r>
      <w:r>
        <w:rPr>
          <w:color w:val="000000" w:themeColor="text1"/>
          <w:sz w:val="24"/>
          <w:szCs w:val="24"/>
        </w:rPr>
        <w:t>The relevant provision in this treaty</w:t>
      </w:r>
      <w:r w:rsidRPr="00584547">
        <w:rPr>
          <w:color w:val="000000" w:themeColor="text1"/>
          <w:sz w:val="24"/>
          <w:szCs w:val="24"/>
        </w:rPr>
        <w:t xml:space="preserve"> </w:t>
      </w:r>
      <w:r>
        <w:rPr>
          <w:color w:val="000000" w:themeColor="text1"/>
          <w:sz w:val="24"/>
          <w:szCs w:val="24"/>
        </w:rPr>
        <w:t>(Article V) also specifi</w:t>
      </w:r>
      <w:r w:rsidRPr="00584547">
        <w:rPr>
          <w:color w:val="000000" w:themeColor="text1"/>
          <w:sz w:val="24"/>
          <w:szCs w:val="24"/>
        </w:rPr>
        <w:t>es that neither Party shall take unreasonable or discriminatory measures that would impair the legally acquired rights or interests within its territories of nationals and companies o</w:t>
      </w:r>
      <w:r>
        <w:rPr>
          <w:color w:val="000000" w:themeColor="text1"/>
          <w:sz w:val="24"/>
          <w:szCs w:val="24"/>
        </w:rPr>
        <w:t>f the other Party in the enter</w:t>
      </w:r>
      <w:r w:rsidRPr="00584547">
        <w:rPr>
          <w:color w:val="000000" w:themeColor="text1"/>
          <w:sz w:val="24"/>
          <w:szCs w:val="24"/>
        </w:rPr>
        <w:t>prises which they have established, in their capital which they have supplied, and prescribes that the taking of property is onl</w:t>
      </w:r>
      <w:r>
        <w:rPr>
          <w:color w:val="000000" w:themeColor="text1"/>
          <w:sz w:val="24"/>
          <w:szCs w:val="24"/>
        </w:rPr>
        <w:t>y possible for the public benefit</w:t>
      </w:r>
      <w:r w:rsidRPr="00584547">
        <w:rPr>
          <w:color w:val="000000" w:themeColor="text1"/>
          <w:sz w:val="24"/>
          <w:szCs w:val="24"/>
        </w:rPr>
        <w:t>, provided that just compens</w:t>
      </w:r>
      <w:r>
        <w:rPr>
          <w:color w:val="000000" w:themeColor="text1"/>
          <w:sz w:val="24"/>
          <w:szCs w:val="24"/>
        </w:rPr>
        <w:t xml:space="preserve">ation is paid. The next provision in the treaty (Article VI) </w:t>
      </w:r>
      <w:r w:rsidRPr="00584547">
        <w:rPr>
          <w:color w:val="000000" w:themeColor="text1"/>
          <w:sz w:val="24"/>
          <w:szCs w:val="24"/>
        </w:rPr>
        <w:t>makes clear that ‘nationals and companies of either Party shall be accorded national treatment with respect to access to the courts of justice and to administrative tribunals and agencies within the territories of the other Par</w:t>
      </w:r>
      <w:r>
        <w:rPr>
          <w:color w:val="000000" w:themeColor="text1"/>
          <w:sz w:val="24"/>
          <w:szCs w:val="24"/>
        </w:rPr>
        <w:t>ty, in all degrees of jurisdic</w:t>
      </w:r>
      <w:r w:rsidRPr="00584547">
        <w:rPr>
          <w:color w:val="000000" w:themeColor="text1"/>
          <w:sz w:val="24"/>
          <w:szCs w:val="24"/>
        </w:rPr>
        <w:t>tion, both in pursuit and in defence of their</w:t>
      </w:r>
      <w:r>
        <w:rPr>
          <w:color w:val="000000" w:themeColor="text1"/>
          <w:sz w:val="24"/>
          <w:szCs w:val="24"/>
        </w:rPr>
        <w:t xml:space="preserve"> rights.’ </w:t>
      </w:r>
      <w:r w:rsidRPr="00584547">
        <w:rPr>
          <w:color w:val="000000" w:themeColor="text1"/>
          <w:sz w:val="24"/>
          <w:szCs w:val="24"/>
        </w:rPr>
        <w:t>Hence, from this treaty it looks like U.S. investors should have no problems to bring their cases, even to the German Constitutional Court.</w:t>
      </w:r>
      <w:r w:rsidRPr="00ED0973">
        <w:rPr>
          <w:color w:val="000000" w:themeColor="text1"/>
          <w:sz w:val="24"/>
          <w:szCs w:val="24"/>
          <w:vertAlign w:val="superscript"/>
        </w:rPr>
        <w:footnoteReference w:id="121"/>
      </w:r>
      <w:r w:rsidRPr="00ED0973">
        <w:rPr>
          <w:color w:val="000000" w:themeColor="text1"/>
          <w:sz w:val="24"/>
          <w:szCs w:val="24"/>
        </w:rPr>
        <w:t xml:space="preserve"> </w:t>
      </w:r>
      <w:r>
        <w:rPr>
          <w:color w:val="000000" w:themeColor="text1"/>
          <w:sz w:val="24"/>
          <w:szCs w:val="24"/>
        </w:rPr>
        <w:t>L</w:t>
      </w:r>
      <w:r w:rsidRPr="00ED0973">
        <w:rPr>
          <w:color w:val="000000" w:themeColor="text1"/>
          <w:sz w:val="24"/>
          <w:szCs w:val="24"/>
        </w:rPr>
        <w:t xml:space="preserve">ast but not least, the US Department of State itself assures us that there are no legal challenges for US companies operating in Germany: “The German legal, regulatory and accounting systems can be complex, but are transparent and consistent with international norms. Businesses enjoy considerable freedom within a well regulated </w:t>
      </w:r>
      <w:r w:rsidRPr="00ED0973">
        <w:rPr>
          <w:color w:val="000000" w:themeColor="text1"/>
          <w:sz w:val="24"/>
          <w:szCs w:val="24"/>
        </w:rPr>
        <w:lastRenderedPageBreak/>
        <w:t>environment. Investors are treated equally when it comes to investment incentives, establishment, and protection of real and intellectual property.”</w:t>
      </w:r>
      <w:r w:rsidRPr="00ED0973">
        <w:rPr>
          <w:color w:val="000000" w:themeColor="text1"/>
          <w:sz w:val="24"/>
          <w:szCs w:val="24"/>
          <w:vertAlign w:val="superscript"/>
        </w:rPr>
        <w:footnoteReference w:id="122"/>
      </w:r>
      <w:r w:rsidRPr="00ED0973">
        <w:rPr>
          <w:color w:val="000000" w:themeColor="text1"/>
          <w:sz w:val="24"/>
          <w:szCs w:val="24"/>
        </w:rPr>
        <w:t xml:space="preserve"> In sum – it seem</w:t>
      </w:r>
      <w:r>
        <w:rPr>
          <w:color w:val="000000" w:themeColor="text1"/>
          <w:sz w:val="24"/>
          <w:szCs w:val="24"/>
        </w:rPr>
        <w:t>s</w:t>
      </w:r>
      <w:r w:rsidRPr="00ED0973">
        <w:rPr>
          <w:color w:val="000000" w:themeColor="text1"/>
          <w:sz w:val="24"/>
          <w:szCs w:val="24"/>
        </w:rPr>
        <w:t xml:space="preserve"> </w:t>
      </w:r>
      <w:r>
        <w:rPr>
          <w:color w:val="000000" w:themeColor="text1"/>
          <w:sz w:val="24"/>
          <w:szCs w:val="24"/>
        </w:rPr>
        <w:t>as if</w:t>
      </w:r>
      <w:r w:rsidRPr="00ED0973">
        <w:rPr>
          <w:color w:val="000000" w:themeColor="text1"/>
          <w:sz w:val="24"/>
          <w:szCs w:val="24"/>
        </w:rPr>
        <w:t xml:space="preserve"> US companies </w:t>
      </w:r>
      <w:r>
        <w:rPr>
          <w:color w:val="000000" w:themeColor="text1"/>
          <w:sz w:val="24"/>
          <w:szCs w:val="24"/>
        </w:rPr>
        <w:t xml:space="preserve">do not </w:t>
      </w:r>
      <w:r w:rsidRPr="00ED0973">
        <w:rPr>
          <w:color w:val="000000" w:themeColor="text1"/>
          <w:sz w:val="24"/>
          <w:szCs w:val="24"/>
        </w:rPr>
        <w:t>have a</w:t>
      </w:r>
      <w:r>
        <w:rPr>
          <w:color w:val="000000" w:themeColor="text1"/>
          <w:sz w:val="24"/>
          <w:szCs w:val="24"/>
        </w:rPr>
        <w:t>ny</w:t>
      </w:r>
      <w:r w:rsidRPr="00ED0973">
        <w:rPr>
          <w:color w:val="000000" w:themeColor="text1"/>
          <w:sz w:val="24"/>
          <w:szCs w:val="24"/>
        </w:rPr>
        <w:t xml:space="preserve"> </w:t>
      </w:r>
      <w:r>
        <w:rPr>
          <w:color w:val="000000" w:themeColor="text1"/>
          <w:sz w:val="24"/>
          <w:szCs w:val="24"/>
        </w:rPr>
        <w:t>particular problem with German law, and the problem raised in Stephan Schill’s blog post might be merely academic.</w:t>
      </w:r>
    </w:p>
    <w:p w14:paraId="566BE70A" w14:textId="77777777" w:rsidR="00A753FE" w:rsidRDefault="731A9F31" w:rsidP="004352E2">
      <w:pPr>
        <w:ind w:firstLine="720"/>
        <w:jc w:val="both"/>
        <w:rPr>
          <w:color w:val="000000" w:themeColor="text1"/>
          <w:sz w:val="24"/>
          <w:szCs w:val="24"/>
        </w:rPr>
      </w:pPr>
      <w:r w:rsidRPr="00ED0973">
        <w:rPr>
          <w:color w:val="000000" w:themeColor="text1"/>
          <w:sz w:val="24"/>
          <w:szCs w:val="24"/>
        </w:rPr>
        <w:t xml:space="preserve">From the point of view of the EU’s own better regulation initiative, the different options of this aspect of EU external policy should have been investigated and weighed against each other right at the start. </w:t>
      </w:r>
      <w:r w:rsidR="00427AB2">
        <w:rPr>
          <w:color w:val="000000" w:themeColor="text1"/>
          <w:sz w:val="24"/>
          <w:szCs w:val="24"/>
        </w:rPr>
        <w:t xml:space="preserve">The Australian policy of investigating in each separate case whether or not there exists a need for ISDS </w:t>
      </w:r>
      <w:r w:rsidR="002162D7">
        <w:rPr>
          <w:color w:val="000000" w:themeColor="text1"/>
          <w:sz w:val="24"/>
          <w:szCs w:val="24"/>
        </w:rPr>
        <w:t>should have formed the basis for th</w:t>
      </w:r>
      <w:r w:rsidR="00E74CCA">
        <w:rPr>
          <w:color w:val="000000" w:themeColor="text1"/>
          <w:sz w:val="24"/>
          <w:szCs w:val="24"/>
        </w:rPr>
        <w:t>e EU decision as well. What is more, on the outside, the EU committed itself years ago to carry out a</w:t>
      </w:r>
      <w:r w:rsidR="006C63C4">
        <w:rPr>
          <w:color w:val="000000" w:themeColor="text1"/>
          <w:sz w:val="24"/>
          <w:szCs w:val="24"/>
        </w:rPr>
        <w:t xml:space="preserve">n open and transparent process of the different elements of planned new trade agreements with the help of </w:t>
      </w:r>
      <w:r w:rsidRPr="00ED0973">
        <w:rPr>
          <w:color w:val="000000" w:themeColor="text1"/>
          <w:sz w:val="24"/>
          <w:szCs w:val="24"/>
        </w:rPr>
        <w:t>Trade Sustainability Impact Assessment</w:t>
      </w:r>
      <w:r w:rsidR="00C82294">
        <w:rPr>
          <w:color w:val="000000" w:themeColor="text1"/>
          <w:sz w:val="24"/>
          <w:szCs w:val="24"/>
        </w:rPr>
        <w:t>s</w:t>
      </w:r>
      <w:r w:rsidR="00C521FF">
        <w:rPr>
          <w:color w:val="000000" w:themeColor="text1"/>
          <w:sz w:val="24"/>
          <w:szCs w:val="24"/>
        </w:rPr>
        <w:t xml:space="preserve"> </w:t>
      </w:r>
      <w:r w:rsidR="00C9401A">
        <w:rPr>
          <w:color w:val="000000" w:themeColor="text1"/>
          <w:sz w:val="24"/>
          <w:szCs w:val="24"/>
        </w:rPr>
        <w:t>(Trade SIA</w:t>
      </w:r>
      <w:r w:rsidR="003210F8">
        <w:rPr>
          <w:color w:val="000000" w:themeColor="text1"/>
          <w:sz w:val="24"/>
          <w:szCs w:val="24"/>
        </w:rPr>
        <w:t>s). These assessments are carried out by independent consultants who make recommendations regarding the pro’s and cons of aspects of the envisaged agreements</w:t>
      </w:r>
      <w:r w:rsidR="003876B7">
        <w:rPr>
          <w:color w:val="000000" w:themeColor="text1"/>
          <w:sz w:val="24"/>
          <w:szCs w:val="24"/>
        </w:rPr>
        <w:t xml:space="preserve">. </w:t>
      </w:r>
      <w:r w:rsidR="002C25A3">
        <w:rPr>
          <w:color w:val="000000" w:themeColor="text1"/>
          <w:sz w:val="24"/>
          <w:szCs w:val="24"/>
        </w:rPr>
        <w:t>As part of the process, t</w:t>
      </w:r>
      <w:r w:rsidR="003876B7">
        <w:rPr>
          <w:color w:val="000000" w:themeColor="text1"/>
          <w:sz w:val="24"/>
          <w:szCs w:val="24"/>
        </w:rPr>
        <w:t>he consulta</w:t>
      </w:r>
      <w:r w:rsidR="002C25A3">
        <w:rPr>
          <w:color w:val="000000" w:themeColor="text1"/>
          <w:sz w:val="24"/>
          <w:szCs w:val="24"/>
        </w:rPr>
        <w:t xml:space="preserve">nts engage with </w:t>
      </w:r>
      <w:r w:rsidR="006F3708">
        <w:rPr>
          <w:color w:val="000000" w:themeColor="text1"/>
          <w:sz w:val="24"/>
          <w:szCs w:val="24"/>
        </w:rPr>
        <w:t>stakeholders, including civil society organisation</w:t>
      </w:r>
      <w:r w:rsidR="00EC4B67">
        <w:rPr>
          <w:color w:val="000000" w:themeColor="text1"/>
          <w:sz w:val="24"/>
          <w:szCs w:val="24"/>
        </w:rPr>
        <w:t xml:space="preserve">s, and </w:t>
      </w:r>
      <w:r w:rsidR="00376449">
        <w:rPr>
          <w:color w:val="000000" w:themeColor="text1"/>
          <w:sz w:val="24"/>
          <w:szCs w:val="24"/>
        </w:rPr>
        <w:t>are</w:t>
      </w:r>
      <w:r w:rsidR="00EC4B67">
        <w:rPr>
          <w:color w:val="000000" w:themeColor="text1"/>
          <w:sz w:val="24"/>
          <w:szCs w:val="24"/>
        </w:rPr>
        <w:t xml:space="preserve"> to take their reactions into account</w:t>
      </w:r>
      <w:r w:rsidR="003210F8">
        <w:rPr>
          <w:color w:val="000000" w:themeColor="text1"/>
          <w:sz w:val="24"/>
          <w:szCs w:val="24"/>
        </w:rPr>
        <w:t xml:space="preserve">. </w:t>
      </w:r>
      <w:r w:rsidR="00A050AE">
        <w:rPr>
          <w:color w:val="000000" w:themeColor="text1"/>
          <w:sz w:val="24"/>
          <w:szCs w:val="24"/>
        </w:rPr>
        <w:t xml:space="preserve">The Commission </w:t>
      </w:r>
      <w:r w:rsidR="00725ECD">
        <w:rPr>
          <w:color w:val="000000" w:themeColor="text1"/>
          <w:sz w:val="24"/>
          <w:szCs w:val="24"/>
        </w:rPr>
        <w:t>in its turn is to react to the consultant’s</w:t>
      </w:r>
      <w:r w:rsidR="00A050AE">
        <w:rPr>
          <w:color w:val="000000" w:themeColor="text1"/>
          <w:sz w:val="24"/>
          <w:szCs w:val="24"/>
        </w:rPr>
        <w:t xml:space="preserve"> recommendations, and the recommendations and reaction by the Commission are to be used by the n</w:t>
      </w:r>
      <w:r w:rsidR="00676530">
        <w:rPr>
          <w:color w:val="000000" w:themeColor="text1"/>
          <w:sz w:val="24"/>
          <w:szCs w:val="24"/>
        </w:rPr>
        <w:t>egotiators. The whole process is described in a Handbook with specific guidelines on the Trade SIA</w:t>
      </w:r>
      <w:r w:rsidR="00A753FE">
        <w:rPr>
          <w:color w:val="000000" w:themeColor="text1"/>
          <w:sz w:val="24"/>
          <w:szCs w:val="24"/>
        </w:rPr>
        <w:t xml:space="preserve">. </w:t>
      </w:r>
    </w:p>
    <w:p w14:paraId="006594D2" w14:textId="6900573A" w:rsidR="00AC6F7B" w:rsidRDefault="00A753FE" w:rsidP="004352E2">
      <w:pPr>
        <w:ind w:firstLine="720"/>
        <w:jc w:val="both"/>
        <w:rPr>
          <w:color w:val="000000" w:themeColor="text1"/>
          <w:sz w:val="24"/>
          <w:szCs w:val="24"/>
        </w:rPr>
      </w:pPr>
      <w:r>
        <w:rPr>
          <w:color w:val="000000" w:themeColor="text1"/>
          <w:sz w:val="24"/>
          <w:szCs w:val="24"/>
        </w:rPr>
        <w:t>W</w:t>
      </w:r>
      <w:r w:rsidR="001E54FE">
        <w:rPr>
          <w:color w:val="000000" w:themeColor="text1"/>
          <w:sz w:val="24"/>
          <w:szCs w:val="24"/>
        </w:rPr>
        <w:t>here TTIP and CETA are concerned the Commission</w:t>
      </w:r>
      <w:r w:rsidR="00A050AE">
        <w:rPr>
          <w:color w:val="000000" w:themeColor="text1"/>
          <w:sz w:val="24"/>
          <w:szCs w:val="24"/>
        </w:rPr>
        <w:t xml:space="preserve"> </w:t>
      </w:r>
      <w:r w:rsidR="009F1A24">
        <w:rPr>
          <w:color w:val="000000" w:themeColor="text1"/>
          <w:sz w:val="24"/>
          <w:szCs w:val="24"/>
        </w:rPr>
        <w:t>did not properly follow its own guidelines</w:t>
      </w:r>
      <w:r w:rsidR="00C308E5">
        <w:rPr>
          <w:color w:val="000000" w:themeColor="text1"/>
          <w:sz w:val="24"/>
          <w:szCs w:val="24"/>
        </w:rPr>
        <w:t xml:space="preserve">. </w:t>
      </w:r>
      <w:r>
        <w:rPr>
          <w:color w:val="000000" w:themeColor="text1"/>
          <w:sz w:val="24"/>
          <w:szCs w:val="24"/>
        </w:rPr>
        <w:t xml:space="preserve">First of all, deadlines were not respected. </w:t>
      </w:r>
      <w:r w:rsidR="00C308E5">
        <w:rPr>
          <w:color w:val="000000" w:themeColor="text1"/>
          <w:sz w:val="24"/>
          <w:szCs w:val="24"/>
        </w:rPr>
        <w:t>T</w:t>
      </w:r>
      <w:r w:rsidR="00EF2FBD">
        <w:rPr>
          <w:color w:val="000000" w:themeColor="text1"/>
          <w:sz w:val="24"/>
          <w:szCs w:val="24"/>
        </w:rPr>
        <w:t xml:space="preserve">he </w:t>
      </w:r>
      <w:r w:rsidR="00F51810">
        <w:rPr>
          <w:color w:val="000000" w:themeColor="text1"/>
          <w:sz w:val="24"/>
          <w:szCs w:val="24"/>
        </w:rPr>
        <w:t xml:space="preserve">draft </w:t>
      </w:r>
      <w:r w:rsidR="00EF2FBD">
        <w:rPr>
          <w:color w:val="000000" w:themeColor="text1"/>
          <w:sz w:val="24"/>
          <w:szCs w:val="24"/>
        </w:rPr>
        <w:t xml:space="preserve">TTIP </w:t>
      </w:r>
      <w:r w:rsidR="00C9401A">
        <w:rPr>
          <w:color w:val="000000" w:themeColor="text1"/>
          <w:sz w:val="24"/>
          <w:szCs w:val="24"/>
        </w:rPr>
        <w:t>Trade SIA</w:t>
      </w:r>
      <w:r w:rsidR="731A9F31" w:rsidRPr="00ED0973">
        <w:rPr>
          <w:color w:val="000000" w:themeColor="text1"/>
          <w:sz w:val="24"/>
          <w:szCs w:val="24"/>
        </w:rPr>
        <w:t xml:space="preserve"> appeared </w:t>
      </w:r>
      <w:r w:rsidR="00C9401A">
        <w:rPr>
          <w:color w:val="000000" w:themeColor="text1"/>
          <w:sz w:val="24"/>
          <w:szCs w:val="24"/>
        </w:rPr>
        <w:t xml:space="preserve">only </w:t>
      </w:r>
      <w:r w:rsidR="731A9F31" w:rsidRPr="00ED0973">
        <w:rPr>
          <w:color w:val="000000" w:themeColor="text1"/>
          <w:sz w:val="24"/>
          <w:szCs w:val="24"/>
        </w:rPr>
        <w:t>by May 2016</w:t>
      </w:r>
      <w:r w:rsidR="00C55A45">
        <w:rPr>
          <w:color w:val="000000" w:themeColor="text1"/>
          <w:sz w:val="24"/>
          <w:szCs w:val="24"/>
        </w:rPr>
        <w:t xml:space="preserve"> – shortly before the envisaged end of the negotiations and thus too late to play any meani</w:t>
      </w:r>
      <w:r w:rsidR="00FF62DA">
        <w:rPr>
          <w:color w:val="000000" w:themeColor="text1"/>
          <w:sz w:val="24"/>
          <w:szCs w:val="24"/>
        </w:rPr>
        <w:t>ngful role in these negotiations</w:t>
      </w:r>
      <w:r w:rsidR="00F51810">
        <w:rPr>
          <w:color w:val="000000" w:themeColor="text1"/>
          <w:sz w:val="24"/>
          <w:szCs w:val="24"/>
        </w:rPr>
        <w:t xml:space="preserve">, </w:t>
      </w:r>
      <w:r w:rsidR="00514AF7">
        <w:rPr>
          <w:color w:val="000000" w:themeColor="text1"/>
          <w:sz w:val="24"/>
          <w:szCs w:val="24"/>
        </w:rPr>
        <w:t xml:space="preserve">as the guidelines prescribe, </w:t>
      </w:r>
      <w:r w:rsidR="00F51810">
        <w:rPr>
          <w:color w:val="000000" w:themeColor="text1"/>
          <w:sz w:val="24"/>
          <w:szCs w:val="24"/>
        </w:rPr>
        <w:t xml:space="preserve">and was </w:t>
      </w:r>
      <w:r w:rsidR="00514AF7">
        <w:rPr>
          <w:color w:val="000000" w:themeColor="text1"/>
          <w:sz w:val="24"/>
          <w:szCs w:val="24"/>
        </w:rPr>
        <w:t xml:space="preserve">only </w:t>
      </w:r>
      <w:r w:rsidR="00F51810">
        <w:rPr>
          <w:color w:val="000000" w:themeColor="text1"/>
          <w:sz w:val="24"/>
          <w:szCs w:val="24"/>
        </w:rPr>
        <w:t>finalised in February 2017</w:t>
      </w:r>
      <w:r w:rsidR="00727AFD">
        <w:rPr>
          <w:color w:val="000000" w:themeColor="text1"/>
          <w:sz w:val="24"/>
          <w:szCs w:val="24"/>
        </w:rPr>
        <w:t>.</w:t>
      </w:r>
      <w:r w:rsidR="0039108A">
        <w:rPr>
          <w:rStyle w:val="Voetnootmarkering"/>
          <w:color w:val="000000" w:themeColor="text1"/>
          <w:sz w:val="24"/>
          <w:szCs w:val="24"/>
        </w:rPr>
        <w:footnoteReference w:id="123"/>
      </w:r>
      <w:r w:rsidR="00727AFD">
        <w:rPr>
          <w:color w:val="000000" w:themeColor="text1"/>
          <w:sz w:val="24"/>
          <w:szCs w:val="24"/>
        </w:rPr>
        <w:t xml:space="preserve"> The Commission’s reaction only </w:t>
      </w:r>
      <w:r w:rsidR="00AB664B">
        <w:rPr>
          <w:color w:val="000000" w:themeColor="text1"/>
          <w:sz w:val="24"/>
          <w:szCs w:val="24"/>
        </w:rPr>
        <w:t>appeared at the end of</w:t>
      </w:r>
      <w:r w:rsidR="00727AFD">
        <w:rPr>
          <w:color w:val="000000" w:themeColor="text1"/>
          <w:sz w:val="24"/>
          <w:szCs w:val="24"/>
        </w:rPr>
        <w:t xml:space="preserve"> March 2017</w:t>
      </w:r>
      <w:r w:rsidR="009C432D">
        <w:rPr>
          <w:color w:val="000000" w:themeColor="text1"/>
          <w:sz w:val="24"/>
          <w:szCs w:val="24"/>
        </w:rPr>
        <w:t>.</w:t>
      </w:r>
      <w:r w:rsidR="008C7E9C">
        <w:rPr>
          <w:rStyle w:val="Voetnootmarkering"/>
          <w:color w:val="000000" w:themeColor="text1"/>
          <w:sz w:val="24"/>
          <w:szCs w:val="24"/>
        </w:rPr>
        <w:footnoteReference w:id="124"/>
      </w:r>
      <w:r w:rsidR="009C432D">
        <w:rPr>
          <w:color w:val="000000" w:themeColor="text1"/>
          <w:sz w:val="24"/>
          <w:szCs w:val="24"/>
        </w:rPr>
        <w:t xml:space="preserve"> </w:t>
      </w:r>
      <w:r w:rsidR="00393C77">
        <w:rPr>
          <w:color w:val="000000" w:themeColor="text1"/>
          <w:sz w:val="24"/>
          <w:szCs w:val="24"/>
        </w:rPr>
        <w:t>The substance of the reaction leaves a lot to be desired as well. For instance, t</w:t>
      </w:r>
      <w:r w:rsidR="00A444EF">
        <w:rPr>
          <w:color w:val="000000" w:themeColor="text1"/>
          <w:sz w:val="24"/>
          <w:szCs w:val="24"/>
        </w:rPr>
        <w:t>he reaction</w:t>
      </w:r>
      <w:r w:rsidR="00930666">
        <w:rPr>
          <w:color w:val="000000" w:themeColor="text1"/>
          <w:sz w:val="24"/>
          <w:szCs w:val="24"/>
        </w:rPr>
        <w:t xml:space="preserve"> </w:t>
      </w:r>
      <w:r w:rsidR="00A444EF">
        <w:rPr>
          <w:color w:val="000000" w:themeColor="text1"/>
          <w:sz w:val="24"/>
          <w:szCs w:val="24"/>
        </w:rPr>
        <w:t xml:space="preserve">assumes that </w:t>
      </w:r>
      <w:r w:rsidR="00202803">
        <w:rPr>
          <w:color w:val="000000" w:themeColor="text1"/>
          <w:sz w:val="24"/>
          <w:szCs w:val="24"/>
        </w:rPr>
        <w:t xml:space="preserve">it is reasonable to expect that </w:t>
      </w:r>
      <w:r w:rsidR="00AB664B">
        <w:rPr>
          <w:color w:val="000000" w:themeColor="text1"/>
          <w:sz w:val="24"/>
          <w:szCs w:val="24"/>
        </w:rPr>
        <w:t xml:space="preserve">the predicted negative effects </w:t>
      </w:r>
      <w:r w:rsidR="00052567">
        <w:rPr>
          <w:color w:val="000000" w:themeColor="text1"/>
          <w:sz w:val="24"/>
          <w:szCs w:val="24"/>
        </w:rPr>
        <w:t xml:space="preserve">of TTIP </w:t>
      </w:r>
      <w:r w:rsidR="00AB664B">
        <w:rPr>
          <w:color w:val="000000" w:themeColor="text1"/>
          <w:sz w:val="24"/>
          <w:szCs w:val="24"/>
        </w:rPr>
        <w:t xml:space="preserve">on climate </w:t>
      </w:r>
      <w:r w:rsidR="009753C6">
        <w:rPr>
          <w:color w:val="000000" w:themeColor="text1"/>
          <w:sz w:val="24"/>
          <w:szCs w:val="24"/>
        </w:rPr>
        <w:t xml:space="preserve">change will be </w:t>
      </w:r>
      <w:r w:rsidR="00E04BDE">
        <w:rPr>
          <w:color w:val="000000" w:themeColor="text1"/>
          <w:sz w:val="24"/>
          <w:szCs w:val="24"/>
        </w:rPr>
        <w:t>mitigated</w:t>
      </w:r>
      <w:r w:rsidR="009753C6">
        <w:rPr>
          <w:color w:val="000000" w:themeColor="text1"/>
          <w:sz w:val="24"/>
          <w:szCs w:val="24"/>
        </w:rPr>
        <w:t xml:space="preserve"> by </w:t>
      </w:r>
      <w:r w:rsidR="00E04BDE">
        <w:rPr>
          <w:color w:val="000000" w:themeColor="text1"/>
          <w:sz w:val="24"/>
          <w:szCs w:val="24"/>
        </w:rPr>
        <w:t>the</w:t>
      </w:r>
      <w:r w:rsidR="00E04BDE" w:rsidRPr="00E75668">
        <w:rPr>
          <w:color w:val="000000" w:themeColor="text1"/>
          <w:sz w:val="24"/>
          <w:szCs w:val="24"/>
        </w:rPr>
        <w:t xml:space="preserve"> environmental an</w:t>
      </w:r>
      <w:r w:rsidR="00E04BDE">
        <w:rPr>
          <w:color w:val="000000" w:themeColor="text1"/>
          <w:sz w:val="24"/>
          <w:szCs w:val="24"/>
        </w:rPr>
        <w:t>d energy policies</w:t>
      </w:r>
      <w:r w:rsidR="00930666">
        <w:rPr>
          <w:color w:val="000000" w:themeColor="text1"/>
          <w:sz w:val="24"/>
          <w:szCs w:val="24"/>
        </w:rPr>
        <w:t xml:space="preserve"> of both parties</w:t>
      </w:r>
      <w:r w:rsidR="008D66FC">
        <w:rPr>
          <w:color w:val="000000" w:themeColor="text1"/>
          <w:sz w:val="24"/>
          <w:szCs w:val="24"/>
        </w:rPr>
        <w:t xml:space="preserve">, because </w:t>
      </w:r>
      <w:r w:rsidR="0075576D">
        <w:rPr>
          <w:color w:val="000000" w:themeColor="text1"/>
          <w:sz w:val="24"/>
          <w:szCs w:val="24"/>
        </w:rPr>
        <w:t>“</w:t>
      </w:r>
      <w:r w:rsidR="00E75668" w:rsidRPr="00E75668">
        <w:rPr>
          <w:color w:val="000000" w:themeColor="text1"/>
          <w:sz w:val="24"/>
          <w:szCs w:val="24"/>
        </w:rPr>
        <w:t>both the EU and the US are committed to significant action on climate change, in particular via the 2015 Paris Agreement.</w:t>
      </w:r>
      <w:r w:rsidR="0075576D">
        <w:rPr>
          <w:color w:val="000000" w:themeColor="text1"/>
          <w:sz w:val="24"/>
          <w:szCs w:val="24"/>
        </w:rPr>
        <w:t>”</w:t>
      </w:r>
      <w:r w:rsidR="00613845">
        <w:rPr>
          <w:rStyle w:val="Voetnootmarkering"/>
          <w:color w:val="000000" w:themeColor="text1"/>
          <w:sz w:val="24"/>
          <w:szCs w:val="24"/>
        </w:rPr>
        <w:footnoteReference w:id="125"/>
      </w:r>
      <w:r w:rsidR="004144E1">
        <w:rPr>
          <w:color w:val="000000" w:themeColor="text1"/>
          <w:sz w:val="24"/>
          <w:szCs w:val="24"/>
        </w:rPr>
        <w:t xml:space="preserve"> </w:t>
      </w:r>
      <w:r w:rsidR="005E7A81">
        <w:rPr>
          <w:color w:val="000000" w:themeColor="text1"/>
          <w:sz w:val="24"/>
          <w:szCs w:val="24"/>
        </w:rPr>
        <w:t>With all due respect, th</w:t>
      </w:r>
      <w:r w:rsidR="00044767">
        <w:rPr>
          <w:color w:val="000000" w:themeColor="text1"/>
          <w:sz w:val="24"/>
          <w:szCs w:val="24"/>
        </w:rPr>
        <w:t xml:space="preserve">e </w:t>
      </w:r>
      <w:r w:rsidR="00AC6F7B">
        <w:rPr>
          <w:color w:val="000000" w:themeColor="text1"/>
          <w:sz w:val="24"/>
          <w:szCs w:val="24"/>
        </w:rPr>
        <w:t>Commission</w:t>
      </w:r>
      <w:r w:rsidR="00044767">
        <w:rPr>
          <w:color w:val="000000" w:themeColor="text1"/>
          <w:sz w:val="24"/>
          <w:szCs w:val="24"/>
        </w:rPr>
        <w:t>’s view</w:t>
      </w:r>
      <w:r w:rsidR="00AC6F7B">
        <w:rPr>
          <w:color w:val="000000" w:themeColor="text1"/>
          <w:sz w:val="24"/>
          <w:szCs w:val="24"/>
        </w:rPr>
        <w:t xml:space="preserve"> </w:t>
      </w:r>
      <w:r w:rsidR="000A302D">
        <w:rPr>
          <w:color w:val="000000" w:themeColor="text1"/>
          <w:sz w:val="24"/>
          <w:szCs w:val="24"/>
        </w:rPr>
        <w:t>on</w:t>
      </w:r>
      <w:r w:rsidR="004352E2" w:rsidRPr="004352E2">
        <w:rPr>
          <w:color w:val="000000" w:themeColor="text1"/>
          <w:sz w:val="24"/>
          <w:szCs w:val="24"/>
        </w:rPr>
        <w:t xml:space="preserve"> </w:t>
      </w:r>
      <w:r w:rsidR="004352E2">
        <w:rPr>
          <w:color w:val="000000" w:themeColor="text1"/>
          <w:sz w:val="24"/>
          <w:szCs w:val="24"/>
        </w:rPr>
        <w:t>U.S. climate and energy politics</w:t>
      </w:r>
      <w:r w:rsidR="005E7A81">
        <w:rPr>
          <w:color w:val="000000" w:themeColor="text1"/>
          <w:sz w:val="24"/>
          <w:szCs w:val="24"/>
        </w:rPr>
        <w:t xml:space="preserve"> as expressed </w:t>
      </w:r>
      <w:r w:rsidR="00052567">
        <w:rPr>
          <w:color w:val="000000" w:themeColor="text1"/>
          <w:sz w:val="24"/>
          <w:szCs w:val="24"/>
        </w:rPr>
        <w:t xml:space="preserve">here </w:t>
      </w:r>
      <w:r w:rsidR="00440132">
        <w:rPr>
          <w:color w:val="000000" w:themeColor="text1"/>
          <w:sz w:val="24"/>
          <w:szCs w:val="24"/>
        </w:rPr>
        <w:t xml:space="preserve">borders </w:t>
      </w:r>
      <w:r w:rsidR="003C3369">
        <w:rPr>
          <w:color w:val="000000" w:themeColor="text1"/>
          <w:sz w:val="24"/>
          <w:szCs w:val="24"/>
        </w:rPr>
        <w:t>on</w:t>
      </w:r>
      <w:r w:rsidR="005E7A81">
        <w:rPr>
          <w:color w:val="000000" w:themeColor="text1"/>
          <w:sz w:val="24"/>
          <w:szCs w:val="24"/>
        </w:rPr>
        <w:t xml:space="preserve"> </w:t>
      </w:r>
      <w:r w:rsidR="00530429">
        <w:rPr>
          <w:color w:val="000000" w:themeColor="text1"/>
          <w:sz w:val="24"/>
          <w:szCs w:val="24"/>
        </w:rPr>
        <w:t>delusion</w:t>
      </w:r>
      <w:r w:rsidR="00930666">
        <w:rPr>
          <w:color w:val="000000" w:themeColor="text1"/>
          <w:sz w:val="24"/>
          <w:szCs w:val="24"/>
        </w:rPr>
        <w:t>, considering the Trump administration’s support for fossil fuels</w:t>
      </w:r>
      <w:r w:rsidR="00124812">
        <w:rPr>
          <w:color w:val="000000" w:themeColor="text1"/>
          <w:sz w:val="24"/>
          <w:szCs w:val="24"/>
        </w:rPr>
        <w:t xml:space="preserve">, </w:t>
      </w:r>
      <w:r w:rsidR="00930666">
        <w:rPr>
          <w:color w:val="000000" w:themeColor="text1"/>
          <w:sz w:val="24"/>
          <w:szCs w:val="24"/>
        </w:rPr>
        <w:t xml:space="preserve">scepticism towards climate change, </w:t>
      </w:r>
      <w:r w:rsidR="00124812">
        <w:rPr>
          <w:color w:val="000000" w:themeColor="text1"/>
          <w:sz w:val="24"/>
          <w:szCs w:val="24"/>
        </w:rPr>
        <w:t xml:space="preserve">and voiced </w:t>
      </w:r>
      <w:r w:rsidR="00930666">
        <w:rPr>
          <w:color w:val="000000" w:themeColor="text1"/>
          <w:sz w:val="24"/>
          <w:szCs w:val="24"/>
        </w:rPr>
        <w:t xml:space="preserve">intentions to </w:t>
      </w:r>
      <w:r w:rsidR="00124812">
        <w:rPr>
          <w:color w:val="000000" w:themeColor="text1"/>
          <w:sz w:val="24"/>
          <w:szCs w:val="24"/>
        </w:rPr>
        <w:t xml:space="preserve">possibly </w:t>
      </w:r>
      <w:r w:rsidR="00930666">
        <w:rPr>
          <w:color w:val="000000" w:themeColor="text1"/>
          <w:sz w:val="24"/>
          <w:szCs w:val="24"/>
        </w:rPr>
        <w:t>wit</w:t>
      </w:r>
      <w:r w:rsidR="00124812">
        <w:rPr>
          <w:color w:val="000000" w:themeColor="text1"/>
          <w:sz w:val="24"/>
          <w:szCs w:val="24"/>
        </w:rPr>
        <w:t>hdraw from the Paris Agreement.</w:t>
      </w:r>
    </w:p>
    <w:p w14:paraId="5E1F65CA" w14:textId="36194AFD" w:rsidR="00456C3E" w:rsidRDefault="004144E1" w:rsidP="000776DB">
      <w:pPr>
        <w:ind w:firstLine="720"/>
        <w:jc w:val="both"/>
        <w:rPr>
          <w:color w:val="000000" w:themeColor="text1"/>
          <w:sz w:val="24"/>
          <w:szCs w:val="24"/>
        </w:rPr>
      </w:pPr>
      <w:r>
        <w:rPr>
          <w:color w:val="000000" w:themeColor="text1"/>
          <w:sz w:val="24"/>
          <w:szCs w:val="24"/>
        </w:rPr>
        <w:lastRenderedPageBreak/>
        <w:t xml:space="preserve">Where fossil fuels are concerned, </w:t>
      </w:r>
      <w:r w:rsidR="00DF3197">
        <w:rPr>
          <w:color w:val="000000" w:themeColor="text1"/>
          <w:sz w:val="24"/>
          <w:szCs w:val="24"/>
        </w:rPr>
        <w:t>t</w:t>
      </w:r>
      <w:r w:rsidR="00234B13">
        <w:rPr>
          <w:color w:val="000000" w:themeColor="text1"/>
          <w:sz w:val="24"/>
          <w:szCs w:val="24"/>
        </w:rPr>
        <w:t xml:space="preserve">he Commission sets out that </w:t>
      </w:r>
      <w:r w:rsidR="00DF3197">
        <w:rPr>
          <w:color w:val="000000" w:themeColor="text1"/>
          <w:sz w:val="24"/>
          <w:szCs w:val="24"/>
        </w:rPr>
        <w:t>it “</w:t>
      </w:r>
      <w:r w:rsidR="00DF3197" w:rsidRPr="00DF3197">
        <w:rPr>
          <w:color w:val="000000" w:themeColor="text1"/>
          <w:sz w:val="24"/>
          <w:szCs w:val="24"/>
        </w:rPr>
        <w:t>would be important to look at the environmental credentials of US sources of gas and compare them to those of the energy sources it may replace in the EU, before considering whether or not imported gas from the US may be more environmentally beneficial.</w:t>
      </w:r>
      <w:r w:rsidR="00DF3197">
        <w:rPr>
          <w:color w:val="000000" w:themeColor="text1"/>
          <w:sz w:val="24"/>
          <w:szCs w:val="24"/>
        </w:rPr>
        <w:t>”</w:t>
      </w:r>
      <w:r w:rsidR="009F2EC4">
        <w:rPr>
          <w:rStyle w:val="Voetnootmarkering"/>
          <w:color w:val="000000" w:themeColor="text1"/>
          <w:sz w:val="24"/>
          <w:szCs w:val="24"/>
        </w:rPr>
        <w:footnoteReference w:id="126"/>
      </w:r>
      <w:r w:rsidR="00DF3197">
        <w:rPr>
          <w:color w:val="000000" w:themeColor="text1"/>
          <w:sz w:val="24"/>
          <w:szCs w:val="24"/>
        </w:rPr>
        <w:t xml:space="preserve"> </w:t>
      </w:r>
      <w:r w:rsidR="00A86AF9">
        <w:rPr>
          <w:color w:val="000000" w:themeColor="text1"/>
          <w:sz w:val="24"/>
          <w:szCs w:val="24"/>
        </w:rPr>
        <w:t>Indeed, the Trade SIA correctly noted</w:t>
      </w:r>
      <w:r w:rsidR="002968FE">
        <w:rPr>
          <w:color w:val="000000" w:themeColor="text1"/>
          <w:sz w:val="24"/>
          <w:szCs w:val="24"/>
        </w:rPr>
        <w:t xml:space="preserve"> that </w:t>
      </w:r>
      <w:r w:rsidR="00842640" w:rsidRPr="00842640">
        <w:rPr>
          <w:color w:val="000000" w:themeColor="text1"/>
          <w:sz w:val="24"/>
          <w:szCs w:val="24"/>
        </w:rPr>
        <w:t>the real emissions of shale gas production</w:t>
      </w:r>
      <w:r w:rsidR="002968FE">
        <w:rPr>
          <w:color w:val="000000" w:themeColor="text1"/>
          <w:sz w:val="24"/>
          <w:szCs w:val="24"/>
        </w:rPr>
        <w:t xml:space="preserve"> are a source of controversy</w:t>
      </w:r>
      <w:r w:rsidR="00842640" w:rsidRPr="00842640">
        <w:rPr>
          <w:color w:val="000000" w:themeColor="text1"/>
          <w:sz w:val="24"/>
          <w:szCs w:val="24"/>
        </w:rPr>
        <w:t xml:space="preserve">, </w:t>
      </w:r>
      <w:r w:rsidR="00B730AB">
        <w:rPr>
          <w:color w:val="000000" w:themeColor="text1"/>
          <w:sz w:val="24"/>
          <w:szCs w:val="24"/>
        </w:rPr>
        <w:t>“</w:t>
      </w:r>
      <w:r w:rsidR="00842640" w:rsidRPr="00842640">
        <w:rPr>
          <w:color w:val="000000" w:themeColor="text1"/>
          <w:sz w:val="24"/>
          <w:szCs w:val="24"/>
        </w:rPr>
        <w:t>as the level of fugitive methane emissions could offset any CO2 gains.</w:t>
      </w:r>
      <w:r w:rsidR="00B730AB">
        <w:rPr>
          <w:color w:val="000000" w:themeColor="text1"/>
          <w:sz w:val="24"/>
          <w:szCs w:val="24"/>
        </w:rPr>
        <w:t>”</w:t>
      </w:r>
      <w:r w:rsidR="00B730AB">
        <w:rPr>
          <w:rStyle w:val="Voetnootmarkering"/>
          <w:color w:val="000000" w:themeColor="text1"/>
          <w:sz w:val="24"/>
          <w:szCs w:val="24"/>
        </w:rPr>
        <w:footnoteReference w:id="127"/>
      </w:r>
      <w:r w:rsidR="00842640" w:rsidRPr="00842640">
        <w:rPr>
          <w:color w:val="000000" w:themeColor="text1"/>
          <w:sz w:val="24"/>
          <w:szCs w:val="24"/>
        </w:rPr>
        <w:t xml:space="preserve"> </w:t>
      </w:r>
      <w:r w:rsidR="00456C3E">
        <w:rPr>
          <w:color w:val="000000" w:themeColor="text1"/>
          <w:sz w:val="24"/>
          <w:szCs w:val="24"/>
        </w:rPr>
        <w:t>Most gas produce</w:t>
      </w:r>
      <w:r w:rsidR="00A8012C">
        <w:rPr>
          <w:color w:val="000000" w:themeColor="text1"/>
          <w:sz w:val="24"/>
          <w:szCs w:val="24"/>
        </w:rPr>
        <w:t>d in the US is shale gas.</w:t>
      </w:r>
      <w:r w:rsidR="00FB3517">
        <w:rPr>
          <w:color w:val="000000" w:themeColor="text1"/>
          <w:sz w:val="24"/>
          <w:szCs w:val="24"/>
        </w:rPr>
        <w:t xml:space="preserve"> </w:t>
      </w:r>
      <w:r w:rsidR="00F76243">
        <w:rPr>
          <w:color w:val="000000" w:themeColor="text1"/>
          <w:sz w:val="24"/>
          <w:szCs w:val="24"/>
        </w:rPr>
        <w:t>Whether and how the EU could manage to limit imports of shale gas because of the way the gas is produced is not touched upon.</w:t>
      </w:r>
    </w:p>
    <w:p w14:paraId="204C9275" w14:textId="41568ABB" w:rsidR="000C6A60" w:rsidRPr="00ED0973" w:rsidRDefault="00FC4484" w:rsidP="000776DB">
      <w:pPr>
        <w:ind w:firstLine="720"/>
        <w:jc w:val="both"/>
        <w:rPr>
          <w:color w:val="000000" w:themeColor="text1"/>
          <w:sz w:val="24"/>
          <w:szCs w:val="24"/>
        </w:rPr>
      </w:pPr>
      <w:r>
        <w:rPr>
          <w:color w:val="000000" w:themeColor="text1"/>
          <w:sz w:val="24"/>
          <w:szCs w:val="24"/>
        </w:rPr>
        <w:t xml:space="preserve">Similar points can be made regarding </w:t>
      </w:r>
      <w:r w:rsidR="00A54493">
        <w:rPr>
          <w:color w:val="000000" w:themeColor="text1"/>
          <w:sz w:val="24"/>
          <w:szCs w:val="24"/>
        </w:rPr>
        <w:t>the CETA Trade SIA</w:t>
      </w:r>
      <w:r>
        <w:rPr>
          <w:color w:val="000000" w:themeColor="text1"/>
          <w:sz w:val="24"/>
          <w:szCs w:val="24"/>
        </w:rPr>
        <w:t>. While it</w:t>
      </w:r>
      <w:r w:rsidR="009970EC">
        <w:rPr>
          <w:color w:val="000000" w:themeColor="text1"/>
          <w:sz w:val="24"/>
          <w:szCs w:val="24"/>
        </w:rPr>
        <w:t xml:space="preserve"> did appear in time, its recommendations regarding </w:t>
      </w:r>
      <w:r w:rsidR="007344DF">
        <w:rPr>
          <w:color w:val="000000" w:themeColor="text1"/>
          <w:sz w:val="24"/>
          <w:szCs w:val="24"/>
        </w:rPr>
        <w:t xml:space="preserve">ISDS were more or less ignored, and </w:t>
      </w:r>
      <w:r w:rsidR="00D871B7">
        <w:rPr>
          <w:color w:val="000000" w:themeColor="text1"/>
          <w:sz w:val="24"/>
          <w:szCs w:val="24"/>
        </w:rPr>
        <w:t xml:space="preserve">on top of that </w:t>
      </w:r>
      <w:r w:rsidR="731A9F31" w:rsidRPr="00ED0973">
        <w:rPr>
          <w:color w:val="000000" w:themeColor="text1"/>
          <w:sz w:val="24"/>
          <w:szCs w:val="24"/>
        </w:rPr>
        <w:t>the Commission’s</w:t>
      </w:r>
      <w:r w:rsidR="00C10E28">
        <w:rPr>
          <w:color w:val="000000" w:themeColor="text1"/>
          <w:sz w:val="24"/>
          <w:szCs w:val="24"/>
        </w:rPr>
        <w:t xml:space="preserve"> official</w:t>
      </w:r>
      <w:r w:rsidR="731A9F31" w:rsidRPr="00ED0973">
        <w:rPr>
          <w:color w:val="000000" w:themeColor="text1"/>
          <w:sz w:val="24"/>
          <w:szCs w:val="24"/>
        </w:rPr>
        <w:t xml:space="preserve"> reaction to the recommendations in the Trade SIA </w:t>
      </w:r>
      <w:r w:rsidR="00F92CD1">
        <w:rPr>
          <w:color w:val="000000" w:themeColor="text1"/>
          <w:sz w:val="24"/>
          <w:szCs w:val="24"/>
        </w:rPr>
        <w:t>that</w:t>
      </w:r>
      <w:r w:rsidR="731A9F31" w:rsidRPr="00ED0973">
        <w:rPr>
          <w:color w:val="000000" w:themeColor="text1"/>
          <w:sz w:val="24"/>
          <w:szCs w:val="24"/>
        </w:rPr>
        <w:t xml:space="preserve"> </w:t>
      </w:r>
      <w:r w:rsidR="00F92CD1">
        <w:rPr>
          <w:color w:val="000000" w:themeColor="text1"/>
          <w:sz w:val="24"/>
          <w:szCs w:val="24"/>
        </w:rPr>
        <w:t>should appear shortly afterwards in order for the negotiators to take this reaction into account</w:t>
      </w:r>
      <w:r w:rsidR="008D10E2">
        <w:rPr>
          <w:color w:val="000000" w:themeColor="text1"/>
          <w:sz w:val="24"/>
          <w:szCs w:val="24"/>
        </w:rPr>
        <w:t>,</w:t>
      </w:r>
      <w:r w:rsidR="00F92CD1">
        <w:rPr>
          <w:color w:val="000000" w:themeColor="text1"/>
          <w:sz w:val="24"/>
          <w:szCs w:val="24"/>
        </w:rPr>
        <w:t xml:space="preserve"> only appeared</w:t>
      </w:r>
      <w:r w:rsidR="731A9F31" w:rsidRPr="00ED0973">
        <w:rPr>
          <w:color w:val="000000" w:themeColor="text1"/>
          <w:sz w:val="24"/>
          <w:szCs w:val="24"/>
        </w:rPr>
        <w:t xml:space="preserve"> wh</w:t>
      </w:r>
      <w:r w:rsidR="00B1628A">
        <w:rPr>
          <w:color w:val="000000" w:themeColor="text1"/>
          <w:sz w:val="24"/>
          <w:szCs w:val="24"/>
        </w:rPr>
        <w:t xml:space="preserve">en the negotiations were </w:t>
      </w:r>
      <w:r w:rsidR="731A9F31" w:rsidRPr="00ED0973">
        <w:rPr>
          <w:color w:val="000000" w:themeColor="text1"/>
          <w:sz w:val="24"/>
          <w:szCs w:val="24"/>
        </w:rPr>
        <w:t>concluded already</w:t>
      </w:r>
      <w:r w:rsidR="00B1628A">
        <w:rPr>
          <w:color w:val="000000" w:themeColor="text1"/>
          <w:sz w:val="24"/>
          <w:szCs w:val="24"/>
        </w:rPr>
        <w:t>, in April 2017</w:t>
      </w:r>
      <w:r w:rsidR="731A9F31" w:rsidRPr="00ED0973">
        <w:rPr>
          <w:color w:val="000000" w:themeColor="text1"/>
          <w:sz w:val="24"/>
          <w:szCs w:val="24"/>
        </w:rPr>
        <w:t>.</w:t>
      </w:r>
      <w:r w:rsidR="00BA73A5">
        <w:rPr>
          <w:rStyle w:val="Voetnootmarkering"/>
          <w:color w:val="000000" w:themeColor="text1"/>
          <w:sz w:val="24"/>
          <w:szCs w:val="24"/>
        </w:rPr>
        <w:footnoteReference w:id="128"/>
      </w:r>
      <w:r w:rsidR="731A9F31" w:rsidRPr="00ED0973">
        <w:rPr>
          <w:color w:val="000000" w:themeColor="text1"/>
          <w:sz w:val="24"/>
          <w:szCs w:val="24"/>
        </w:rPr>
        <w:t xml:space="preserve">  </w:t>
      </w:r>
      <w:r w:rsidR="005E2248">
        <w:rPr>
          <w:color w:val="000000" w:themeColor="text1"/>
          <w:sz w:val="24"/>
          <w:szCs w:val="24"/>
        </w:rPr>
        <w:t xml:space="preserve">In other words, </w:t>
      </w:r>
      <w:r w:rsidR="00F32C7C">
        <w:rPr>
          <w:color w:val="000000" w:themeColor="text1"/>
          <w:sz w:val="24"/>
          <w:szCs w:val="24"/>
        </w:rPr>
        <w:t>both where TTIP and CETA are concerned the process was</w:t>
      </w:r>
      <w:r w:rsidR="0085318D">
        <w:rPr>
          <w:color w:val="000000" w:themeColor="text1"/>
          <w:sz w:val="24"/>
          <w:szCs w:val="24"/>
        </w:rPr>
        <w:t xml:space="preserve"> not in line with </w:t>
      </w:r>
      <w:r w:rsidR="0013572C">
        <w:rPr>
          <w:color w:val="000000" w:themeColor="text1"/>
          <w:sz w:val="24"/>
          <w:szCs w:val="24"/>
        </w:rPr>
        <w:t>the Commission’s</w:t>
      </w:r>
      <w:r w:rsidR="002034DB">
        <w:rPr>
          <w:color w:val="000000" w:themeColor="text1"/>
          <w:sz w:val="24"/>
          <w:szCs w:val="24"/>
        </w:rPr>
        <w:t xml:space="preserve"> own guidelines, and demonstrated that the system that is designed to allow for</w:t>
      </w:r>
      <w:r w:rsidR="00F55704">
        <w:rPr>
          <w:color w:val="000000" w:themeColor="text1"/>
          <w:sz w:val="24"/>
          <w:szCs w:val="24"/>
        </w:rPr>
        <w:t xml:space="preserve"> better decision making and</w:t>
      </w:r>
      <w:r w:rsidR="002034DB">
        <w:rPr>
          <w:color w:val="000000" w:themeColor="text1"/>
          <w:sz w:val="24"/>
          <w:szCs w:val="24"/>
        </w:rPr>
        <w:t xml:space="preserve"> public participation </w:t>
      </w:r>
      <w:r w:rsidR="00F55704">
        <w:rPr>
          <w:color w:val="000000" w:themeColor="text1"/>
          <w:sz w:val="24"/>
          <w:szCs w:val="24"/>
        </w:rPr>
        <w:t xml:space="preserve">is not </w:t>
      </w:r>
      <w:r w:rsidR="00CB58F8">
        <w:rPr>
          <w:color w:val="000000" w:themeColor="text1"/>
          <w:sz w:val="24"/>
          <w:szCs w:val="24"/>
        </w:rPr>
        <w:t>functioning properly. A solution could be to transform the guidelines into legislation with possibilities for judicial action in cases where the Commission does not follow the rules.</w:t>
      </w:r>
    </w:p>
    <w:p w14:paraId="204C9280" w14:textId="15B927EB" w:rsidR="00DC1E4D" w:rsidRPr="00ED0973" w:rsidRDefault="0043337D" w:rsidP="00055BAC">
      <w:pPr>
        <w:ind w:firstLine="720"/>
        <w:jc w:val="both"/>
        <w:rPr>
          <w:color w:val="000000" w:themeColor="text1"/>
          <w:sz w:val="24"/>
          <w:szCs w:val="24"/>
        </w:rPr>
      </w:pPr>
      <w:r>
        <w:rPr>
          <w:color w:val="000000" w:themeColor="text1"/>
          <w:sz w:val="24"/>
          <w:szCs w:val="24"/>
        </w:rPr>
        <w:t>Another manner to improve EU trade agreements would be following the</w:t>
      </w:r>
      <w:r w:rsidR="00E66D06">
        <w:rPr>
          <w:color w:val="000000" w:themeColor="text1"/>
          <w:sz w:val="24"/>
          <w:szCs w:val="24"/>
        </w:rPr>
        <w:t xml:space="preserve"> already mentioned</w:t>
      </w:r>
      <w:r>
        <w:rPr>
          <w:color w:val="000000" w:themeColor="text1"/>
          <w:sz w:val="24"/>
          <w:szCs w:val="24"/>
        </w:rPr>
        <w:t xml:space="preserve"> Australian example where the ISDS element in concerned. </w:t>
      </w:r>
      <w:r w:rsidR="731A9F31" w:rsidRPr="00ED0973">
        <w:rPr>
          <w:color w:val="000000" w:themeColor="text1"/>
          <w:sz w:val="24"/>
          <w:szCs w:val="24"/>
        </w:rPr>
        <w:t>For a while, Australia decided against the inclusion of ISDS provisions in its trade agreements with other countries,</w:t>
      </w:r>
      <w:r w:rsidR="00FA7B26">
        <w:rPr>
          <w:color w:val="000000" w:themeColor="text1"/>
          <w:sz w:val="24"/>
          <w:szCs w:val="24"/>
        </w:rPr>
        <w:t xml:space="preserve"> </w:t>
      </w:r>
      <w:r w:rsidR="00FA7B26" w:rsidRPr="00ED0973">
        <w:rPr>
          <w:rStyle w:val="Voetnootmarkering"/>
          <w:color w:val="000000" w:themeColor="text1"/>
          <w:sz w:val="24"/>
          <w:szCs w:val="24"/>
        </w:rPr>
        <w:footnoteReference w:id="129"/>
      </w:r>
      <w:r w:rsidR="00FA7B26" w:rsidRPr="00ED0973">
        <w:rPr>
          <w:color w:val="000000" w:themeColor="text1"/>
          <w:sz w:val="24"/>
          <w:szCs w:val="24"/>
        </w:rPr>
        <w:t xml:space="preserve"> </w:t>
      </w:r>
      <w:r w:rsidR="731A9F31" w:rsidRPr="00ED0973">
        <w:rPr>
          <w:color w:val="000000" w:themeColor="text1"/>
          <w:sz w:val="24"/>
          <w:szCs w:val="24"/>
        </w:rPr>
        <w:t xml:space="preserve">but a new conservative coalition government that was elected in 2013 </w:t>
      </w:r>
      <w:r w:rsidR="00837578">
        <w:rPr>
          <w:color w:val="000000" w:themeColor="text1"/>
          <w:sz w:val="24"/>
          <w:szCs w:val="24"/>
        </w:rPr>
        <w:t xml:space="preserve">introduced </w:t>
      </w:r>
      <w:r w:rsidR="731A9F31" w:rsidRPr="00ED0973">
        <w:rPr>
          <w:color w:val="000000" w:themeColor="text1"/>
          <w:sz w:val="24"/>
          <w:szCs w:val="24"/>
        </w:rPr>
        <w:t xml:space="preserve">an </w:t>
      </w:r>
      <w:r w:rsidR="731A9F31" w:rsidRPr="00837578">
        <w:rPr>
          <w:i/>
          <w:color w:val="000000" w:themeColor="text1"/>
          <w:sz w:val="24"/>
          <w:szCs w:val="24"/>
        </w:rPr>
        <w:t>ad hoc</w:t>
      </w:r>
      <w:r w:rsidR="731A9F31" w:rsidRPr="00ED0973">
        <w:rPr>
          <w:color w:val="000000" w:themeColor="text1"/>
          <w:sz w:val="24"/>
          <w:szCs w:val="24"/>
        </w:rPr>
        <w:t xml:space="preserve"> approach where ISDS is concerned. It has entered into free trade agreements that include ISDS, </w:t>
      </w:r>
      <w:r w:rsidR="00696927">
        <w:rPr>
          <w:color w:val="000000" w:themeColor="text1"/>
          <w:sz w:val="24"/>
          <w:szCs w:val="24"/>
        </w:rPr>
        <w:t xml:space="preserve">notably with China, </w:t>
      </w:r>
      <w:r w:rsidR="731A9F31" w:rsidRPr="00ED0973">
        <w:rPr>
          <w:color w:val="000000" w:themeColor="text1"/>
          <w:sz w:val="24"/>
          <w:szCs w:val="24"/>
        </w:rPr>
        <w:t xml:space="preserve">but also </w:t>
      </w:r>
      <w:r w:rsidR="008411A4">
        <w:rPr>
          <w:color w:val="000000" w:themeColor="text1"/>
          <w:sz w:val="24"/>
          <w:szCs w:val="24"/>
        </w:rPr>
        <w:t>concluded agreements without ISDS</w:t>
      </w:r>
      <w:r w:rsidR="731A9F31" w:rsidRPr="00ED0973">
        <w:rPr>
          <w:color w:val="000000" w:themeColor="text1"/>
          <w:sz w:val="24"/>
          <w:szCs w:val="24"/>
        </w:rPr>
        <w:t xml:space="preserve"> </w:t>
      </w:r>
      <w:r w:rsidR="008411A4">
        <w:rPr>
          <w:color w:val="000000" w:themeColor="text1"/>
          <w:sz w:val="24"/>
          <w:szCs w:val="24"/>
        </w:rPr>
        <w:t xml:space="preserve">where the </w:t>
      </w:r>
      <w:r w:rsidR="731A9F31" w:rsidRPr="00ED0973">
        <w:rPr>
          <w:color w:val="000000" w:themeColor="text1"/>
          <w:sz w:val="24"/>
          <w:szCs w:val="24"/>
        </w:rPr>
        <w:t xml:space="preserve">circumstances </w:t>
      </w:r>
      <w:r w:rsidR="008411A4">
        <w:rPr>
          <w:color w:val="000000" w:themeColor="text1"/>
          <w:sz w:val="24"/>
          <w:szCs w:val="24"/>
        </w:rPr>
        <w:t xml:space="preserve">did not </w:t>
      </w:r>
      <w:r w:rsidR="731A9F31" w:rsidRPr="00ED0973">
        <w:rPr>
          <w:color w:val="000000" w:themeColor="text1"/>
          <w:sz w:val="24"/>
          <w:szCs w:val="24"/>
        </w:rPr>
        <w:t xml:space="preserve">require this. </w:t>
      </w:r>
      <w:r w:rsidR="00F02CF9" w:rsidRPr="00ED0973">
        <w:rPr>
          <w:color w:val="000000" w:themeColor="text1"/>
          <w:sz w:val="24"/>
          <w:szCs w:val="24"/>
        </w:rPr>
        <w:t xml:space="preserve">This brings us </w:t>
      </w:r>
      <w:r w:rsidR="00BA7FEC" w:rsidRPr="00ED0973">
        <w:rPr>
          <w:color w:val="000000" w:themeColor="text1"/>
          <w:sz w:val="24"/>
          <w:szCs w:val="24"/>
        </w:rPr>
        <w:t xml:space="preserve">to the ‘China problem’ – </w:t>
      </w:r>
      <w:r w:rsidR="00381CFF">
        <w:rPr>
          <w:color w:val="000000" w:themeColor="text1"/>
          <w:sz w:val="24"/>
          <w:szCs w:val="24"/>
        </w:rPr>
        <w:t xml:space="preserve">the idea that agreement like the </w:t>
      </w:r>
      <w:r w:rsidR="00F02CF9" w:rsidRPr="00ED0973">
        <w:rPr>
          <w:color w:val="000000" w:themeColor="text1"/>
          <w:sz w:val="24"/>
          <w:szCs w:val="24"/>
        </w:rPr>
        <w:t xml:space="preserve"> TTIP </w:t>
      </w:r>
      <w:r w:rsidR="00381CFF">
        <w:rPr>
          <w:color w:val="000000" w:themeColor="text1"/>
          <w:sz w:val="24"/>
          <w:szCs w:val="24"/>
        </w:rPr>
        <w:t xml:space="preserve">or CETA </w:t>
      </w:r>
      <w:r w:rsidR="00F02CF9" w:rsidRPr="00ED0973">
        <w:rPr>
          <w:color w:val="000000" w:themeColor="text1"/>
          <w:sz w:val="24"/>
          <w:szCs w:val="24"/>
        </w:rPr>
        <w:t>wi</w:t>
      </w:r>
      <w:r w:rsidR="00BA7FEC" w:rsidRPr="00ED0973">
        <w:rPr>
          <w:color w:val="000000" w:themeColor="text1"/>
          <w:sz w:val="24"/>
          <w:szCs w:val="24"/>
        </w:rPr>
        <w:t xml:space="preserve">thout ISDS/ICS provisions </w:t>
      </w:r>
      <w:r w:rsidR="008F2318">
        <w:rPr>
          <w:color w:val="000000" w:themeColor="text1"/>
          <w:sz w:val="24"/>
          <w:szCs w:val="24"/>
        </w:rPr>
        <w:t>would</w:t>
      </w:r>
      <w:r w:rsidR="00F02CF9" w:rsidRPr="00ED0973">
        <w:rPr>
          <w:color w:val="000000" w:themeColor="text1"/>
          <w:sz w:val="24"/>
          <w:szCs w:val="24"/>
        </w:rPr>
        <w:t xml:space="preserve"> stand in the way of the possibility to conclude an EU-China</w:t>
      </w:r>
      <w:r w:rsidR="008F2318">
        <w:rPr>
          <w:color w:val="000000" w:themeColor="text1"/>
          <w:sz w:val="24"/>
          <w:szCs w:val="24"/>
        </w:rPr>
        <w:t xml:space="preserve"> agreement with such provisions.</w:t>
      </w:r>
    </w:p>
    <w:p w14:paraId="204C9282" w14:textId="18136E60" w:rsidR="00462E21" w:rsidRPr="00ED0973" w:rsidRDefault="00F02CF9" w:rsidP="00101DDF">
      <w:pPr>
        <w:ind w:firstLine="720"/>
        <w:jc w:val="both"/>
        <w:rPr>
          <w:color w:val="000000" w:themeColor="text1"/>
          <w:sz w:val="24"/>
          <w:szCs w:val="24"/>
        </w:rPr>
      </w:pPr>
      <w:r w:rsidRPr="00ED0973">
        <w:rPr>
          <w:color w:val="000000" w:themeColor="text1"/>
          <w:sz w:val="24"/>
          <w:szCs w:val="24"/>
        </w:rPr>
        <w:lastRenderedPageBreak/>
        <w:t>T</w:t>
      </w:r>
      <w:r w:rsidR="00D26653" w:rsidRPr="00ED0973">
        <w:rPr>
          <w:color w:val="000000" w:themeColor="text1"/>
          <w:sz w:val="24"/>
          <w:szCs w:val="24"/>
        </w:rPr>
        <w:t xml:space="preserve">he CETA and TTIP </w:t>
      </w:r>
      <w:r w:rsidRPr="00ED0973">
        <w:rPr>
          <w:color w:val="000000" w:themeColor="text1"/>
          <w:sz w:val="24"/>
          <w:szCs w:val="24"/>
        </w:rPr>
        <w:t xml:space="preserve">are often </w:t>
      </w:r>
      <w:r w:rsidR="009A1DCA" w:rsidRPr="00ED0973">
        <w:rPr>
          <w:color w:val="000000" w:themeColor="text1"/>
          <w:sz w:val="24"/>
          <w:szCs w:val="24"/>
        </w:rPr>
        <w:t>regarded</w:t>
      </w:r>
      <w:r w:rsidR="001947C2" w:rsidRPr="00ED0973">
        <w:rPr>
          <w:color w:val="000000" w:themeColor="text1"/>
          <w:sz w:val="24"/>
          <w:szCs w:val="24"/>
        </w:rPr>
        <w:t xml:space="preserve"> as test</w:t>
      </w:r>
      <w:r w:rsidR="00F618C6" w:rsidRPr="00ED0973">
        <w:rPr>
          <w:color w:val="000000" w:themeColor="text1"/>
          <w:sz w:val="24"/>
          <w:szCs w:val="24"/>
        </w:rPr>
        <w:t xml:space="preserve"> </w:t>
      </w:r>
      <w:r w:rsidR="001947C2" w:rsidRPr="00ED0973">
        <w:rPr>
          <w:color w:val="000000" w:themeColor="text1"/>
          <w:sz w:val="24"/>
          <w:szCs w:val="24"/>
        </w:rPr>
        <w:t xml:space="preserve">cases for future </w:t>
      </w:r>
      <w:r w:rsidR="00BF5133" w:rsidRPr="00ED0973">
        <w:rPr>
          <w:color w:val="000000" w:themeColor="text1"/>
          <w:sz w:val="24"/>
          <w:szCs w:val="24"/>
        </w:rPr>
        <w:t xml:space="preserve">EU </w:t>
      </w:r>
      <w:r w:rsidRPr="00ED0973">
        <w:rPr>
          <w:color w:val="000000" w:themeColor="text1"/>
          <w:sz w:val="24"/>
          <w:szCs w:val="24"/>
        </w:rPr>
        <w:t xml:space="preserve">trade and </w:t>
      </w:r>
      <w:r w:rsidR="001947C2" w:rsidRPr="00ED0973">
        <w:rPr>
          <w:color w:val="000000" w:themeColor="text1"/>
          <w:sz w:val="24"/>
          <w:szCs w:val="24"/>
        </w:rPr>
        <w:t>investment treaties with other countries or regiona</w:t>
      </w:r>
      <w:r w:rsidR="004D6ACF" w:rsidRPr="00ED0973">
        <w:rPr>
          <w:color w:val="000000" w:themeColor="text1"/>
          <w:sz w:val="24"/>
          <w:szCs w:val="24"/>
        </w:rPr>
        <w:t xml:space="preserve">l economic organisations. As the EU competence to conclude investment treaties was only introduced through the Treaty of Lisbon, </w:t>
      </w:r>
      <w:r w:rsidR="00ED0E5F" w:rsidRPr="00ED0973">
        <w:rPr>
          <w:color w:val="000000" w:themeColor="text1"/>
          <w:sz w:val="24"/>
          <w:szCs w:val="24"/>
        </w:rPr>
        <w:t>the EU is entering new territories here.</w:t>
      </w:r>
      <w:r w:rsidR="00AB1134">
        <w:rPr>
          <w:color w:val="000000" w:themeColor="text1"/>
          <w:sz w:val="24"/>
          <w:szCs w:val="24"/>
        </w:rPr>
        <w:t xml:space="preserve"> F</w:t>
      </w:r>
      <w:r w:rsidR="00DC50F6" w:rsidRPr="00ED0973">
        <w:rPr>
          <w:color w:val="000000" w:themeColor="text1"/>
          <w:sz w:val="24"/>
          <w:szCs w:val="24"/>
        </w:rPr>
        <w:t xml:space="preserve">uture investment treaties </w:t>
      </w:r>
      <w:r w:rsidR="00AB1134">
        <w:rPr>
          <w:color w:val="000000" w:themeColor="text1"/>
          <w:sz w:val="24"/>
          <w:szCs w:val="24"/>
        </w:rPr>
        <w:t xml:space="preserve">can be </w:t>
      </w:r>
      <w:r w:rsidR="00DC50F6" w:rsidRPr="00ED0973">
        <w:rPr>
          <w:color w:val="000000" w:themeColor="text1"/>
          <w:sz w:val="24"/>
          <w:szCs w:val="24"/>
        </w:rPr>
        <w:t xml:space="preserve">concluded with states in which the rule of law is less secured than it is in Canada and the USA, </w:t>
      </w:r>
      <w:r w:rsidR="00627943">
        <w:rPr>
          <w:color w:val="000000" w:themeColor="text1"/>
          <w:sz w:val="24"/>
          <w:szCs w:val="24"/>
        </w:rPr>
        <w:t>for instance because</w:t>
      </w:r>
      <w:r w:rsidR="002B7B78" w:rsidRPr="00ED0973">
        <w:rPr>
          <w:color w:val="000000" w:themeColor="text1"/>
          <w:sz w:val="24"/>
          <w:szCs w:val="24"/>
        </w:rPr>
        <w:t xml:space="preserve"> the independency of </w:t>
      </w:r>
      <w:r w:rsidR="00627943">
        <w:rPr>
          <w:color w:val="000000" w:themeColor="text1"/>
          <w:sz w:val="24"/>
          <w:szCs w:val="24"/>
        </w:rPr>
        <w:t>the judiciary is not ensured. In such cases</w:t>
      </w:r>
      <w:r w:rsidR="002B7B78" w:rsidRPr="00ED0973">
        <w:rPr>
          <w:color w:val="000000" w:themeColor="text1"/>
          <w:sz w:val="24"/>
          <w:szCs w:val="24"/>
        </w:rPr>
        <w:t xml:space="preserve">, </w:t>
      </w:r>
      <w:r w:rsidR="00462E21" w:rsidRPr="00ED0973">
        <w:rPr>
          <w:color w:val="000000" w:themeColor="text1"/>
          <w:sz w:val="24"/>
          <w:szCs w:val="24"/>
        </w:rPr>
        <w:t xml:space="preserve">it </w:t>
      </w:r>
      <w:r w:rsidR="006B524A">
        <w:rPr>
          <w:color w:val="000000" w:themeColor="text1"/>
          <w:sz w:val="24"/>
          <w:szCs w:val="24"/>
        </w:rPr>
        <w:t>might</w:t>
      </w:r>
      <w:r w:rsidR="00122C4E" w:rsidRPr="00ED0973">
        <w:rPr>
          <w:color w:val="000000" w:themeColor="text1"/>
          <w:sz w:val="24"/>
          <w:szCs w:val="24"/>
        </w:rPr>
        <w:t xml:space="preserve"> be </w:t>
      </w:r>
      <w:r w:rsidR="009D5F3F" w:rsidRPr="00ED0973">
        <w:rPr>
          <w:color w:val="000000" w:themeColor="text1"/>
          <w:sz w:val="24"/>
          <w:szCs w:val="24"/>
        </w:rPr>
        <w:t xml:space="preserve">important that </w:t>
      </w:r>
      <w:r w:rsidR="006B524A">
        <w:rPr>
          <w:color w:val="000000" w:themeColor="text1"/>
          <w:sz w:val="24"/>
          <w:szCs w:val="24"/>
        </w:rPr>
        <w:t xml:space="preserve">agreements with such states </w:t>
      </w:r>
      <w:r w:rsidR="009D5F3F" w:rsidRPr="00ED0973">
        <w:rPr>
          <w:color w:val="000000" w:themeColor="text1"/>
          <w:sz w:val="24"/>
          <w:szCs w:val="24"/>
        </w:rPr>
        <w:t xml:space="preserve">will include </w:t>
      </w:r>
      <w:r w:rsidR="00462E21" w:rsidRPr="00ED0973">
        <w:rPr>
          <w:color w:val="000000" w:themeColor="text1"/>
          <w:sz w:val="24"/>
          <w:szCs w:val="24"/>
        </w:rPr>
        <w:t xml:space="preserve">some form of </w:t>
      </w:r>
      <w:r w:rsidR="009D5F3F" w:rsidRPr="00ED0973">
        <w:rPr>
          <w:color w:val="000000" w:themeColor="text1"/>
          <w:sz w:val="24"/>
          <w:szCs w:val="24"/>
        </w:rPr>
        <w:t>ISDS</w:t>
      </w:r>
      <w:r w:rsidR="00122C4E" w:rsidRPr="00ED0973">
        <w:rPr>
          <w:color w:val="000000" w:themeColor="text1"/>
          <w:sz w:val="24"/>
          <w:szCs w:val="24"/>
        </w:rPr>
        <w:t>/ICS</w:t>
      </w:r>
      <w:r w:rsidR="009D5F3F" w:rsidRPr="00ED0973">
        <w:rPr>
          <w:color w:val="000000" w:themeColor="text1"/>
          <w:sz w:val="24"/>
          <w:szCs w:val="24"/>
        </w:rPr>
        <w:t xml:space="preserve"> provisions.</w:t>
      </w:r>
      <w:r w:rsidR="0074580D" w:rsidRPr="00ED0973">
        <w:rPr>
          <w:color w:val="000000" w:themeColor="text1"/>
          <w:sz w:val="24"/>
          <w:szCs w:val="24"/>
        </w:rPr>
        <w:t xml:space="preserve"> </w:t>
      </w:r>
      <w:r w:rsidR="00842727" w:rsidRPr="00ED0973">
        <w:rPr>
          <w:color w:val="000000" w:themeColor="text1"/>
          <w:sz w:val="24"/>
          <w:szCs w:val="24"/>
        </w:rPr>
        <w:t>However</w:t>
      </w:r>
      <w:r w:rsidR="007F6BEF" w:rsidRPr="00ED0973">
        <w:rPr>
          <w:color w:val="000000" w:themeColor="text1"/>
          <w:sz w:val="24"/>
          <w:szCs w:val="24"/>
        </w:rPr>
        <w:t xml:space="preserve">, if TTIP would not include ISDS, it </w:t>
      </w:r>
      <w:r w:rsidR="00462E21" w:rsidRPr="00ED0973">
        <w:rPr>
          <w:color w:val="000000" w:themeColor="text1"/>
          <w:sz w:val="24"/>
          <w:szCs w:val="24"/>
        </w:rPr>
        <w:t xml:space="preserve">is claimed that it </w:t>
      </w:r>
      <w:r w:rsidR="007F6BEF" w:rsidRPr="00ED0973">
        <w:rPr>
          <w:color w:val="000000" w:themeColor="text1"/>
          <w:sz w:val="24"/>
          <w:szCs w:val="24"/>
        </w:rPr>
        <w:t xml:space="preserve">might be difficult </w:t>
      </w:r>
      <w:r w:rsidR="00BF5133" w:rsidRPr="00ED0973">
        <w:rPr>
          <w:color w:val="000000" w:themeColor="text1"/>
          <w:sz w:val="24"/>
          <w:szCs w:val="24"/>
        </w:rPr>
        <w:t xml:space="preserve">or even impossible </w:t>
      </w:r>
      <w:r w:rsidR="007F6BEF" w:rsidRPr="00ED0973">
        <w:rPr>
          <w:color w:val="000000" w:themeColor="text1"/>
          <w:sz w:val="24"/>
          <w:szCs w:val="24"/>
        </w:rPr>
        <w:t>to co</w:t>
      </w:r>
      <w:r w:rsidR="00122C4E" w:rsidRPr="00ED0973">
        <w:rPr>
          <w:color w:val="000000" w:themeColor="text1"/>
          <w:sz w:val="24"/>
          <w:szCs w:val="24"/>
        </w:rPr>
        <w:t>nvince other states to accept this</w:t>
      </w:r>
      <w:r w:rsidR="007F6BEF" w:rsidRPr="00ED0973">
        <w:rPr>
          <w:color w:val="000000" w:themeColor="text1"/>
          <w:sz w:val="24"/>
          <w:szCs w:val="24"/>
        </w:rPr>
        <w:t xml:space="preserve">. This is usually referred to as </w:t>
      </w:r>
      <w:r w:rsidR="000151FE" w:rsidRPr="00ED0973">
        <w:rPr>
          <w:color w:val="000000" w:themeColor="text1"/>
          <w:sz w:val="24"/>
          <w:szCs w:val="24"/>
        </w:rPr>
        <w:t xml:space="preserve">the </w:t>
      </w:r>
      <w:r w:rsidR="00122C4E" w:rsidRPr="00ED0973">
        <w:rPr>
          <w:color w:val="000000" w:themeColor="text1"/>
          <w:sz w:val="24"/>
          <w:szCs w:val="24"/>
        </w:rPr>
        <w:t>‘China problem’. N</w:t>
      </w:r>
      <w:r w:rsidR="000151FE" w:rsidRPr="00ED0973">
        <w:rPr>
          <w:color w:val="000000" w:themeColor="text1"/>
          <w:sz w:val="24"/>
          <w:szCs w:val="24"/>
        </w:rPr>
        <w:t xml:space="preserve">egotiations </w:t>
      </w:r>
      <w:r w:rsidR="00012F8A" w:rsidRPr="00ED0973">
        <w:rPr>
          <w:color w:val="000000" w:themeColor="text1"/>
          <w:sz w:val="24"/>
          <w:szCs w:val="24"/>
        </w:rPr>
        <w:t>between the EU and</w:t>
      </w:r>
      <w:r w:rsidR="000151FE" w:rsidRPr="00ED0973">
        <w:rPr>
          <w:color w:val="000000" w:themeColor="text1"/>
          <w:sz w:val="24"/>
          <w:szCs w:val="24"/>
        </w:rPr>
        <w:t xml:space="preserve"> this country started at the end of 2013.</w:t>
      </w:r>
      <w:r w:rsidR="00592074" w:rsidRPr="00ED0973">
        <w:rPr>
          <w:rStyle w:val="Voetnootmarkering"/>
          <w:color w:val="000000" w:themeColor="text1"/>
          <w:sz w:val="24"/>
          <w:szCs w:val="24"/>
        </w:rPr>
        <w:footnoteReference w:id="130"/>
      </w:r>
      <w:r w:rsidR="002B7B78" w:rsidRPr="00ED0973">
        <w:rPr>
          <w:color w:val="000000" w:themeColor="text1"/>
          <w:sz w:val="24"/>
          <w:szCs w:val="24"/>
        </w:rPr>
        <w:t xml:space="preserve"> </w:t>
      </w:r>
      <w:r w:rsidR="00BF4544">
        <w:rPr>
          <w:color w:val="000000" w:themeColor="text1"/>
          <w:sz w:val="24"/>
          <w:szCs w:val="24"/>
        </w:rPr>
        <w:t>Yet</w:t>
      </w:r>
      <w:r w:rsidR="00462E21" w:rsidRPr="00ED0973">
        <w:rPr>
          <w:color w:val="000000" w:themeColor="text1"/>
          <w:sz w:val="24"/>
          <w:szCs w:val="24"/>
        </w:rPr>
        <w:t xml:space="preserve"> </w:t>
      </w:r>
      <w:r w:rsidR="00212115" w:rsidRPr="00ED0973">
        <w:rPr>
          <w:color w:val="000000" w:themeColor="text1"/>
          <w:sz w:val="24"/>
          <w:szCs w:val="24"/>
        </w:rPr>
        <w:t>the China-Australia FTA (ChAFTA)</w:t>
      </w:r>
      <w:r w:rsidR="00462E21" w:rsidRPr="00ED0973">
        <w:rPr>
          <w:color w:val="000000" w:themeColor="text1"/>
          <w:sz w:val="24"/>
          <w:szCs w:val="24"/>
        </w:rPr>
        <w:t xml:space="preserve"> </w:t>
      </w:r>
      <w:r w:rsidR="00212115" w:rsidRPr="00ED0973">
        <w:rPr>
          <w:color w:val="000000" w:themeColor="text1"/>
          <w:sz w:val="24"/>
          <w:szCs w:val="24"/>
        </w:rPr>
        <w:t xml:space="preserve">that entered into force on 20 December 2015 contains ISDS provisions, in spite of the fact that </w:t>
      </w:r>
      <w:r w:rsidR="00462E21" w:rsidRPr="00ED0973">
        <w:rPr>
          <w:color w:val="000000" w:themeColor="text1"/>
          <w:sz w:val="24"/>
          <w:szCs w:val="24"/>
        </w:rPr>
        <w:t xml:space="preserve">Australia considers ISDS provisions </w:t>
      </w:r>
      <w:r w:rsidR="00212115" w:rsidRPr="00ED0973">
        <w:rPr>
          <w:color w:val="000000" w:themeColor="text1"/>
          <w:sz w:val="24"/>
          <w:szCs w:val="24"/>
        </w:rPr>
        <w:t xml:space="preserve">in FTAs on a case-by-case basis and Australia’s FTAs with other countries, including those with the US and Japan, </w:t>
      </w:r>
      <w:r w:rsidR="00462E21" w:rsidRPr="00ED0973">
        <w:rPr>
          <w:rStyle w:val="Voetnootmarkering"/>
          <w:color w:val="000000" w:themeColor="text1"/>
          <w:sz w:val="24"/>
          <w:szCs w:val="24"/>
        </w:rPr>
        <w:footnoteReference w:id="131"/>
      </w:r>
      <w:r w:rsidR="00462E21" w:rsidRPr="00ED0973">
        <w:rPr>
          <w:color w:val="000000" w:themeColor="text1"/>
          <w:sz w:val="24"/>
          <w:szCs w:val="24"/>
        </w:rPr>
        <w:t xml:space="preserve"> </w:t>
      </w:r>
      <w:r w:rsidR="00212115" w:rsidRPr="00ED0973">
        <w:rPr>
          <w:color w:val="000000" w:themeColor="text1"/>
          <w:sz w:val="24"/>
          <w:szCs w:val="24"/>
        </w:rPr>
        <w:t>lack ISDS provisions. In other words: China did not oppose the insertion of ISDS provisions because of the absence of such provisions in the Australia-US FTA (AUSFTA).</w:t>
      </w:r>
      <w:r w:rsidR="00212115" w:rsidRPr="00ED0973">
        <w:rPr>
          <w:rStyle w:val="Voetnootmarkering"/>
          <w:color w:val="000000" w:themeColor="text1"/>
          <w:sz w:val="24"/>
          <w:szCs w:val="24"/>
        </w:rPr>
        <w:footnoteReference w:id="132"/>
      </w:r>
    </w:p>
    <w:p w14:paraId="204C9290" w14:textId="1FC555FD" w:rsidR="00F73926" w:rsidRPr="00ED0973" w:rsidRDefault="00D837DE" w:rsidP="006F27A6">
      <w:pPr>
        <w:ind w:firstLine="720"/>
        <w:jc w:val="both"/>
        <w:rPr>
          <w:color w:val="000000" w:themeColor="text1"/>
          <w:sz w:val="24"/>
          <w:szCs w:val="24"/>
        </w:rPr>
      </w:pPr>
      <w:r w:rsidRPr="00ED0973">
        <w:rPr>
          <w:color w:val="000000" w:themeColor="text1"/>
          <w:sz w:val="24"/>
          <w:szCs w:val="24"/>
        </w:rPr>
        <w:t>Even if it is an extra hurdle to take</w:t>
      </w:r>
      <w:r w:rsidR="00EB71EE">
        <w:rPr>
          <w:color w:val="000000" w:themeColor="text1"/>
          <w:sz w:val="24"/>
          <w:szCs w:val="24"/>
        </w:rPr>
        <w:t xml:space="preserve">, </w:t>
      </w:r>
      <w:r w:rsidR="00E76B9A" w:rsidRPr="00ED0973">
        <w:rPr>
          <w:color w:val="000000" w:themeColor="text1"/>
          <w:sz w:val="24"/>
          <w:szCs w:val="24"/>
        </w:rPr>
        <w:t>ISDS</w:t>
      </w:r>
      <w:r w:rsidR="000B05EF" w:rsidRPr="00ED0973">
        <w:rPr>
          <w:color w:val="000000" w:themeColor="text1"/>
          <w:sz w:val="24"/>
          <w:szCs w:val="24"/>
        </w:rPr>
        <w:t>/ICS</w:t>
      </w:r>
      <w:r w:rsidR="00E76B9A" w:rsidRPr="00ED0973">
        <w:rPr>
          <w:color w:val="000000" w:themeColor="text1"/>
          <w:sz w:val="24"/>
          <w:szCs w:val="24"/>
        </w:rPr>
        <w:t xml:space="preserve"> is to be introduced in investment treaties only in those cases where </w:t>
      </w:r>
      <w:r w:rsidR="000B05EF" w:rsidRPr="00ED0973">
        <w:rPr>
          <w:color w:val="000000" w:themeColor="text1"/>
          <w:sz w:val="24"/>
          <w:szCs w:val="24"/>
        </w:rPr>
        <w:t xml:space="preserve">this the benefits of doing so outweigh the negative aspects. Following the example of Australia, this can be decided </w:t>
      </w:r>
      <w:r w:rsidR="0049668D" w:rsidRPr="00ED0973">
        <w:rPr>
          <w:color w:val="000000" w:themeColor="text1"/>
          <w:sz w:val="24"/>
          <w:szCs w:val="24"/>
        </w:rPr>
        <w:t>on a case by case</w:t>
      </w:r>
      <w:r w:rsidR="000B05EF" w:rsidRPr="00ED0973">
        <w:rPr>
          <w:color w:val="000000" w:themeColor="text1"/>
          <w:sz w:val="24"/>
          <w:szCs w:val="24"/>
        </w:rPr>
        <w:t xml:space="preserve">, </w:t>
      </w:r>
      <w:r w:rsidR="000B05EF" w:rsidRPr="00ED0973">
        <w:rPr>
          <w:i/>
          <w:iCs/>
          <w:color w:val="000000" w:themeColor="text1"/>
          <w:sz w:val="24"/>
          <w:szCs w:val="24"/>
        </w:rPr>
        <w:t>ad hoc</w:t>
      </w:r>
      <w:r w:rsidR="0049668D" w:rsidRPr="00ED0973">
        <w:rPr>
          <w:color w:val="000000" w:themeColor="text1"/>
          <w:sz w:val="24"/>
          <w:szCs w:val="24"/>
        </w:rPr>
        <w:t xml:space="preserve"> basis.</w:t>
      </w:r>
      <w:r w:rsidR="0049668D" w:rsidRPr="00ED0973">
        <w:rPr>
          <w:rStyle w:val="Voetnootmarkering"/>
          <w:color w:val="000000" w:themeColor="text1"/>
          <w:sz w:val="24"/>
          <w:szCs w:val="24"/>
        </w:rPr>
        <w:footnoteReference w:id="133"/>
      </w:r>
      <w:r w:rsidR="00604CDD" w:rsidRPr="00ED0973">
        <w:rPr>
          <w:color w:val="000000" w:themeColor="text1"/>
          <w:sz w:val="24"/>
          <w:szCs w:val="24"/>
        </w:rPr>
        <w:t xml:space="preserve"> </w:t>
      </w:r>
      <w:r w:rsidR="000B05EF" w:rsidRPr="00ED0973">
        <w:rPr>
          <w:color w:val="000000" w:themeColor="text1"/>
          <w:sz w:val="24"/>
          <w:szCs w:val="24"/>
        </w:rPr>
        <w:t xml:space="preserve">The same example shows that this does not have to stand in the way of concluding an agreement with China that includes ISDS/ICS provisions. </w:t>
      </w:r>
      <w:r w:rsidR="00460E37">
        <w:rPr>
          <w:color w:val="000000" w:themeColor="text1"/>
          <w:sz w:val="24"/>
          <w:szCs w:val="24"/>
        </w:rPr>
        <w:t>Doing so would be in line with the EU policy of better regulation, which demands an evidence based approach.</w:t>
      </w:r>
    </w:p>
    <w:p w14:paraId="204C9291" w14:textId="5A8E745C" w:rsidR="00F73926" w:rsidRPr="00ED0973" w:rsidRDefault="00734D46" w:rsidP="00212753">
      <w:pPr>
        <w:pStyle w:val="Kop1"/>
      </w:pPr>
      <w:r>
        <w:t xml:space="preserve">4 </w:t>
      </w:r>
      <w:r w:rsidR="731A9F31" w:rsidRPr="00ED0973">
        <w:t>Concluding remarks</w:t>
      </w:r>
    </w:p>
    <w:p w14:paraId="48CDBAFE" w14:textId="77777777" w:rsidR="0026670F" w:rsidRDefault="00734D46" w:rsidP="006014CA">
      <w:pPr>
        <w:jc w:val="both"/>
        <w:rPr>
          <w:color w:val="000000" w:themeColor="text1"/>
          <w:sz w:val="24"/>
          <w:szCs w:val="24"/>
        </w:rPr>
      </w:pPr>
      <w:r>
        <w:rPr>
          <w:color w:val="000000" w:themeColor="text1"/>
          <w:sz w:val="24"/>
          <w:szCs w:val="24"/>
        </w:rPr>
        <w:t>The EU obliged itself to ensure that protection of the environment would be integrated in its trade and investment policy. Considering the manner in which investor protection with ISDS has worked out in the past, as exemplified in the awards rendered by numerous arbiters</w:t>
      </w:r>
      <w:r w:rsidR="00FF160E">
        <w:rPr>
          <w:color w:val="000000" w:themeColor="text1"/>
          <w:sz w:val="24"/>
          <w:szCs w:val="24"/>
        </w:rPr>
        <w:t xml:space="preserve"> so far and the manner in which the mere possibility to instigate claims can cast a regulatory chill on legislators aiming to protect public interests in a non-discriminatory manner</w:t>
      </w:r>
      <w:r>
        <w:rPr>
          <w:color w:val="000000" w:themeColor="text1"/>
          <w:sz w:val="24"/>
          <w:szCs w:val="24"/>
        </w:rPr>
        <w:t xml:space="preserve">, </w:t>
      </w:r>
      <w:r w:rsidR="00A27EEB">
        <w:rPr>
          <w:color w:val="000000" w:themeColor="text1"/>
          <w:sz w:val="24"/>
          <w:szCs w:val="24"/>
        </w:rPr>
        <w:t>and the lack of e</w:t>
      </w:r>
      <w:r w:rsidR="00A0135B">
        <w:rPr>
          <w:color w:val="000000" w:themeColor="text1"/>
          <w:sz w:val="24"/>
          <w:szCs w:val="24"/>
        </w:rPr>
        <w:t xml:space="preserve">vidence proposed to demonstrate the advantages of ISDS/ICS in TTIP and CETA, </w:t>
      </w:r>
      <w:r>
        <w:rPr>
          <w:color w:val="000000" w:themeColor="text1"/>
          <w:sz w:val="24"/>
          <w:szCs w:val="24"/>
        </w:rPr>
        <w:t xml:space="preserve">it is safe to say that the current </w:t>
      </w:r>
      <w:r w:rsidR="0026670F">
        <w:rPr>
          <w:color w:val="000000" w:themeColor="text1"/>
          <w:sz w:val="24"/>
          <w:szCs w:val="24"/>
        </w:rPr>
        <w:t xml:space="preserve">ISDS </w:t>
      </w:r>
      <w:r>
        <w:rPr>
          <w:color w:val="000000" w:themeColor="text1"/>
          <w:sz w:val="24"/>
          <w:szCs w:val="24"/>
        </w:rPr>
        <w:t xml:space="preserve">system does not strike a </w:t>
      </w:r>
      <w:r w:rsidR="00FF160E">
        <w:rPr>
          <w:color w:val="000000" w:themeColor="text1"/>
          <w:sz w:val="24"/>
          <w:szCs w:val="24"/>
        </w:rPr>
        <w:t xml:space="preserve">fair </w:t>
      </w:r>
      <w:r>
        <w:rPr>
          <w:color w:val="000000" w:themeColor="text1"/>
          <w:sz w:val="24"/>
          <w:szCs w:val="24"/>
        </w:rPr>
        <w:t xml:space="preserve">balance </w:t>
      </w:r>
      <w:r w:rsidR="00FF160E">
        <w:rPr>
          <w:color w:val="000000" w:themeColor="text1"/>
          <w:sz w:val="24"/>
          <w:szCs w:val="24"/>
        </w:rPr>
        <w:t xml:space="preserve">between the interests of investors and </w:t>
      </w:r>
      <w:r>
        <w:rPr>
          <w:color w:val="000000" w:themeColor="text1"/>
          <w:sz w:val="24"/>
          <w:szCs w:val="24"/>
        </w:rPr>
        <w:t>t</w:t>
      </w:r>
      <w:r w:rsidR="00FF160E">
        <w:rPr>
          <w:color w:val="000000" w:themeColor="text1"/>
          <w:sz w:val="24"/>
          <w:szCs w:val="24"/>
        </w:rPr>
        <w:t>hat public interest</w:t>
      </w:r>
      <w:r>
        <w:rPr>
          <w:color w:val="000000" w:themeColor="text1"/>
          <w:sz w:val="24"/>
          <w:szCs w:val="24"/>
        </w:rPr>
        <w:t xml:space="preserve">. </w:t>
      </w:r>
    </w:p>
    <w:p w14:paraId="0D27BCEF" w14:textId="78BB6E20" w:rsidR="00FF160E" w:rsidRDefault="00734D46" w:rsidP="00741DAC">
      <w:pPr>
        <w:ind w:firstLine="720"/>
        <w:jc w:val="both"/>
        <w:rPr>
          <w:color w:val="000000" w:themeColor="text1"/>
          <w:sz w:val="24"/>
          <w:szCs w:val="24"/>
        </w:rPr>
      </w:pPr>
      <w:r>
        <w:rPr>
          <w:color w:val="000000" w:themeColor="text1"/>
          <w:sz w:val="24"/>
          <w:szCs w:val="24"/>
        </w:rPr>
        <w:t>Upon examining the changes proposed by the European Union to</w:t>
      </w:r>
      <w:r w:rsidR="00A238EE">
        <w:rPr>
          <w:color w:val="000000" w:themeColor="text1"/>
          <w:sz w:val="24"/>
          <w:szCs w:val="24"/>
        </w:rPr>
        <w:t xml:space="preserve"> the investment chapter in TTIP (and noting that it is still far from certain that the U.S.A. will agree to the kind </w:t>
      </w:r>
      <w:r w:rsidR="00A238EE">
        <w:rPr>
          <w:color w:val="000000" w:themeColor="text1"/>
          <w:sz w:val="24"/>
          <w:szCs w:val="24"/>
        </w:rPr>
        <w:lastRenderedPageBreak/>
        <w:t xml:space="preserve">of investment protection rules and an ICS, if it ever comes to the conclusion of </w:t>
      </w:r>
      <w:r w:rsidR="00F90A76">
        <w:rPr>
          <w:color w:val="000000" w:themeColor="text1"/>
          <w:sz w:val="24"/>
          <w:szCs w:val="24"/>
        </w:rPr>
        <w:t xml:space="preserve">a </w:t>
      </w:r>
      <w:r w:rsidR="00A238EE">
        <w:rPr>
          <w:color w:val="000000" w:themeColor="text1"/>
          <w:sz w:val="24"/>
          <w:szCs w:val="24"/>
        </w:rPr>
        <w:t>TTIP)</w:t>
      </w:r>
      <w:r w:rsidR="00A238EE">
        <w:rPr>
          <w:rStyle w:val="Voetnootmarkering"/>
          <w:color w:val="000000" w:themeColor="text1"/>
          <w:sz w:val="24"/>
          <w:szCs w:val="24"/>
        </w:rPr>
        <w:footnoteReference w:id="134"/>
      </w:r>
      <w:r w:rsidR="00A238EE">
        <w:rPr>
          <w:color w:val="000000" w:themeColor="text1"/>
          <w:sz w:val="24"/>
          <w:szCs w:val="24"/>
        </w:rPr>
        <w:t xml:space="preserve"> </w:t>
      </w:r>
      <w:r>
        <w:rPr>
          <w:color w:val="000000" w:themeColor="text1"/>
          <w:sz w:val="24"/>
          <w:szCs w:val="24"/>
        </w:rPr>
        <w:t>and those meanwhile accepted to be a part</w:t>
      </w:r>
      <w:r w:rsidR="00FF160E">
        <w:rPr>
          <w:color w:val="000000" w:themeColor="text1"/>
          <w:sz w:val="24"/>
          <w:szCs w:val="24"/>
        </w:rPr>
        <w:t xml:space="preserve"> of CETA, </w:t>
      </w:r>
      <w:r>
        <w:rPr>
          <w:color w:val="000000" w:themeColor="text1"/>
          <w:sz w:val="24"/>
          <w:szCs w:val="24"/>
        </w:rPr>
        <w:t>the same concl</w:t>
      </w:r>
      <w:r w:rsidR="00FF160E">
        <w:rPr>
          <w:color w:val="000000" w:themeColor="text1"/>
          <w:sz w:val="24"/>
          <w:szCs w:val="24"/>
        </w:rPr>
        <w:t xml:space="preserve">usion can also be drawn where the new ICS is concerned, in spite of the improvements it would bring compared to ISDS. The compatibility of the ICS with EU law is far from certain. The fact that the Lisbon Treaty provided the EU with exclusive competences on investment protection does not automatically mean that it is also competent to introduce the possibility for foreign investors to circumvent EU domestic courts and the CJEU to protect their rights under a new treaty. </w:t>
      </w:r>
      <w:r w:rsidR="00212753">
        <w:rPr>
          <w:color w:val="000000" w:themeColor="text1"/>
          <w:sz w:val="24"/>
          <w:szCs w:val="24"/>
        </w:rPr>
        <w:t xml:space="preserve">Whether or not the critics that underline the incompatible aspects of the ICS are right can easily be discerned by making use of an instrument designed especially for this purpose, namely article 218(11) TFEU which allows </w:t>
      </w:r>
      <w:r w:rsidR="00212753" w:rsidRPr="00212753">
        <w:rPr>
          <w:color w:val="000000" w:themeColor="text1"/>
          <w:sz w:val="24"/>
          <w:szCs w:val="24"/>
        </w:rPr>
        <w:t>Member State</w:t>
      </w:r>
      <w:r w:rsidR="00212753">
        <w:rPr>
          <w:color w:val="000000" w:themeColor="text1"/>
          <w:sz w:val="24"/>
          <w:szCs w:val="24"/>
        </w:rPr>
        <w:t>s</w:t>
      </w:r>
      <w:r w:rsidR="00212753" w:rsidRPr="00212753">
        <w:rPr>
          <w:color w:val="000000" w:themeColor="text1"/>
          <w:sz w:val="24"/>
          <w:szCs w:val="24"/>
        </w:rPr>
        <w:t>, the European Parliament, t</w:t>
      </w:r>
      <w:r w:rsidR="00212753">
        <w:rPr>
          <w:color w:val="000000" w:themeColor="text1"/>
          <w:sz w:val="24"/>
          <w:szCs w:val="24"/>
        </w:rPr>
        <w:t>he Council or the Commission to</w:t>
      </w:r>
      <w:r w:rsidR="00212753" w:rsidRPr="00212753">
        <w:rPr>
          <w:color w:val="000000" w:themeColor="text1"/>
          <w:sz w:val="24"/>
          <w:szCs w:val="24"/>
        </w:rPr>
        <w:t xml:space="preserve"> </w:t>
      </w:r>
      <w:r w:rsidR="00212753">
        <w:rPr>
          <w:color w:val="000000" w:themeColor="text1"/>
          <w:sz w:val="24"/>
          <w:szCs w:val="24"/>
        </w:rPr>
        <w:t>‘</w:t>
      </w:r>
      <w:r w:rsidR="00212753" w:rsidRPr="00212753">
        <w:rPr>
          <w:color w:val="000000" w:themeColor="text1"/>
          <w:sz w:val="24"/>
          <w:szCs w:val="24"/>
        </w:rPr>
        <w:t>obtain the opinion of the Court of Justice as to whether an agreement envisaged is compatible with the Treaties</w:t>
      </w:r>
      <w:r w:rsidR="00212753">
        <w:rPr>
          <w:color w:val="000000" w:themeColor="text1"/>
          <w:sz w:val="24"/>
          <w:szCs w:val="24"/>
        </w:rPr>
        <w:t>’</w:t>
      </w:r>
      <w:r w:rsidR="00212753" w:rsidRPr="00212753">
        <w:rPr>
          <w:color w:val="000000" w:themeColor="text1"/>
          <w:sz w:val="24"/>
          <w:szCs w:val="24"/>
        </w:rPr>
        <w:t>.</w:t>
      </w:r>
      <w:r w:rsidR="00212753">
        <w:rPr>
          <w:color w:val="000000" w:themeColor="text1"/>
          <w:sz w:val="24"/>
          <w:szCs w:val="24"/>
        </w:rPr>
        <w:t xml:space="preserve"> </w:t>
      </w:r>
      <w:r w:rsidR="00466393">
        <w:rPr>
          <w:color w:val="000000" w:themeColor="text1"/>
          <w:sz w:val="24"/>
          <w:szCs w:val="24"/>
        </w:rPr>
        <w:t xml:space="preserve">The fact that the this matter has not yet been put to the CJEU is troubling in the light of the existing doubts. The opinion on the Singapore Agreement that was asked for </w:t>
      </w:r>
      <w:r w:rsidR="006014CA">
        <w:rPr>
          <w:color w:val="000000" w:themeColor="text1"/>
          <w:sz w:val="24"/>
          <w:szCs w:val="24"/>
        </w:rPr>
        <w:t>by the European Commission concentrates on competences.</w:t>
      </w:r>
      <w:r w:rsidR="006014CA">
        <w:rPr>
          <w:rStyle w:val="Voetnootmarkering"/>
          <w:color w:val="000000" w:themeColor="text1"/>
          <w:sz w:val="24"/>
          <w:szCs w:val="24"/>
        </w:rPr>
        <w:footnoteReference w:id="135"/>
      </w:r>
      <w:r w:rsidR="006014CA">
        <w:rPr>
          <w:color w:val="000000" w:themeColor="text1"/>
          <w:sz w:val="24"/>
          <w:szCs w:val="24"/>
        </w:rPr>
        <w:t xml:space="preserve"> </w:t>
      </w:r>
      <w:r w:rsidR="00E451CD">
        <w:rPr>
          <w:color w:val="000000" w:themeColor="text1"/>
          <w:sz w:val="24"/>
          <w:szCs w:val="24"/>
        </w:rPr>
        <w:t xml:space="preserve">Hopefully Belgium will be asking the </w:t>
      </w:r>
      <w:r w:rsidR="004F39C9">
        <w:rPr>
          <w:color w:val="000000" w:themeColor="text1"/>
          <w:sz w:val="24"/>
          <w:szCs w:val="24"/>
        </w:rPr>
        <w:t xml:space="preserve">right questions </w:t>
      </w:r>
      <w:r w:rsidR="00383525">
        <w:rPr>
          <w:color w:val="000000" w:themeColor="text1"/>
          <w:sz w:val="24"/>
          <w:szCs w:val="24"/>
        </w:rPr>
        <w:t xml:space="preserve">after the pressure put upon that EU member state by the Walloon region. </w:t>
      </w:r>
    </w:p>
    <w:p w14:paraId="204C9292" w14:textId="15C849AB" w:rsidR="00BD4906" w:rsidRPr="00ED0973" w:rsidRDefault="001B0C1B" w:rsidP="005A1A25">
      <w:pPr>
        <w:ind w:firstLine="720"/>
        <w:jc w:val="both"/>
        <w:rPr>
          <w:color w:val="000000" w:themeColor="text1"/>
          <w:sz w:val="24"/>
          <w:szCs w:val="24"/>
        </w:rPr>
      </w:pPr>
      <w:r>
        <w:rPr>
          <w:color w:val="000000" w:themeColor="text1"/>
          <w:sz w:val="24"/>
          <w:szCs w:val="24"/>
        </w:rPr>
        <w:t>It</w:t>
      </w:r>
      <w:r w:rsidR="007D1049">
        <w:rPr>
          <w:color w:val="000000" w:themeColor="text1"/>
          <w:sz w:val="24"/>
          <w:szCs w:val="24"/>
        </w:rPr>
        <w:t xml:space="preserve"> was argued that when </w:t>
      </w:r>
      <w:r w:rsidR="731A9F31" w:rsidRPr="00ED0973">
        <w:rPr>
          <w:color w:val="000000" w:themeColor="text1"/>
          <w:sz w:val="24"/>
          <w:szCs w:val="24"/>
        </w:rPr>
        <w:t xml:space="preserve">investor-state dispute settlement mechanisms were added </w:t>
      </w:r>
      <w:r w:rsidR="007D1049">
        <w:rPr>
          <w:color w:val="000000" w:themeColor="text1"/>
          <w:sz w:val="24"/>
          <w:szCs w:val="24"/>
        </w:rPr>
        <w:t>to BITs</w:t>
      </w:r>
      <w:r w:rsidR="731A9F31" w:rsidRPr="00ED0973">
        <w:rPr>
          <w:color w:val="000000" w:themeColor="text1"/>
          <w:sz w:val="24"/>
          <w:szCs w:val="24"/>
        </w:rPr>
        <w:t>, arbiters started to pronounce awards in which they did not grant the authorities of host states the discretion that national courts and the CJEU grant them when adopting measures aimed the protection of public interests. What is more, clauses like ‘fair and equitable treatment’ in the agreements offering mandatory ISDS mechanisms were often explained in manner</w:t>
      </w:r>
      <w:r w:rsidR="00C31AB3">
        <w:rPr>
          <w:color w:val="000000" w:themeColor="text1"/>
          <w:sz w:val="24"/>
          <w:szCs w:val="24"/>
        </w:rPr>
        <w:t>s that favoured investors over legitimate public policies.</w:t>
      </w:r>
      <w:r w:rsidR="007F189A">
        <w:rPr>
          <w:color w:val="000000" w:themeColor="text1"/>
          <w:sz w:val="24"/>
          <w:szCs w:val="24"/>
        </w:rPr>
        <w:t xml:space="preserve"> The new wording used in CETA and TTIP brings about some improvements in this respect but still contain </w:t>
      </w:r>
      <w:r w:rsidR="005B4886">
        <w:rPr>
          <w:color w:val="000000" w:themeColor="text1"/>
          <w:sz w:val="24"/>
          <w:szCs w:val="24"/>
        </w:rPr>
        <w:t xml:space="preserve">important </w:t>
      </w:r>
      <w:r w:rsidR="007F189A">
        <w:rPr>
          <w:color w:val="000000" w:themeColor="text1"/>
          <w:sz w:val="24"/>
          <w:szCs w:val="24"/>
        </w:rPr>
        <w:t>flaws.</w:t>
      </w:r>
    </w:p>
    <w:p w14:paraId="257AF8BA" w14:textId="18A0CC3F" w:rsidR="00A11D7E" w:rsidRPr="00ED0973" w:rsidRDefault="00EF1A13" w:rsidP="005A1A25">
      <w:pPr>
        <w:widowControl w:val="0"/>
        <w:autoSpaceDE w:val="0"/>
        <w:autoSpaceDN w:val="0"/>
        <w:adjustRightInd w:val="0"/>
        <w:spacing w:after="0" w:line="240" w:lineRule="auto"/>
        <w:ind w:firstLine="720"/>
        <w:jc w:val="both"/>
        <w:rPr>
          <w:color w:val="000000" w:themeColor="text1"/>
          <w:sz w:val="24"/>
          <w:szCs w:val="24"/>
        </w:rPr>
      </w:pPr>
      <w:r w:rsidRPr="00EF1A13">
        <w:rPr>
          <w:color w:val="000000" w:themeColor="text1"/>
          <w:sz w:val="24"/>
          <w:szCs w:val="24"/>
        </w:rPr>
        <w:t>ISDS has been around only for a relatively short while, there exists only limited experience with this type of dispute settlement, and a large part of the claims ends with investors receiving compensation of reaching settlements that could be to the detriment of the protection of public interests and stand in the way of achieving the Paris Agreement goals. Hence, a careful weighing of the pros and cons of ISDS</w:t>
      </w:r>
      <w:r w:rsidR="0051634E">
        <w:rPr>
          <w:color w:val="000000" w:themeColor="text1"/>
          <w:sz w:val="24"/>
          <w:szCs w:val="24"/>
        </w:rPr>
        <w:t>/ICS</w:t>
      </w:r>
      <w:r w:rsidRPr="00EF1A13">
        <w:rPr>
          <w:color w:val="000000" w:themeColor="text1"/>
          <w:sz w:val="24"/>
          <w:szCs w:val="24"/>
        </w:rPr>
        <w:t xml:space="preserve"> is called for, depending on the circumstances at hand, notably in case a treaty between developed states with court systems that overall function well. It was also demonstrated that it is possible to follow such an approach, instead of insisting on inclusion of ISDS or ICS in all agreements just to make sure that the mechanism is accepted by China in a future agreement with that country, as the example of Australia shows.</w:t>
      </w:r>
      <w:r w:rsidR="005B4886" w:rsidRPr="005B4886">
        <w:rPr>
          <w:color w:val="000000" w:themeColor="text1"/>
          <w:sz w:val="24"/>
          <w:szCs w:val="24"/>
        </w:rPr>
        <w:t xml:space="preserve"> </w:t>
      </w:r>
      <w:r w:rsidR="008D0125">
        <w:rPr>
          <w:color w:val="000000" w:themeColor="text1"/>
          <w:sz w:val="24"/>
          <w:szCs w:val="24"/>
        </w:rPr>
        <w:t>Furthermore, the</w:t>
      </w:r>
      <w:r w:rsidR="005B4886">
        <w:rPr>
          <w:color w:val="000000" w:themeColor="text1"/>
          <w:sz w:val="24"/>
          <w:szCs w:val="24"/>
        </w:rPr>
        <w:t xml:space="preserve"> argument </w:t>
      </w:r>
      <w:r w:rsidR="00A11D7E">
        <w:rPr>
          <w:color w:val="000000" w:themeColor="text1"/>
          <w:sz w:val="24"/>
          <w:szCs w:val="24"/>
        </w:rPr>
        <w:t xml:space="preserve">was examined </w:t>
      </w:r>
      <w:r w:rsidR="005B4886">
        <w:rPr>
          <w:color w:val="000000" w:themeColor="text1"/>
          <w:sz w:val="24"/>
          <w:szCs w:val="24"/>
        </w:rPr>
        <w:t>that in Germany</w:t>
      </w:r>
      <w:r w:rsidR="005B4886" w:rsidRPr="00ED0973">
        <w:rPr>
          <w:color w:val="000000" w:themeColor="text1"/>
          <w:sz w:val="24"/>
          <w:szCs w:val="24"/>
        </w:rPr>
        <w:t xml:space="preserve"> </w:t>
      </w:r>
      <w:r w:rsidR="005B4886" w:rsidRPr="00ED0973">
        <w:rPr>
          <w:color w:val="000000" w:themeColor="text1"/>
          <w:sz w:val="24"/>
          <w:szCs w:val="24"/>
        </w:rPr>
        <w:lastRenderedPageBreak/>
        <w:t>foreign investors are discriminated against</w:t>
      </w:r>
      <w:r w:rsidR="005B4886">
        <w:rPr>
          <w:color w:val="000000" w:themeColor="text1"/>
          <w:sz w:val="24"/>
          <w:szCs w:val="24"/>
        </w:rPr>
        <w:t>, and thus ISDS/ICS woul</w:t>
      </w:r>
      <w:r w:rsidR="008D0125">
        <w:rPr>
          <w:color w:val="000000" w:themeColor="text1"/>
          <w:sz w:val="24"/>
          <w:szCs w:val="24"/>
        </w:rPr>
        <w:t>d be necessary in TTIP and CETA</w:t>
      </w:r>
      <w:r w:rsidR="005B4886" w:rsidRPr="00ED0973">
        <w:rPr>
          <w:color w:val="000000" w:themeColor="text1"/>
          <w:sz w:val="24"/>
          <w:szCs w:val="24"/>
        </w:rPr>
        <w:t xml:space="preserve">. A closer look at these arguments </w:t>
      </w:r>
      <w:r w:rsidR="005B4886">
        <w:rPr>
          <w:color w:val="000000" w:themeColor="text1"/>
          <w:sz w:val="24"/>
          <w:szCs w:val="24"/>
        </w:rPr>
        <w:t xml:space="preserve">showed that </w:t>
      </w:r>
      <w:r w:rsidR="005B4886" w:rsidRPr="00ED0973">
        <w:rPr>
          <w:color w:val="000000" w:themeColor="text1"/>
          <w:sz w:val="24"/>
          <w:szCs w:val="24"/>
        </w:rPr>
        <w:t xml:space="preserve">Germany’s judiciary in practice </w:t>
      </w:r>
      <w:r w:rsidR="005B4886">
        <w:rPr>
          <w:color w:val="000000" w:themeColor="text1"/>
          <w:sz w:val="24"/>
          <w:szCs w:val="24"/>
        </w:rPr>
        <w:t>does not seem to cause</w:t>
      </w:r>
      <w:r w:rsidR="005B4886" w:rsidRPr="00ED0973">
        <w:rPr>
          <w:color w:val="000000" w:themeColor="text1"/>
          <w:sz w:val="24"/>
          <w:szCs w:val="24"/>
        </w:rPr>
        <w:t xml:space="preserve"> problems fo</w:t>
      </w:r>
      <w:r w:rsidR="005B4886">
        <w:rPr>
          <w:color w:val="000000" w:themeColor="text1"/>
          <w:sz w:val="24"/>
          <w:szCs w:val="24"/>
        </w:rPr>
        <w:t>r foreign investors</w:t>
      </w:r>
      <w:r w:rsidR="005B4886" w:rsidRPr="00ED0973">
        <w:rPr>
          <w:color w:val="000000" w:themeColor="text1"/>
          <w:sz w:val="24"/>
          <w:szCs w:val="24"/>
        </w:rPr>
        <w:t>.</w:t>
      </w:r>
      <w:r w:rsidR="00A11D7E" w:rsidRPr="00A11D7E">
        <w:rPr>
          <w:color w:val="000000" w:themeColor="text1"/>
          <w:sz w:val="24"/>
          <w:szCs w:val="24"/>
        </w:rPr>
        <w:t xml:space="preserve"> </w:t>
      </w:r>
      <w:r w:rsidR="00A11D7E">
        <w:rPr>
          <w:color w:val="000000" w:themeColor="text1"/>
          <w:sz w:val="24"/>
          <w:szCs w:val="24"/>
        </w:rPr>
        <w:t xml:space="preserve">It was also </w:t>
      </w:r>
      <w:r w:rsidR="009A3602">
        <w:rPr>
          <w:color w:val="000000" w:themeColor="text1"/>
          <w:sz w:val="24"/>
          <w:szCs w:val="24"/>
        </w:rPr>
        <w:t>set out that c</w:t>
      </w:r>
      <w:r w:rsidR="00A11D7E" w:rsidRPr="00ED0973">
        <w:rPr>
          <w:color w:val="000000" w:themeColor="text1"/>
          <w:sz w:val="24"/>
          <w:szCs w:val="24"/>
        </w:rPr>
        <w:t>laims that ISDS has been</w:t>
      </w:r>
      <w:r w:rsidR="009A3602">
        <w:rPr>
          <w:color w:val="000000" w:themeColor="text1"/>
          <w:sz w:val="24"/>
          <w:szCs w:val="24"/>
        </w:rPr>
        <w:t xml:space="preserve"> around since 1957 are besides the truth</w:t>
      </w:r>
      <w:r w:rsidR="00C04603">
        <w:rPr>
          <w:color w:val="000000" w:themeColor="text1"/>
          <w:sz w:val="24"/>
          <w:szCs w:val="24"/>
        </w:rPr>
        <w:t>. In reality, ISDS</w:t>
      </w:r>
      <w:r w:rsidR="00A11D7E" w:rsidRPr="00ED0973">
        <w:rPr>
          <w:color w:val="000000" w:themeColor="text1"/>
          <w:sz w:val="24"/>
          <w:szCs w:val="24"/>
        </w:rPr>
        <w:t xml:space="preserve"> only emerged in some treaties between developed and developing states in the 1970s and became dominant only in th</w:t>
      </w:r>
      <w:r w:rsidR="00A11D7E">
        <w:rPr>
          <w:color w:val="000000" w:themeColor="text1"/>
          <w:sz w:val="24"/>
          <w:szCs w:val="24"/>
        </w:rPr>
        <w:t>e 1990s.</w:t>
      </w:r>
    </w:p>
    <w:p w14:paraId="0BCD538A" w14:textId="6AB10AED" w:rsidR="00661DF8" w:rsidRDefault="00661DF8" w:rsidP="005B4886">
      <w:pPr>
        <w:widowControl w:val="0"/>
        <w:autoSpaceDE w:val="0"/>
        <w:autoSpaceDN w:val="0"/>
        <w:adjustRightInd w:val="0"/>
        <w:spacing w:after="0" w:line="240" w:lineRule="auto"/>
        <w:jc w:val="both"/>
        <w:rPr>
          <w:color w:val="000000" w:themeColor="text1"/>
          <w:sz w:val="24"/>
          <w:szCs w:val="24"/>
        </w:rPr>
      </w:pPr>
    </w:p>
    <w:p w14:paraId="204C929B" w14:textId="4BDF4361" w:rsidR="00C659E1" w:rsidRPr="00ED0973" w:rsidRDefault="731A9F31" w:rsidP="0061681F">
      <w:pPr>
        <w:ind w:firstLine="720"/>
        <w:jc w:val="both"/>
        <w:rPr>
          <w:color w:val="000000" w:themeColor="text1"/>
          <w:sz w:val="24"/>
          <w:szCs w:val="24"/>
        </w:rPr>
      </w:pPr>
      <w:r w:rsidRPr="00ED0973">
        <w:rPr>
          <w:color w:val="000000" w:themeColor="text1"/>
          <w:sz w:val="24"/>
          <w:szCs w:val="24"/>
        </w:rPr>
        <w:t xml:space="preserve">The TTIP </w:t>
      </w:r>
      <w:r w:rsidR="00661DF8">
        <w:rPr>
          <w:color w:val="000000" w:themeColor="text1"/>
          <w:sz w:val="24"/>
          <w:szCs w:val="24"/>
        </w:rPr>
        <w:t xml:space="preserve">and CETA </w:t>
      </w:r>
      <w:r w:rsidRPr="00ED0973">
        <w:rPr>
          <w:color w:val="000000" w:themeColor="text1"/>
          <w:sz w:val="24"/>
          <w:szCs w:val="24"/>
        </w:rPr>
        <w:t>negotiations show that with the right amount of pressure from the public, the Commission is willing to propose amendments that certainly improve the situation when compared to traditional BITs. I</w:t>
      </w:r>
      <w:r w:rsidR="00645DE2">
        <w:rPr>
          <w:color w:val="000000" w:themeColor="text1"/>
          <w:sz w:val="24"/>
          <w:szCs w:val="24"/>
        </w:rPr>
        <w:t xml:space="preserve">t </w:t>
      </w:r>
      <w:r w:rsidRPr="00ED0973">
        <w:rPr>
          <w:color w:val="000000" w:themeColor="text1"/>
          <w:sz w:val="24"/>
          <w:szCs w:val="24"/>
        </w:rPr>
        <w:t>was investigated whether the proposed ICS system that amends the originally foreseen ISDS system sufficiently remedies the challenges fr</w:t>
      </w:r>
      <w:r w:rsidR="00645DE2">
        <w:rPr>
          <w:color w:val="000000" w:themeColor="text1"/>
          <w:sz w:val="24"/>
          <w:szCs w:val="24"/>
        </w:rPr>
        <w:t>om the point of view of</w:t>
      </w:r>
      <w:r w:rsidRPr="00ED0973">
        <w:rPr>
          <w:color w:val="000000" w:themeColor="text1"/>
          <w:sz w:val="24"/>
          <w:szCs w:val="24"/>
        </w:rPr>
        <w:t xml:space="preserve"> EU law and the EU’s obligations to integrate environmental protection requirements stimulating sustainable development into its trade and investment policies. It is submitted that while improvements are clearly visible, more should be done in order to ensure that the references to sustainable development in the preamble and in the trade and sustainability chapters are effectuated.</w:t>
      </w:r>
      <w:r w:rsidR="0061681F">
        <w:rPr>
          <w:color w:val="000000" w:themeColor="text1"/>
          <w:sz w:val="24"/>
          <w:szCs w:val="24"/>
        </w:rPr>
        <w:t xml:space="preserve"> Furthermore, it was argued that t</w:t>
      </w:r>
      <w:r w:rsidR="00C659E1" w:rsidRPr="00ED0973">
        <w:rPr>
          <w:color w:val="000000" w:themeColor="text1"/>
          <w:sz w:val="24"/>
          <w:szCs w:val="24"/>
        </w:rPr>
        <w:t xml:space="preserve">he reformed ISDS mechanism as proposed by the Commission </w:t>
      </w:r>
      <w:r w:rsidR="0061681F">
        <w:rPr>
          <w:color w:val="000000" w:themeColor="text1"/>
          <w:sz w:val="24"/>
          <w:szCs w:val="24"/>
        </w:rPr>
        <w:t xml:space="preserve">for TTIP </w:t>
      </w:r>
      <w:r w:rsidR="00C659E1" w:rsidRPr="00ED0973">
        <w:rPr>
          <w:color w:val="000000" w:themeColor="text1"/>
          <w:sz w:val="24"/>
          <w:szCs w:val="24"/>
        </w:rPr>
        <w:t>and inserted in the CETA does not sufficiently resolve the issue of the compatibility of the mechan</w:t>
      </w:r>
      <w:r w:rsidR="0061681F">
        <w:rPr>
          <w:color w:val="000000" w:themeColor="text1"/>
          <w:sz w:val="24"/>
          <w:szCs w:val="24"/>
        </w:rPr>
        <w:t xml:space="preserve">ism with the EU system because </w:t>
      </w:r>
      <w:r w:rsidR="00C659E1" w:rsidRPr="00ED0973">
        <w:rPr>
          <w:color w:val="000000" w:themeColor="text1"/>
          <w:sz w:val="24"/>
          <w:szCs w:val="24"/>
        </w:rPr>
        <w:t xml:space="preserve">the </w:t>
      </w:r>
      <w:r w:rsidR="00AA7D2D">
        <w:rPr>
          <w:color w:val="000000" w:themeColor="text1"/>
          <w:sz w:val="24"/>
          <w:szCs w:val="24"/>
        </w:rPr>
        <w:t xml:space="preserve">obstacles of </w:t>
      </w:r>
      <w:r w:rsidR="00C659E1" w:rsidRPr="00ED0973">
        <w:rPr>
          <w:color w:val="000000" w:themeColor="text1"/>
          <w:sz w:val="24"/>
          <w:szCs w:val="24"/>
        </w:rPr>
        <w:t>the autonomy of the EU legal order and the monopoly o</w:t>
      </w:r>
      <w:r w:rsidR="00AA7D2D">
        <w:rPr>
          <w:color w:val="000000" w:themeColor="text1"/>
          <w:sz w:val="24"/>
          <w:szCs w:val="24"/>
        </w:rPr>
        <w:t xml:space="preserve">f the CJEU on EU law questions </w:t>
      </w:r>
      <w:r w:rsidR="00C659E1" w:rsidRPr="00ED0973">
        <w:rPr>
          <w:color w:val="000000" w:themeColor="text1"/>
          <w:sz w:val="24"/>
          <w:szCs w:val="24"/>
        </w:rPr>
        <w:t xml:space="preserve">remain with the change </w:t>
      </w:r>
      <w:r w:rsidR="00AA7D2D">
        <w:rPr>
          <w:color w:val="000000" w:themeColor="text1"/>
          <w:sz w:val="24"/>
          <w:szCs w:val="24"/>
        </w:rPr>
        <w:t>in the institutional framework.</w:t>
      </w:r>
    </w:p>
    <w:p w14:paraId="204C929E" w14:textId="29C386EA" w:rsidR="00C659E1" w:rsidRDefault="00170356" w:rsidP="00170356">
      <w:pPr>
        <w:ind w:firstLine="720"/>
        <w:jc w:val="both"/>
        <w:rPr>
          <w:color w:val="000000" w:themeColor="text1"/>
          <w:sz w:val="24"/>
          <w:szCs w:val="24"/>
        </w:rPr>
      </w:pPr>
      <w:r>
        <w:rPr>
          <w:color w:val="000000" w:themeColor="text1"/>
          <w:sz w:val="24"/>
          <w:szCs w:val="24"/>
        </w:rPr>
        <w:t xml:space="preserve">While </w:t>
      </w:r>
      <w:r w:rsidR="731A9F31" w:rsidRPr="00ED0973">
        <w:rPr>
          <w:color w:val="000000" w:themeColor="text1"/>
          <w:sz w:val="24"/>
          <w:szCs w:val="24"/>
        </w:rPr>
        <w:t>ISDS/ICS awards do n</w:t>
      </w:r>
      <w:r>
        <w:rPr>
          <w:color w:val="000000" w:themeColor="text1"/>
          <w:sz w:val="24"/>
          <w:szCs w:val="24"/>
        </w:rPr>
        <w:t>ot overrule domestic regulation</w:t>
      </w:r>
      <w:r w:rsidR="731A9F31" w:rsidRPr="00ED0973">
        <w:rPr>
          <w:color w:val="000000" w:themeColor="text1"/>
          <w:sz w:val="24"/>
          <w:szCs w:val="24"/>
        </w:rPr>
        <w:t>, the practical effect can be similar. At a time when the EU, Canada and the U.S.A. have agreed that radical steps need to be taken in order to fight climate change, it is hard to see how</w:t>
      </w:r>
      <w:r w:rsidR="00B60C02">
        <w:rPr>
          <w:color w:val="000000" w:themeColor="text1"/>
          <w:sz w:val="24"/>
          <w:szCs w:val="24"/>
        </w:rPr>
        <w:t xml:space="preserve"> ISDS/ICS provisions that could make it more difficult to adopt climate change and other public </w:t>
      </w:r>
      <w:r w:rsidR="00EB0BAC">
        <w:rPr>
          <w:color w:val="000000" w:themeColor="text1"/>
          <w:sz w:val="24"/>
          <w:szCs w:val="24"/>
        </w:rPr>
        <w:t xml:space="preserve">policy measures are acceptable. Only by inserting carve-outs like the one in the CETA regarding </w:t>
      </w:r>
      <w:r w:rsidR="00A80C72" w:rsidRPr="00ED0973">
        <w:rPr>
          <w:color w:val="000000" w:themeColor="text1"/>
          <w:sz w:val="24"/>
          <w:szCs w:val="24"/>
        </w:rPr>
        <w:t>non-discriminatory measures of a Party that are designed and applied to protect legitimate public welfare objectives, such as hea</w:t>
      </w:r>
      <w:r w:rsidR="00A80C72">
        <w:rPr>
          <w:color w:val="000000" w:themeColor="text1"/>
          <w:sz w:val="24"/>
          <w:szCs w:val="24"/>
        </w:rPr>
        <w:t xml:space="preserve">lth, safety and the environment. It is </w:t>
      </w:r>
      <w:r w:rsidR="00355C4E">
        <w:rPr>
          <w:color w:val="000000" w:themeColor="text1"/>
          <w:sz w:val="24"/>
          <w:szCs w:val="24"/>
        </w:rPr>
        <w:t>set out in CETA that such measures</w:t>
      </w:r>
      <w:r w:rsidR="00A80C72" w:rsidRPr="00ED0973">
        <w:rPr>
          <w:color w:val="000000" w:themeColor="text1"/>
          <w:sz w:val="24"/>
          <w:szCs w:val="24"/>
        </w:rPr>
        <w:t xml:space="preserve"> </w:t>
      </w:r>
      <w:r w:rsidR="00355C4E">
        <w:rPr>
          <w:color w:val="000000" w:themeColor="text1"/>
          <w:sz w:val="24"/>
          <w:szCs w:val="24"/>
        </w:rPr>
        <w:t xml:space="preserve">in principle </w:t>
      </w:r>
      <w:r w:rsidR="00A80C72" w:rsidRPr="00ED0973">
        <w:rPr>
          <w:color w:val="000000" w:themeColor="text1"/>
          <w:sz w:val="24"/>
          <w:szCs w:val="24"/>
        </w:rPr>
        <w:t>do not constitute indirect expropriations</w:t>
      </w:r>
      <w:r w:rsidR="00355C4E">
        <w:rPr>
          <w:color w:val="000000" w:themeColor="text1"/>
          <w:sz w:val="24"/>
          <w:szCs w:val="24"/>
        </w:rPr>
        <w:t xml:space="preserve">, meaning that </w:t>
      </w:r>
      <w:r w:rsidR="00CB7C5D">
        <w:rPr>
          <w:color w:val="000000" w:themeColor="text1"/>
          <w:sz w:val="24"/>
          <w:szCs w:val="24"/>
        </w:rPr>
        <w:t xml:space="preserve">investor </w:t>
      </w:r>
      <w:r w:rsidR="00355C4E">
        <w:rPr>
          <w:color w:val="000000" w:themeColor="text1"/>
          <w:sz w:val="24"/>
          <w:szCs w:val="24"/>
        </w:rPr>
        <w:t xml:space="preserve">complaints against such </w:t>
      </w:r>
      <w:r w:rsidR="00CB7C5D">
        <w:rPr>
          <w:color w:val="000000" w:themeColor="text1"/>
          <w:sz w:val="24"/>
          <w:szCs w:val="24"/>
        </w:rPr>
        <w:t xml:space="preserve">measures would be fruitless. Unfortunately, the arbiters/judges </w:t>
      </w:r>
      <w:r w:rsidR="00306AEC">
        <w:rPr>
          <w:color w:val="000000" w:themeColor="text1"/>
          <w:sz w:val="24"/>
          <w:szCs w:val="24"/>
        </w:rPr>
        <w:t xml:space="preserve">are still left to decide whether </w:t>
      </w:r>
      <w:r w:rsidR="00A80C72" w:rsidRPr="00ED0973">
        <w:rPr>
          <w:color w:val="000000" w:themeColor="text1"/>
          <w:sz w:val="24"/>
          <w:szCs w:val="24"/>
        </w:rPr>
        <w:t>“the impact of a measure or series of measures is so severe in light of its purpose that it appears manifestly excessive”</w:t>
      </w:r>
      <w:r w:rsidR="00993A69">
        <w:rPr>
          <w:color w:val="000000" w:themeColor="text1"/>
          <w:sz w:val="24"/>
          <w:szCs w:val="24"/>
        </w:rPr>
        <w:t>, in which case compensation is due after all</w:t>
      </w:r>
      <w:r w:rsidR="00306AEC">
        <w:rPr>
          <w:color w:val="000000" w:themeColor="text1"/>
          <w:sz w:val="24"/>
          <w:szCs w:val="24"/>
        </w:rPr>
        <w:t xml:space="preserve"> – which provides them a seat that should be reserved to demo</w:t>
      </w:r>
      <w:r w:rsidR="005D622A">
        <w:rPr>
          <w:color w:val="000000" w:themeColor="text1"/>
          <w:sz w:val="24"/>
          <w:szCs w:val="24"/>
        </w:rPr>
        <w:t>cratically elected legislators.</w:t>
      </w:r>
    </w:p>
    <w:p w14:paraId="25723763" w14:textId="40AF79D9" w:rsidR="005D622A" w:rsidRPr="00ED0973" w:rsidRDefault="000B6F1B" w:rsidP="000B6F1B">
      <w:pPr>
        <w:ind w:firstLine="720"/>
        <w:jc w:val="both"/>
        <w:rPr>
          <w:color w:val="000000" w:themeColor="text1"/>
          <w:sz w:val="24"/>
          <w:szCs w:val="24"/>
        </w:rPr>
      </w:pPr>
      <w:r>
        <w:rPr>
          <w:color w:val="000000" w:themeColor="text1"/>
          <w:sz w:val="24"/>
          <w:szCs w:val="24"/>
        </w:rPr>
        <w:t xml:space="preserve">The internal guidelines regarding trade negotiations should be observed, and turned into binding legislation. </w:t>
      </w:r>
      <w:r w:rsidR="00123A9D">
        <w:rPr>
          <w:color w:val="000000" w:themeColor="text1"/>
          <w:sz w:val="24"/>
          <w:szCs w:val="24"/>
        </w:rPr>
        <w:t>Last but not least, t</w:t>
      </w:r>
      <w:r w:rsidR="005D622A">
        <w:rPr>
          <w:color w:val="000000" w:themeColor="text1"/>
          <w:sz w:val="24"/>
          <w:szCs w:val="24"/>
        </w:rPr>
        <w:t>he necessity and proportionality of ISDS/ICS</w:t>
      </w:r>
      <w:r w:rsidR="006828BF">
        <w:rPr>
          <w:color w:val="000000" w:themeColor="text1"/>
          <w:sz w:val="24"/>
          <w:szCs w:val="24"/>
        </w:rPr>
        <w:t xml:space="preserve"> clauses in trade and investment agreements should be </w:t>
      </w:r>
      <w:r w:rsidR="005D622A">
        <w:rPr>
          <w:color w:val="000000" w:themeColor="text1"/>
          <w:sz w:val="24"/>
          <w:szCs w:val="24"/>
        </w:rPr>
        <w:t>examined carefully by the EU</w:t>
      </w:r>
      <w:r w:rsidR="008120AE">
        <w:rPr>
          <w:color w:val="000000" w:themeColor="text1"/>
          <w:sz w:val="24"/>
          <w:szCs w:val="24"/>
        </w:rPr>
        <w:t xml:space="preserve">, following the </w:t>
      </w:r>
      <w:r w:rsidR="00061988">
        <w:rPr>
          <w:color w:val="000000" w:themeColor="text1"/>
          <w:sz w:val="24"/>
          <w:szCs w:val="24"/>
        </w:rPr>
        <w:t xml:space="preserve">EU’s own better regulation, evidence based policy as well as the </w:t>
      </w:r>
      <w:r w:rsidR="008120AE" w:rsidRPr="00061988">
        <w:rPr>
          <w:i/>
          <w:color w:val="000000" w:themeColor="text1"/>
          <w:sz w:val="24"/>
          <w:szCs w:val="24"/>
        </w:rPr>
        <w:t xml:space="preserve">ad hoc </w:t>
      </w:r>
      <w:r w:rsidR="008120AE">
        <w:rPr>
          <w:color w:val="000000" w:themeColor="text1"/>
          <w:sz w:val="24"/>
          <w:szCs w:val="24"/>
        </w:rPr>
        <w:t>Australian approach to the question whether or not to include such mechanisms in trade agreements</w:t>
      </w:r>
      <w:r w:rsidR="00AE1274">
        <w:rPr>
          <w:color w:val="000000" w:themeColor="text1"/>
          <w:sz w:val="24"/>
          <w:szCs w:val="24"/>
        </w:rPr>
        <w:t>.</w:t>
      </w:r>
    </w:p>
    <w:p w14:paraId="204C929F" w14:textId="77777777" w:rsidR="0062501F" w:rsidRPr="00ED0973" w:rsidRDefault="0062501F" w:rsidP="00D73158">
      <w:pPr>
        <w:widowControl w:val="0"/>
        <w:autoSpaceDE w:val="0"/>
        <w:autoSpaceDN w:val="0"/>
        <w:adjustRightInd w:val="0"/>
        <w:spacing w:after="0" w:line="240" w:lineRule="auto"/>
        <w:jc w:val="both"/>
        <w:rPr>
          <w:rFonts w:eastAsiaTheme="minorEastAsia" w:cs=".HelveticaNeueInterface-Regular"/>
          <w:color w:val="000000" w:themeColor="text1"/>
          <w:sz w:val="24"/>
          <w:szCs w:val="24"/>
          <w:lang w:eastAsia="ja-JP"/>
        </w:rPr>
      </w:pPr>
    </w:p>
    <w:p w14:paraId="204C92A0" w14:textId="77777777" w:rsidR="00F73926" w:rsidRPr="00ED0973" w:rsidRDefault="00F73926" w:rsidP="00D73158">
      <w:pPr>
        <w:jc w:val="both"/>
        <w:rPr>
          <w:color w:val="000000" w:themeColor="text1"/>
          <w:sz w:val="24"/>
          <w:szCs w:val="24"/>
        </w:rPr>
      </w:pPr>
    </w:p>
    <w:p w14:paraId="204C92A1" w14:textId="77777777" w:rsidR="00D45920" w:rsidRPr="00ED0973" w:rsidRDefault="00D45920" w:rsidP="00D73158">
      <w:pPr>
        <w:jc w:val="both"/>
        <w:rPr>
          <w:color w:val="000000" w:themeColor="text1"/>
          <w:sz w:val="24"/>
          <w:szCs w:val="24"/>
        </w:rPr>
      </w:pPr>
    </w:p>
    <w:p w14:paraId="204C92A2" w14:textId="77777777" w:rsidR="000B05EF" w:rsidRPr="00ED0973" w:rsidRDefault="000B05EF" w:rsidP="00D73158">
      <w:pPr>
        <w:jc w:val="both"/>
        <w:rPr>
          <w:color w:val="000000" w:themeColor="text1"/>
          <w:sz w:val="24"/>
          <w:szCs w:val="24"/>
        </w:rPr>
      </w:pPr>
      <w:r w:rsidRPr="00ED0973">
        <w:rPr>
          <w:color w:val="000000" w:themeColor="text1"/>
          <w:sz w:val="24"/>
          <w:szCs w:val="24"/>
        </w:rPr>
        <w:br w:type="page"/>
      </w:r>
    </w:p>
    <w:p w14:paraId="204C92A4" w14:textId="77777777" w:rsidR="00D45920" w:rsidRPr="00ED0973" w:rsidRDefault="00D45920" w:rsidP="00D73158">
      <w:pPr>
        <w:jc w:val="both"/>
        <w:rPr>
          <w:color w:val="000000" w:themeColor="text1"/>
          <w:sz w:val="24"/>
          <w:szCs w:val="24"/>
        </w:rPr>
      </w:pPr>
    </w:p>
    <w:p w14:paraId="30208096" w14:textId="46638629" w:rsidR="00C2102C" w:rsidRPr="00C2102C" w:rsidRDefault="007F4EF6" w:rsidP="00C2102C">
      <w:pPr>
        <w:widowControl w:val="0"/>
        <w:autoSpaceDE w:val="0"/>
        <w:autoSpaceDN w:val="0"/>
        <w:adjustRightInd w:val="0"/>
        <w:spacing w:line="240" w:lineRule="auto"/>
        <w:ind w:left="480" w:hanging="480"/>
        <w:rPr>
          <w:rFonts w:ascii="Calibri" w:hAnsi="Calibri" w:cs="Times New Roman"/>
          <w:noProof/>
          <w:sz w:val="24"/>
          <w:szCs w:val="24"/>
        </w:rPr>
      </w:pPr>
      <w:r w:rsidRPr="00ED0973">
        <w:rPr>
          <w:color w:val="000000" w:themeColor="text1"/>
          <w:sz w:val="24"/>
          <w:szCs w:val="24"/>
        </w:rPr>
        <w:fldChar w:fldCharType="begin" w:fldLock="1"/>
      </w:r>
      <w:r w:rsidRPr="00ED0973">
        <w:rPr>
          <w:color w:val="000000" w:themeColor="text1"/>
          <w:sz w:val="24"/>
          <w:szCs w:val="24"/>
          <w:lang w:val="en-US"/>
        </w:rPr>
        <w:instrText xml:space="preserve">ADDIN Mendeley Bibliography CSL_BIBLIOGRAPHY </w:instrText>
      </w:r>
      <w:r w:rsidRPr="00ED0973">
        <w:rPr>
          <w:color w:val="000000" w:themeColor="text1"/>
          <w:sz w:val="24"/>
          <w:szCs w:val="24"/>
        </w:rPr>
        <w:fldChar w:fldCharType="separate"/>
      </w:r>
      <w:r w:rsidR="00C2102C" w:rsidRPr="00C2102C">
        <w:rPr>
          <w:rFonts w:ascii="Calibri" w:hAnsi="Calibri" w:cs="Times New Roman"/>
          <w:noProof/>
          <w:sz w:val="24"/>
          <w:szCs w:val="24"/>
        </w:rPr>
        <w:t xml:space="preserve">Abbott, R., Erixon, F. &amp; Ferracane, M.F., 2014. </w:t>
      </w:r>
      <w:r w:rsidR="00C2102C" w:rsidRPr="00C2102C">
        <w:rPr>
          <w:rFonts w:ascii="Calibri" w:hAnsi="Calibri" w:cs="Times New Roman"/>
          <w:i/>
          <w:iCs/>
          <w:noProof/>
          <w:sz w:val="24"/>
          <w:szCs w:val="24"/>
        </w:rPr>
        <w:t>Demystifying Investor-State Dispute Settlement (ISDS)</w:t>
      </w:r>
      <w:r w:rsidR="00C2102C" w:rsidRPr="00C2102C">
        <w:rPr>
          <w:rFonts w:ascii="Calibri" w:hAnsi="Calibri" w:cs="Times New Roman"/>
          <w:noProof/>
          <w:sz w:val="24"/>
          <w:szCs w:val="24"/>
        </w:rPr>
        <w:t>, Brussels. Available at: http://ecipe.org/publications/isds/.</w:t>
      </w:r>
    </w:p>
    <w:p w14:paraId="69F1D8AD"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Govaere, I., 2016. </w:t>
      </w:r>
      <w:r w:rsidRPr="00C2102C">
        <w:rPr>
          <w:rFonts w:ascii="Calibri" w:hAnsi="Calibri" w:cs="Times New Roman"/>
          <w:i/>
          <w:iCs/>
          <w:noProof/>
          <w:sz w:val="24"/>
          <w:szCs w:val="24"/>
        </w:rPr>
        <w:t>TTIP and Dispute Settlement : Potential Consequences for the Autonomous EU Legal Order</w:t>
      </w:r>
      <w:r w:rsidRPr="00C2102C">
        <w:rPr>
          <w:rFonts w:ascii="Calibri" w:hAnsi="Calibri" w:cs="Times New Roman"/>
          <w:noProof/>
          <w:sz w:val="24"/>
          <w:szCs w:val="24"/>
        </w:rPr>
        <w:t>,</w:t>
      </w:r>
    </w:p>
    <w:p w14:paraId="7E124B0C"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92743B">
        <w:rPr>
          <w:rFonts w:ascii="Calibri" w:hAnsi="Calibri" w:cs="Times New Roman"/>
          <w:noProof/>
          <w:sz w:val="24"/>
          <w:szCs w:val="24"/>
          <w:lang w:val="nl-NL"/>
        </w:rPr>
        <w:t xml:space="preserve">Van Harten, G. &amp; Loughlin, M., 2006. </w:t>
      </w:r>
      <w:r w:rsidRPr="00C2102C">
        <w:rPr>
          <w:rFonts w:ascii="Calibri" w:hAnsi="Calibri" w:cs="Times New Roman"/>
          <w:noProof/>
          <w:sz w:val="24"/>
          <w:szCs w:val="24"/>
        </w:rPr>
        <w:t xml:space="preserve">Investment treaty arbitration as a species of global administrative law. </w:t>
      </w:r>
      <w:r w:rsidRPr="00C2102C">
        <w:rPr>
          <w:rFonts w:ascii="Calibri" w:hAnsi="Calibri" w:cs="Times New Roman"/>
          <w:i/>
          <w:iCs/>
          <w:noProof/>
          <w:sz w:val="24"/>
          <w:szCs w:val="24"/>
        </w:rPr>
        <w:t>European Journal of International Law</w:t>
      </w:r>
      <w:r w:rsidRPr="00C2102C">
        <w:rPr>
          <w:rFonts w:ascii="Calibri" w:hAnsi="Calibri" w:cs="Times New Roman"/>
          <w:noProof/>
          <w:sz w:val="24"/>
          <w:szCs w:val="24"/>
        </w:rPr>
        <w:t>, 17(1), pp.121–150.</w:t>
      </w:r>
    </w:p>
    <w:p w14:paraId="1ED60246"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Kurtz, J., 2012. Australia’s Rejection of Investor–State Arbitration: Causation, Omission and Implication. </w:t>
      </w:r>
      <w:r w:rsidRPr="00C2102C">
        <w:rPr>
          <w:rFonts w:ascii="Calibri" w:hAnsi="Calibri" w:cs="Times New Roman"/>
          <w:i/>
          <w:iCs/>
          <w:noProof/>
          <w:sz w:val="24"/>
          <w:szCs w:val="24"/>
        </w:rPr>
        <w:t>ICSID Review</w:t>
      </w:r>
      <w:r w:rsidRPr="00C2102C">
        <w:rPr>
          <w:rFonts w:ascii="Calibri" w:hAnsi="Calibri" w:cs="Times New Roman"/>
          <w:noProof/>
          <w:sz w:val="24"/>
          <w:szCs w:val="24"/>
        </w:rPr>
        <w:t>, 27(1), pp.65–86. Available at: http://icsidreview.oxfordjournals.org/content/27/1/65.abstract.</w:t>
      </w:r>
    </w:p>
    <w:p w14:paraId="1321F519" w14:textId="77777777" w:rsidR="00C2102C" w:rsidRPr="00C2102C" w:rsidRDefault="00C2102C" w:rsidP="00C2102C">
      <w:pPr>
        <w:widowControl w:val="0"/>
        <w:autoSpaceDE w:val="0"/>
        <w:autoSpaceDN w:val="0"/>
        <w:adjustRightInd w:val="0"/>
        <w:spacing w:line="240" w:lineRule="auto"/>
        <w:ind w:left="480" w:hanging="480"/>
        <w:rPr>
          <w:rFonts w:ascii="Calibri" w:hAnsi="Calibri" w:cs="Times New Roman"/>
          <w:noProof/>
          <w:sz w:val="24"/>
          <w:szCs w:val="24"/>
        </w:rPr>
      </w:pPr>
      <w:r w:rsidRPr="00C2102C">
        <w:rPr>
          <w:rFonts w:ascii="Calibri" w:hAnsi="Calibri" w:cs="Times New Roman"/>
          <w:noProof/>
          <w:sz w:val="24"/>
          <w:szCs w:val="24"/>
        </w:rPr>
        <w:t xml:space="preserve">Lenk, H., 2015. </w:t>
      </w:r>
      <w:r w:rsidRPr="00C2102C">
        <w:rPr>
          <w:rFonts w:ascii="Calibri" w:hAnsi="Calibri" w:cs="Times New Roman"/>
          <w:i/>
          <w:iCs/>
          <w:noProof/>
          <w:sz w:val="24"/>
          <w:szCs w:val="24"/>
        </w:rPr>
        <w:t>Investor-state arbitration under TTIP: Resolving investment disputes in an (autonomous) EU legal order</w:t>
      </w:r>
      <w:r w:rsidRPr="00C2102C">
        <w:rPr>
          <w:rFonts w:ascii="Calibri" w:hAnsi="Calibri" w:cs="Times New Roman"/>
          <w:noProof/>
          <w:sz w:val="24"/>
          <w:szCs w:val="24"/>
        </w:rPr>
        <w:t>, Stockholm. Available at: http://www.sieps.se/sites/default/files/Sieps 2015_2 web.pdf.</w:t>
      </w:r>
    </w:p>
    <w:p w14:paraId="18C4865E" w14:textId="77777777" w:rsidR="00C2102C" w:rsidRPr="00C2102C" w:rsidRDefault="00C2102C" w:rsidP="00C2102C">
      <w:pPr>
        <w:widowControl w:val="0"/>
        <w:autoSpaceDE w:val="0"/>
        <w:autoSpaceDN w:val="0"/>
        <w:adjustRightInd w:val="0"/>
        <w:spacing w:line="240" w:lineRule="auto"/>
        <w:ind w:left="480" w:hanging="480"/>
        <w:rPr>
          <w:rFonts w:ascii="Calibri" w:hAnsi="Calibri"/>
          <w:noProof/>
          <w:sz w:val="24"/>
        </w:rPr>
      </w:pPr>
      <w:r w:rsidRPr="00C2102C">
        <w:rPr>
          <w:rFonts w:ascii="Calibri" w:hAnsi="Calibri" w:cs="Times New Roman"/>
          <w:noProof/>
          <w:sz w:val="24"/>
          <w:szCs w:val="24"/>
        </w:rPr>
        <w:t xml:space="preserve">Uwera, G., 2016. Investor-State Dispute Settlement ( ISDS ) in Future EU Investment-Related Agreements : Is the Autonomy of the EU Legal Order an Obstacle ? </w:t>
      </w:r>
      <w:r w:rsidRPr="00C2102C">
        <w:rPr>
          <w:rFonts w:ascii="Calibri" w:hAnsi="Calibri" w:cs="Times New Roman"/>
          <w:i/>
          <w:iCs/>
          <w:noProof/>
          <w:sz w:val="24"/>
          <w:szCs w:val="24"/>
        </w:rPr>
        <w:t>The Law &amp; Practice of International Courts and Tribunals</w:t>
      </w:r>
      <w:r w:rsidRPr="00C2102C">
        <w:rPr>
          <w:rFonts w:ascii="Calibri" w:hAnsi="Calibri" w:cs="Times New Roman"/>
          <w:noProof/>
          <w:sz w:val="24"/>
          <w:szCs w:val="24"/>
        </w:rPr>
        <w:t>, 15(1), pp.102–151. Available at: http://booksandjournals.brillonline.com/content/journals/10.1163/15718034-12341312.</w:t>
      </w:r>
    </w:p>
    <w:p w14:paraId="204C934E" w14:textId="1882727C" w:rsidR="00FD6D5B" w:rsidRPr="00ED0973" w:rsidRDefault="007F4EF6" w:rsidP="00C2102C">
      <w:pPr>
        <w:widowControl w:val="0"/>
        <w:autoSpaceDE w:val="0"/>
        <w:autoSpaceDN w:val="0"/>
        <w:adjustRightInd w:val="0"/>
        <w:spacing w:line="240" w:lineRule="auto"/>
        <w:ind w:left="480" w:hanging="480"/>
        <w:rPr>
          <w:color w:val="000000" w:themeColor="text1"/>
          <w:sz w:val="24"/>
          <w:szCs w:val="24"/>
        </w:rPr>
      </w:pPr>
      <w:r w:rsidRPr="00ED0973">
        <w:rPr>
          <w:color w:val="000000" w:themeColor="text1"/>
          <w:sz w:val="24"/>
          <w:szCs w:val="24"/>
        </w:rPr>
        <w:fldChar w:fldCharType="end"/>
      </w:r>
    </w:p>
    <w:p w14:paraId="204C934F" w14:textId="77777777" w:rsidR="00740537" w:rsidRPr="00ED0973" w:rsidRDefault="00740537" w:rsidP="00D73158">
      <w:pPr>
        <w:jc w:val="both"/>
        <w:rPr>
          <w:color w:val="000000" w:themeColor="text1"/>
          <w:sz w:val="24"/>
          <w:szCs w:val="24"/>
        </w:rPr>
      </w:pPr>
    </w:p>
    <w:p w14:paraId="204C9350" w14:textId="77777777" w:rsidR="004106E6" w:rsidRPr="00ED0973" w:rsidRDefault="004106E6" w:rsidP="00D73158">
      <w:pPr>
        <w:jc w:val="both"/>
        <w:rPr>
          <w:color w:val="000000" w:themeColor="text1"/>
          <w:sz w:val="24"/>
          <w:szCs w:val="24"/>
        </w:rPr>
      </w:pPr>
    </w:p>
    <w:sectPr w:rsidR="004106E6" w:rsidRPr="00ED09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505E" w14:textId="77777777" w:rsidR="008D1A47" w:rsidRDefault="008D1A47" w:rsidP="00AD3ABF">
      <w:pPr>
        <w:spacing w:after="0" w:line="240" w:lineRule="auto"/>
      </w:pPr>
      <w:r>
        <w:separator/>
      </w:r>
    </w:p>
  </w:endnote>
  <w:endnote w:type="continuationSeparator" w:id="0">
    <w:p w14:paraId="5337FE31" w14:textId="77777777" w:rsidR="008D1A47" w:rsidRDefault="008D1A47" w:rsidP="00AD3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Times New Roman">
    <w:altName w:val="Times New Roman"/>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Interface-Regular">
    <w:panose1 w:val="020B06040202020202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838236"/>
      <w:docPartObj>
        <w:docPartGallery w:val="Page Numbers (Bottom of Page)"/>
        <w:docPartUnique/>
      </w:docPartObj>
    </w:sdtPr>
    <w:sdtEndPr/>
    <w:sdtContent>
      <w:p w14:paraId="204C935F" w14:textId="74BA8330" w:rsidR="00526CCE" w:rsidRDefault="00526CCE">
        <w:pPr>
          <w:pStyle w:val="Voettekst"/>
          <w:jc w:val="center"/>
        </w:pPr>
        <w:r>
          <w:fldChar w:fldCharType="begin"/>
        </w:r>
        <w:r>
          <w:instrText>PAGE   \* MERGEFORMAT</w:instrText>
        </w:r>
        <w:r>
          <w:fldChar w:fldCharType="separate"/>
        </w:r>
        <w:r w:rsidR="00D922BC" w:rsidRPr="00D922BC">
          <w:rPr>
            <w:noProof/>
            <w:lang w:val="nl-NL"/>
          </w:rPr>
          <w:t>25</w:t>
        </w:r>
        <w:r>
          <w:fldChar w:fldCharType="end"/>
        </w:r>
      </w:p>
    </w:sdtContent>
  </w:sdt>
  <w:p w14:paraId="204C9360" w14:textId="77777777" w:rsidR="00526CCE" w:rsidRDefault="00526C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A62C6" w14:textId="77777777" w:rsidR="008D1A47" w:rsidRDefault="008D1A47" w:rsidP="00AD3ABF">
      <w:pPr>
        <w:spacing w:after="0" w:line="240" w:lineRule="auto"/>
      </w:pPr>
      <w:r>
        <w:separator/>
      </w:r>
    </w:p>
  </w:footnote>
  <w:footnote w:type="continuationSeparator" w:id="0">
    <w:p w14:paraId="7E4BFBA8" w14:textId="77777777" w:rsidR="008D1A47" w:rsidRDefault="008D1A47" w:rsidP="00AD3ABF">
      <w:pPr>
        <w:spacing w:after="0" w:line="240" w:lineRule="auto"/>
      </w:pPr>
      <w:r>
        <w:continuationSeparator/>
      </w:r>
    </w:p>
  </w:footnote>
  <w:footnote w:id="1">
    <w:p w14:paraId="204C9361" w14:textId="77777777" w:rsidR="00526CCE" w:rsidRPr="00163795" w:rsidRDefault="00526CCE" w:rsidP="006C279A">
      <w:pPr>
        <w:pStyle w:val="Voetnoottekst"/>
        <w:jc w:val="both"/>
      </w:pPr>
      <w:r w:rsidRPr="00163795">
        <w:rPr>
          <w:rStyle w:val="Voetnootmarkering"/>
        </w:rPr>
        <w:footnoteRef/>
      </w:r>
      <w:r w:rsidRPr="00163795">
        <w:t xml:space="preserve"> See for instance the letter signed by over 220 law and economics professors from the USA, claiming that the ISDS system (in TPP) “undermines the important roles of our domestic and democratic institutions, threatens domestic sovereignty, and weakens the rule of law”. ‘220+ Law and Economics Professors Urge Congress to Reject the TPP and Other Prospective Deals that Include Investor-State Dispute Settlement (ISDS)’ (2015) </w:t>
      </w:r>
      <w:r w:rsidRPr="00163795">
        <w:rPr>
          <w:i/>
          <w:iCs/>
        </w:rPr>
        <w:t>citizen.org</w:t>
      </w:r>
      <w:r w:rsidRPr="00163795">
        <w:t>, &lt;www.citizen.org/documents/isds-law-economics-professors-letter-Sept-2016.pdf&gt;.</w:t>
      </w:r>
    </w:p>
  </w:footnote>
  <w:footnote w:id="2">
    <w:p w14:paraId="243027FE" w14:textId="1291E380" w:rsidR="00526CCE" w:rsidRDefault="00526CCE" w:rsidP="00E9661C">
      <w:pPr>
        <w:pStyle w:val="Voetnoottekst"/>
        <w:jc w:val="both"/>
      </w:pPr>
      <w:r w:rsidRPr="00163795">
        <w:rPr>
          <w:rStyle w:val="Voetnootmarkering"/>
        </w:rPr>
        <w:footnoteRef/>
      </w:r>
      <w:r w:rsidRPr="00163795">
        <w:t xml:space="preserve"> For instance the European Association of Judges, ‘Statement on the proposal from the European Commission on a new investment court system’ (2015) </w:t>
      </w:r>
      <w:r w:rsidRPr="00163795">
        <w:rPr>
          <w:i/>
          <w:iCs/>
        </w:rPr>
        <w:t>International Association of Judges</w:t>
      </w:r>
      <w:r w:rsidRPr="00163795">
        <w:t>, available at &lt;www.iaj-uim.org/iuw/wp-content/uploads/2015/11/EAJ-report-TIPP-Court-october.pdf&gt; (expressi</w:t>
      </w:r>
      <w:r>
        <w:t xml:space="preserve">ng ‘serious reservations’), </w:t>
      </w:r>
      <w:r w:rsidRPr="00163795">
        <w:t>120 European academics</w:t>
      </w:r>
      <w:r w:rsidRPr="00163795">
        <w:rPr>
          <w:i/>
          <w:iCs/>
        </w:rPr>
        <w:t>, ‘</w:t>
      </w:r>
      <w:r w:rsidRPr="00163795">
        <w:t xml:space="preserve">Statement of Concern about Planned Provisions on Investment Protection and Investor-State Dispute Settlement (ISDS) in the Transatlantic Trade and Investment Partnership (TTIP)’ </w:t>
      </w:r>
      <w:r w:rsidRPr="00163795">
        <w:rPr>
          <w:i/>
          <w:iCs/>
        </w:rPr>
        <w:t>Kent Law School</w:t>
      </w:r>
      <w:r w:rsidRPr="00163795">
        <w:t>, &lt;www.kent.ac.uk/law/isds_treaty_consultation.html&gt;</w:t>
      </w:r>
      <w:r>
        <w:t xml:space="preserve"> and some 100 professors and other representatives of the European legal community, ‘</w:t>
      </w:r>
      <w:r w:rsidRPr="00E9661C">
        <w:t>Legal Statement on investment protection and investor-state dispute settlement mechanisms in TTIP and CETA</w:t>
      </w:r>
      <w:r>
        <w:t xml:space="preserve">’, October 2016, </w:t>
      </w:r>
    </w:p>
    <w:p w14:paraId="204C9362" w14:textId="4A346FDC" w:rsidR="00526CCE" w:rsidRPr="00163795" w:rsidRDefault="00526CCE" w:rsidP="00E9661C">
      <w:pPr>
        <w:pStyle w:val="Voetnoottekst"/>
        <w:jc w:val="both"/>
      </w:pPr>
      <w:r>
        <w:t>&lt;</w:t>
      </w:r>
      <w:r w:rsidRPr="00E9661C">
        <w:t>https://stop-ttip.org/wp-content/uploads/2016/10/13.10.16-Legal-Statement-1.pdf</w:t>
      </w:r>
      <w:r>
        <w:t>&gt;.</w:t>
      </w:r>
    </w:p>
  </w:footnote>
  <w:footnote w:id="3">
    <w:p w14:paraId="5E464607" w14:textId="61AEE78C" w:rsidR="00526CCE" w:rsidRDefault="00526CCE" w:rsidP="006C279A">
      <w:pPr>
        <w:pStyle w:val="Voetnoottekst"/>
        <w:jc w:val="both"/>
      </w:pPr>
      <w:r w:rsidRPr="00163795">
        <w:rPr>
          <w:rStyle w:val="Voetnootmarkering"/>
        </w:rPr>
        <w:footnoteRef/>
      </w:r>
      <w:r w:rsidRPr="00163795">
        <w:t xml:space="preserve"> For instance the Dutch Social and Economic Council (SER), </w:t>
      </w:r>
      <w:hyperlink r:id="rId1" w:history="1">
        <w:r w:rsidRPr="00A50487">
          <w:rPr>
            <w:rStyle w:val="Hyperlink"/>
          </w:rPr>
          <w:t>‘TTIP Transatlantic Trade and Investment Partnership’</w:t>
        </w:r>
      </w:hyperlink>
      <w:r w:rsidRPr="00ED0973">
        <w:t xml:space="preserve"> (2016) SER Advisory Report 16/04E, 95</w:t>
      </w:r>
      <w:r>
        <w:t xml:space="preserve">, </w:t>
      </w:r>
      <w:r w:rsidRPr="00163795">
        <w:t xml:space="preserve">L Ankersmit, ‘The Compatibility of Investment Arbitration in EU trade Agreements with the EU Judicial System’ (2016) 14 </w:t>
      </w:r>
      <w:r w:rsidRPr="00163795">
        <w:rPr>
          <w:i/>
          <w:iCs/>
        </w:rPr>
        <w:t>Journal for European Environmental &amp; Planning Law</w:t>
      </w:r>
      <w:r w:rsidRPr="00163795">
        <w:t xml:space="preserve"> 4</w:t>
      </w:r>
      <w:r>
        <w:t xml:space="preserve">6, </w:t>
      </w:r>
      <w:r w:rsidRPr="00163795">
        <w:t xml:space="preserve">J Kokott and C Sobotta, ‘Investment Arbitration and the EU law’ (2016) </w:t>
      </w:r>
      <w:r w:rsidRPr="00163795">
        <w:rPr>
          <w:i/>
          <w:iCs/>
        </w:rPr>
        <w:t>Cambridge Yearbook of European Legal Studies</w:t>
      </w:r>
      <w:r>
        <w:t xml:space="preserve"> 1,</w:t>
      </w:r>
      <w:r w:rsidRPr="00AF6E7E">
        <w:t xml:space="preserve"> </w:t>
      </w:r>
      <w:r>
        <w:t>M Krajewski and</w:t>
      </w:r>
      <w:r w:rsidRPr="00AF6E7E">
        <w:t xml:space="preserve"> </w:t>
      </w:r>
      <w:r>
        <w:t>R T Hoffmann, ‘</w:t>
      </w:r>
      <w:r w:rsidRPr="00AF6E7E">
        <w:t>The European Commission’s Proposal for Investment Protection in TTIP</w:t>
      </w:r>
      <w:r>
        <w:t xml:space="preserve">’ (2016) and </w:t>
      </w:r>
      <w:r w:rsidRPr="006642DD">
        <w:t>I Govaere, ‘TTIP and dispute Settlement: potential consequences for the autonomous EU legal order’ (2016), Collège d’Europe Research Paper in Law 01/2016</w:t>
      </w:r>
      <w:r>
        <w:t xml:space="preserve">. </w:t>
      </w:r>
      <w:r w:rsidRPr="00CC2B40">
        <w:t>Meanwhile, the Legal Services of European Parliament</w:t>
      </w:r>
      <w:r>
        <w:t>, ‘Legal opinion on compatibility with the Treaties of investment dispute settlement provisions in EU trade agreements’ (2016) reaches a different conclusion.</w:t>
      </w:r>
    </w:p>
    <w:p w14:paraId="204C9363" w14:textId="71956B5C" w:rsidR="00526CCE" w:rsidRPr="006C279A" w:rsidRDefault="00526CCE" w:rsidP="006C279A">
      <w:pPr>
        <w:pStyle w:val="Voetnoottekst"/>
        <w:jc w:val="both"/>
        <w:rPr>
          <w:lang w:val="nl-NL"/>
        </w:rPr>
      </w:pPr>
      <w:r w:rsidRPr="006C279A">
        <w:rPr>
          <w:lang w:val="nl-NL"/>
        </w:rPr>
        <w:t>&lt;www.fes-europe.eu/fileadmin/public/editorfiles/events/Juni_2016/FES_2017plus_Krajewski_ENGL.pdf&gt; and M Marwedel, ‘”Reformierter” Investitionsschutz in TTIP: Zwei Schritte voran – und gegen die Wand’, Verfassungsblog 3 December 2015, &lt;verfassungsblog.de/reformierter-investitionsschutz-in-ttip-zwei-schritte-voran-und-gegen-die-wand&gt;.</w:t>
      </w:r>
      <w:r>
        <w:rPr>
          <w:lang w:val="nl-NL"/>
        </w:rPr>
        <w:t xml:space="preserve"> </w:t>
      </w:r>
    </w:p>
  </w:footnote>
  <w:footnote w:id="4">
    <w:p w14:paraId="3434C8E8" w14:textId="28CF372C" w:rsidR="00F948D1" w:rsidRPr="009D4856" w:rsidRDefault="00F948D1" w:rsidP="00F948D1">
      <w:pPr>
        <w:pStyle w:val="Voetnoottekst"/>
        <w:rPr>
          <w:lang w:val="en-US"/>
        </w:rPr>
      </w:pPr>
      <w:r>
        <w:rPr>
          <w:rStyle w:val="Voetnootmarkering"/>
        </w:rPr>
        <w:footnoteRef/>
      </w:r>
      <w:r>
        <w:t xml:space="preserve"> </w:t>
      </w:r>
      <w:r w:rsidR="005A2D6C">
        <w:t>J-C Juncker, ‘A new start for Europe’ Political guidelines for the next European Commission, 15 July 2014, &lt;</w:t>
      </w:r>
      <w:hyperlink r:id="rId2" w:history="1">
        <w:r w:rsidR="005A2D6C" w:rsidRPr="00BF7A7D">
          <w:rPr>
            <w:rStyle w:val="Hyperlink"/>
          </w:rPr>
          <w:t>https://groenlinks.nl/sites/default/files/downloads/newsarticle/PG_EN.pdf</w:t>
        </w:r>
      </w:hyperlink>
      <w:r w:rsidR="005A2D6C">
        <w:t xml:space="preserve">&gt;. </w:t>
      </w:r>
      <w:r>
        <w:t xml:space="preserve">Juncker also </w:t>
      </w:r>
      <w:r w:rsidRPr="00F948D1">
        <w:rPr>
          <w:lang w:val="en-US"/>
        </w:rPr>
        <w:t>said he does not understand why great democracies would not have faith in the judiciary: “We have courts which are able to deal with cases that are brought to them, and so I’m not really in favour of what one could call “private courts” or arbitration bodies which may sometimes reach good decisions but don’t always have to justify their decisions.”</w:t>
      </w:r>
      <w:r>
        <w:rPr>
          <w:lang w:val="en-US"/>
        </w:rPr>
        <w:t xml:space="preserve"> </w:t>
      </w:r>
      <w:r w:rsidR="005A2D6C">
        <w:rPr>
          <w:lang w:val="en-US"/>
        </w:rPr>
        <w:t xml:space="preserve"> S McKeagney, ‘</w:t>
      </w:r>
      <w:r w:rsidR="005A2D6C" w:rsidRPr="005A2D6C">
        <w:rPr>
          <w:lang w:val="en-US"/>
        </w:rPr>
        <w:t>Juncker to take ISDS out of TTIP</w:t>
      </w:r>
      <w:r w:rsidR="005A2D6C">
        <w:rPr>
          <w:lang w:val="en-US"/>
        </w:rPr>
        <w:t>’, 16 October 2014, &lt;</w:t>
      </w:r>
      <w:r w:rsidR="005A2D6C" w:rsidRPr="005A2D6C">
        <w:rPr>
          <w:lang w:val="en-US"/>
        </w:rPr>
        <w:t>ttip2016.e</w:t>
      </w:r>
      <w:r w:rsidR="005A2D6C">
        <w:rPr>
          <w:lang w:val="en-US"/>
        </w:rPr>
        <w:t>u/blog/ISDS%20out%20Juncker.html&gt;.</w:t>
      </w:r>
    </w:p>
  </w:footnote>
  <w:footnote w:id="5">
    <w:p w14:paraId="2A5F3226" w14:textId="2A854529" w:rsidR="004F3249" w:rsidRPr="004F3249" w:rsidRDefault="004F3249">
      <w:pPr>
        <w:pStyle w:val="Voetnoottekst"/>
      </w:pPr>
      <w:r>
        <w:rPr>
          <w:rStyle w:val="Voetnootmarkering"/>
        </w:rPr>
        <w:footnoteRef/>
      </w:r>
      <w:r>
        <w:t xml:space="preserve"> The so-called Trade Sustainability Impact Assessment, discussed in more detail below.</w:t>
      </w:r>
    </w:p>
  </w:footnote>
  <w:footnote w:id="6">
    <w:p w14:paraId="58D9CE99" w14:textId="3E8069F4" w:rsidR="00220562" w:rsidRPr="00220562" w:rsidRDefault="00220562">
      <w:pPr>
        <w:pStyle w:val="Voetnoottekst"/>
        <w:rPr>
          <w:lang w:val="en-US"/>
        </w:rPr>
      </w:pPr>
      <w:r>
        <w:rPr>
          <w:rStyle w:val="Voetnootmarkering"/>
        </w:rPr>
        <w:footnoteRef/>
      </w:r>
      <w:r>
        <w:t xml:space="preserve"> </w:t>
      </w:r>
      <w:r w:rsidRPr="00220562">
        <w:t>The</w:t>
      </w:r>
      <w:r>
        <w:t xml:space="preserve"> original</w:t>
      </w:r>
      <w:r w:rsidRPr="00220562">
        <w:t xml:space="preserve"> 2009 negotiating directives, as well as a 2011 modification to allow for talks on investment protection, were </w:t>
      </w:r>
      <w:r>
        <w:t xml:space="preserve">partially </w:t>
      </w:r>
      <w:r w:rsidRPr="00220562">
        <w:t>made publ</w:t>
      </w:r>
      <w:r>
        <w:t>ic only on 15 December 2015</w:t>
      </w:r>
      <w:r w:rsidRPr="00220562">
        <w:t>.</w:t>
      </w:r>
      <w:r>
        <w:t xml:space="preserve"> See &lt;</w:t>
      </w:r>
      <w:r w:rsidRPr="00220562">
        <w:t>www.consilium.europa.eu/en/press/press-releases/2015/12/15-eu-canada-trade-negotiating-mandate-made-public/</w:t>
      </w:r>
      <w:r>
        <w:t>&gt;.</w:t>
      </w:r>
    </w:p>
  </w:footnote>
  <w:footnote w:id="7">
    <w:p w14:paraId="481D30B0" w14:textId="67E83D2D" w:rsidR="00526CCE" w:rsidRPr="00CA6ADB" w:rsidRDefault="00526CCE">
      <w:pPr>
        <w:pStyle w:val="Voetnoottekst"/>
        <w:rPr>
          <w:lang w:val="en-US"/>
        </w:rPr>
      </w:pPr>
      <w:r>
        <w:rPr>
          <w:rStyle w:val="Voetnootmarkering"/>
        </w:rPr>
        <w:footnoteRef/>
      </w:r>
      <w:r w:rsidRPr="00CA6ADB">
        <w:rPr>
          <w:lang w:val="en-US"/>
        </w:rPr>
        <w:t xml:space="preserve"> See </w:t>
      </w:r>
      <w:r>
        <w:rPr>
          <w:lang w:val="en-US"/>
        </w:rPr>
        <w:t>&lt;</w:t>
      </w:r>
      <w:r w:rsidRPr="00CA6ADB">
        <w:rPr>
          <w:lang w:val="en-US"/>
        </w:rPr>
        <w:t>trade.ec.europa.eu/doclib/docs/2014/september/tradoc_152806.pdf</w:t>
      </w:r>
      <w:r>
        <w:rPr>
          <w:lang w:val="en-US"/>
        </w:rPr>
        <w:t>&gt;.</w:t>
      </w:r>
    </w:p>
  </w:footnote>
  <w:footnote w:id="8">
    <w:p w14:paraId="0977F27B" w14:textId="6EA236F1" w:rsidR="00526CCE" w:rsidRPr="00F60608" w:rsidRDefault="00526CCE">
      <w:pPr>
        <w:pStyle w:val="Voetnoottekst"/>
      </w:pPr>
      <w:r>
        <w:rPr>
          <w:rStyle w:val="Voetnootmarkering"/>
        </w:rPr>
        <w:footnoteRef/>
      </w:r>
      <w:r>
        <w:t xml:space="preserve"> Proposal for a Council Decision</w:t>
      </w:r>
      <w:r w:rsidRPr="00F60608">
        <w:t xml:space="preserve"> on the provisional application of the Comprehensive Economic and Trade Agreement between Canada of the one part, and the European Union and its Member States, of the other part</w:t>
      </w:r>
      <w:r>
        <w:t xml:space="preserve">, </w:t>
      </w:r>
      <w:hyperlink r:id="rId3" w:history="1">
        <w:r w:rsidRPr="00CA6ADB">
          <w:rPr>
            <w:rStyle w:val="Hyperlink"/>
          </w:rPr>
          <w:t>COM(2016)470</w:t>
        </w:r>
      </w:hyperlink>
      <w:r>
        <w:t xml:space="preserve"> of 5 July 2016.</w:t>
      </w:r>
    </w:p>
  </w:footnote>
  <w:footnote w:id="9">
    <w:p w14:paraId="2AFF06BB" w14:textId="72B59895" w:rsidR="00526CCE" w:rsidRDefault="00526CCE" w:rsidP="00E3423C">
      <w:pPr>
        <w:pStyle w:val="Voetnoottekst"/>
        <w:jc w:val="both"/>
      </w:pPr>
      <w:r>
        <w:rPr>
          <w:rStyle w:val="Voetnootmarkering"/>
        </w:rPr>
        <w:footnoteRef/>
      </w:r>
      <w:r>
        <w:t xml:space="preserve"> A Ericsson, ‘</w:t>
      </w:r>
      <w:r w:rsidRPr="00414844">
        <w:t>EU admits 'unrealistic' to close TTIP deal this year</w:t>
      </w:r>
      <w:r>
        <w:t>’, EU Observer 23 September 2016, &lt;</w:t>
      </w:r>
      <w:r w:rsidRPr="00870B02">
        <w:t>https://euobserver.com/economic/135217</w:t>
      </w:r>
      <w:r>
        <w:t>&gt;. An earlier Presidency’s compromise proposal dated 16 September 2016 can be found at &lt;</w:t>
      </w:r>
      <w:hyperlink r:id="rId4" w:anchor="download" w:history="1">
        <w:r w:rsidRPr="003A3F6A">
          <w:rPr>
            <w:rStyle w:val="Hyperlink"/>
          </w:rPr>
          <w:t>https://www.scribd.com/document/325493614/Draft-Council-Decision-on-the-Provisional-Application-of-CETA#download</w:t>
        </w:r>
      </w:hyperlink>
      <w:r>
        <w:t xml:space="preserve">&gt; and reveals that … </w:t>
      </w:r>
    </w:p>
  </w:footnote>
  <w:footnote w:id="10">
    <w:p w14:paraId="6F698366" w14:textId="350348EB" w:rsidR="00526CCE" w:rsidRPr="0012162D" w:rsidRDefault="00526CCE" w:rsidP="0012162D">
      <w:pPr>
        <w:pStyle w:val="Voetnoottekst"/>
        <w:rPr>
          <w:lang w:val="nl-NL"/>
        </w:rPr>
      </w:pPr>
      <w:r>
        <w:rPr>
          <w:rStyle w:val="Voetnootmarkering"/>
        </w:rPr>
        <w:footnoteRef/>
      </w:r>
      <w:r w:rsidRPr="0012162D">
        <w:rPr>
          <w:lang w:val="nl-NL"/>
        </w:rPr>
        <w:t xml:space="preserve"> BVerfG, Urteil des Zweiten Senats vom 13. Oktober 2016  - 2 BvR 1368/16 - Rn. (1-73),</w:t>
      </w:r>
    </w:p>
    <w:p w14:paraId="117DF41B" w14:textId="631403EF" w:rsidR="00526CCE" w:rsidRPr="002C5645" w:rsidRDefault="008D1A47" w:rsidP="0012162D">
      <w:pPr>
        <w:pStyle w:val="Voetnoottekst"/>
        <w:rPr>
          <w:lang w:val="en-US"/>
        </w:rPr>
      </w:pPr>
      <w:hyperlink w:history="1">
        <w:r w:rsidR="00526CCE" w:rsidRPr="002D50BF">
          <w:rPr>
            <w:rStyle w:val="Hyperlink"/>
            <w:lang w:val="nl-NL"/>
          </w:rPr>
          <w:t>&lt;www.bverfg.de/e/rs20161013_2bvr136816.html</w:t>
        </w:r>
      </w:hyperlink>
      <w:r w:rsidR="00526CCE">
        <w:rPr>
          <w:lang w:val="nl-NL"/>
        </w:rPr>
        <w:t xml:space="preserve">&gt; . </w:t>
      </w:r>
      <w:r w:rsidR="00526CCE" w:rsidRPr="00F60608">
        <w:rPr>
          <w:lang w:val="en-US"/>
        </w:rPr>
        <w:t xml:space="preserve">The courts reservations regarding investment protection probably are linked </w:t>
      </w:r>
      <w:r w:rsidR="00526CCE">
        <w:rPr>
          <w:lang w:val="en-US"/>
        </w:rPr>
        <w:t>to t</w:t>
      </w:r>
      <w:r w:rsidR="00526CCE" w:rsidRPr="00F60608">
        <w:rPr>
          <w:lang w:val="en-US"/>
        </w:rPr>
        <w:t xml:space="preserve">he fact </w:t>
      </w:r>
      <w:r w:rsidR="00526CCE">
        <w:rPr>
          <w:lang w:val="en-US"/>
        </w:rPr>
        <w:t xml:space="preserve">that the chapter covers both foreign direct investment (FDI) and portfolio investment. According to the Commission, the EU is competent to conclude agreements covering all these matters, including portfolio investment (in accordance with art. 3(2) TFEU, the existing common rules on free movement of capital and in particular art. 63 TFEU, see </w:t>
      </w:r>
      <w:hyperlink r:id="rId5" w:history="1">
        <w:r w:rsidR="00526CCE" w:rsidRPr="00570988">
          <w:rPr>
            <w:rStyle w:val="Hyperlink"/>
            <w:lang w:val="en-US"/>
          </w:rPr>
          <w:t>answers by Commissioner De Gucht on behalf of the Commission of 3 November 2014</w:t>
        </w:r>
      </w:hyperlink>
      <w:r w:rsidR="00275127">
        <w:rPr>
          <w:lang w:val="en-US"/>
        </w:rPr>
        <w:t xml:space="preserve">). </w:t>
      </w:r>
      <w:r w:rsidR="00526CCE">
        <w:rPr>
          <w:lang w:val="en-US"/>
        </w:rPr>
        <w:t>Besides Chapter 8 and 13 on investment protection and financial services respectively, other</w:t>
      </w:r>
      <w:r w:rsidR="00526CCE" w:rsidRPr="00203ACD">
        <w:rPr>
          <w:lang w:val="en-US"/>
        </w:rPr>
        <w:t xml:space="preserve"> </w:t>
      </w:r>
      <w:r w:rsidR="00526CCE">
        <w:rPr>
          <w:lang w:val="en-US"/>
        </w:rPr>
        <w:t>areas where the constitutional court expects the German government to ensure that provisional application is not agreed to include international maritime transport services (Chapter 14) and mutual recognition of professional qualifications (Chapter 11)</w:t>
      </w:r>
      <w:r w:rsidR="00526CCE" w:rsidRPr="002C5645">
        <w:rPr>
          <w:lang w:val="en-US"/>
        </w:rPr>
        <w:t>.</w:t>
      </w:r>
    </w:p>
  </w:footnote>
  <w:footnote w:id="11">
    <w:p w14:paraId="3B22BFE7" w14:textId="480F5865" w:rsidR="00526CCE" w:rsidRPr="0056019E" w:rsidRDefault="00526CCE">
      <w:pPr>
        <w:pStyle w:val="Voetnoottekst"/>
        <w:rPr>
          <w:lang w:val="nl-NL"/>
        </w:rPr>
      </w:pPr>
      <w:r>
        <w:rPr>
          <w:rStyle w:val="Voetnootmarkering"/>
        </w:rPr>
        <w:footnoteRef/>
      </w:r>
      <w:r w:rsidRPr="00B75584">
        <w:rPr>
          <w:lang w:val="nl-NL"/>
        </w:rPr>
        <w:t xml:space="preserve"> Financieel Dagblad, </w:t>
      </w:r>
      <w:hyperlink r:id="rId6" w:history="1">
        <w:r w:rsidRPr="00B75584">
          <w:rPr>
            <w:rStyle w:val="Hyperlink"/>
            <w:lang w:val="nl-NL"/>
          </w:rPr>
          <w:t>Wallonië zegt nee tege</w:t>
        </w:r>
        <w:r w:rsidRPr="0056019E">
          <w:rPr>
            <w:rStyle w:val="Hyperlink"/>
            <w:lang w:val="nl-NL"/>
          </w:rPr>
          <w:t>n EU-verdrag met Canada</w:t>
        </w:r>
      </w:hyperlink>
      <w:r w:rsidRPr="0056019E">
        <w:rPr>
          <w:lang w:val="nl-NL"/>
        </w:rPr>
        <w:t>, 14 October 2016.</w:t>
      </w:r>
    </w:p>
  </w:footnote>
  <w:footnote w:id="12">
    <w:p w14:paraId="02C03D14" w14:textId="503BCB78" w:rsidR="00526CCE" w:rsidRPr="00570988" w:rsidRDefault="00526CCE">
      <w:pPr>
        <w:pStyle w:val="Voetnoottekst"/>
      </w:pPr>
      <w:r>
        <w:rPr>
          <w:rStyle w:val="Voetnootmarkering"/>
        </w:rPr>
        <w:footnoteRef/>
      </w:r>
      <w:r>
        <w:t xml:space="preserve"> Declaration of the Kingdom of Belgium on the conditions regarding the powers of the federal state and the regional </w:t>
      </w:r>
      <w:r w:rsidR="003E2961">
        <w:t>states for the signing of CETA.</w:t>
      </w:r>
    </w:p>
  </w:footnote>
  <w:footnote w:id="13">
    <w:p w14:paraId="0D403CE5" w14:textId="04CF0282" w:rsidR="00526CCE" w:rsidRPr="00163795" w:rsidRDefault="00526CCE" w:rsidP="006C279A">
      <w:pPr>
        <w:pStyle w:val="Voetnoottekst"/>
        <w:jc w:val="both"/>
      </w:pPr>
      <w:r w:rsidRPr="00163795">
        <w:rPr>
          <w:rStyle w:val="Voetnootmarkering"/>
        </w:rPr>
        <w:footnoteRef/>
      </w:r>
      <w:r w:rsidRPr="00163795">
        <w:t xml:space="preserve"> P J Kuijper, ’Study on investment protection agreements as instruments of international economic law’, in: European Parliament, Directorate-General for External Policies of the Union, Investor-state dispute settlement (ISDS) provisions in the EU’s international investment agreements (Study), Vol. 2 – studies (2014), 33.</w:t>
      </w:r>
    </w:p>
  </w:footnote>
  <w:footnote w:id="14">
    <w:p w14:paraId="3D5CF8AD" w14:textId="7F3E6309" w:rsidR="00526CCE" w:rsidRPr="00BC319F" w:rsidRDefault="00526CCE">
      <w:pPr>
        <w:pStyle w:val="Voetnoottekst"/>
      </w:pPr>
      <w:r>
        <w:rPr>
          <w:rStyle w:val="Voetnootmarkering"/>
        </w:rPr>
        <w:footnoteRef/>
      </w:r>
      <w:r>
        <w:t xml:space="preserve"> Compare the MEP </w:t>
      </w:r>
      <w:hyperlink r:id="rId7" w:history="1">
        <w:r w:rsidRPr="002F642A">
          <w:rPr>
            <w:rStyle w:val="Hyperlink"/>
          </w:rPr>
          <w:t>questions</w:t>
        </w:r>
      </w:hyperlink>
      <w:r>
        <w:t xml:space="preserve"> on the possibility to challenge climate change decisions under ICS in CETA of 30 September 2016.</w:t>
      </w:r>
    </w:p>
  </w:footnote>
  <w:footnote w:id="15">
    <w:p w14:paraId="078AD8A9" w14:textId="1D3F416B" w:rsidR="00526CCE" w:rsidRPr="003D7C1B" w:rsidRDefault="00526CCE">
      <w:pPr>
        <w:pStyle w:val="Voetnoottekst"/>
      </w:pPr>
      <w:r>
        <w:rPr>
          <w:rStyle w:val="Voetnootmarkering"/>
        </w:rPr>
        <w:footnoteRef/>
      </w:r>
      <w:r>
        <w:t xml:space="preserve"> Belgium will request such an opinion under art. 218(</w:t>
      </w:r>
      <w:r w:rsidRPr="003D7C1B">
        <w:t>11</w:t>
      </w:r>
      <w:r>
        <w:t xml:space="preserve">) TFEU, where it is stipulated that in case the </w:t>
      </w:r>
      <w:r w:rsidRPr="003D7C1B">
        <w:t>opinion of the Court is adverse, the agreement envisaged may not enter into force</w:t>
      </w:r>
      <w:r>
        <w:t>,</w:t>
      </w:r>
      <w:r w:rsidRPr="003D7C1B">
        <w:t xml:space="preserve"> unless it is amended or the Treaties are revised</w:t>
      </w:r>
      <w:r>
        <w:t xml:space="preserve">. </w:t>
      </w:r>
    </w:p>
  </w:footnote>
  <w:footnote w:id="16">
    <w:p w14:paraId="29D2AD74" w14:textId="1532451D" w:rsidR="00526CCE" w:rsidRPr="00163795" w:rsidRDefault="00526CCE" w:rsidP="006C279A">
      <w:pPr>
        <w:pStyle w:val="Voetnoottekst"/>
        <w:jc w:val="both"/>
      </w:pPr>
      <w:r w:rsidRPr="00163795">
        <w:rPr>
          <w:rStyle w:val="Voetnootmarkering"/>
        </w:rPr>
        <w:footnoteRef/>
      </w:r>
      <w:r w:rsidRPr="00163795">
        <w:t xml:space="preserve"> F Bermingham, ‘TTIP</w:t>
      </w:r>
      <w:r>
        <w:t>: Germany accused of hypocrisy over o</w:t>
      </w:r>
      <w:r w:rsidRPr="00163795">
        <w:t xml:space="preserve">pposition to ISDS </w:t>
      </w:r>
      <w:r>
        <w:t>c</w:t>
      </w:r>
      <w:r w:rsidRPr="00163795">
        <w:t xml:space="preserve">lause’, </w:t>
      </w:r>
      <w:r w:rsidRPr="00163795">
        <w:rPr>
          <w:i/>
          <w:iCs/>
        </w:rPr>
        <w:t>International Business Times</w:t>
      </w:r>
      <w:r w:rsidRPr="00163795">
        <w:t xml:space="preserve"> (6 November 2014), &lt;www.ibtimes.co.uk/ttip-germany-accused-hypocrisy-over-opposition-isds-clause-1473566&gt; , ‘Investor-State Dispute Settlement: the Arbitration Game’,</w:t>
      </w:r>
      <w:r w:rsidRPr="00163795">
        <w:rPr>
          <w:i/>
          <w:iCs/>
        </w:rPr>
        <w:t xml:space="preserve"> The Economist</w:t>
      </w:r>
      <w:r w:rsidRPr="00163795">
        <w:t xml:space="preserve"> (11 October 2014), available at &lt;</w:t>
      </w:r>
      <w:hyperlink r:id="rId8" w:history="1">
        <w:r w:rsidRPr="00163795">
          <w:rPr>
            <w:rStyle w:val="Hyperlink"/>
          </w:rPr>
          <w:t>www.economist.com/news/finance-and-economics/21623756-governments-are-souring-treaties-protect-foreign-investors-arbitration</w:t>
        </w:r>
      </w:hyperlink>
      <w:r w:rsidRPr="00163795">
        <w:t>&gt; and American Chamber of Commerce, Belgium, ‘7 Surprising things about ISDS’ (2015), available at &lt;www.amcham.be/blog/2015/04/7-surprising-things-about-isds&gt;.</w:t>
      </w:r>
    </w:p>
  </w:footnote>
  <w:footnote w:id="17">
    <w:p w14:paraId="2F8246BA" w14:textId="2E95FFBE" w:rsidR="00526CCE" w:rsidRPr="00163795" w:rsidRDefault="00526CCE" w:rsidP="006C279A">
      <w:pPr>
        <w:pStyle w:val="Voetnoottekst"/>
        <w:jc w:val="both"/>
      </w:pPr>
      <w:r w:rsidRPr="00163795">
        <w:rPr>
          <w:rStyle w:val="Voetnootmarkering"/>
        </w:rPr>
        <w:footnoteRef/>
      </w:r>
      <w:r w:rsidRPr="00163795">
        <w:t xml:space="preserve"> C Tietje, F Baetens and Ecorys, ‘The Impact of Investor-State-Dispute Settlement (ISDS) in the Transatlantic Trade and Investment Partnership’ (2014), study for Ministry of Foreign Affairs, The Netherlands, 21. &lt;https://www.rijksoverheid.nl/binaries/rijksoverheid/documenten/rapporten/2014/06/24/the-impact-of-investor-state-dispute-settlement-isds-in-the-ttip/the-impact-of-investor-state-dispute-settlement-isds-in-the-ttip.pdf&gt;. </w:t>
      </w:r>
      <w:r w:rsidRPr="006C279A">
        <w:rPr>
          <w:vanish/>
        </w:rPr>
        <w:t>The authors claim that: ‘Beginning in the mid-20th Century (…) BITs supplemented state-to-state dispute settlement by allowing investors to directly bring claims against host states.’</w:t>
      </w:r>
    </w:p>
  </w:footnote>
  <w:footnote w:id="18">
    <w:p w14:paraId="204C9364" w14:textId="2163370D"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K. Vanlouwe (N-VA) in a debate in the Commission for Foreign Policy, European Affairs, International Cooperation etc. of the Flemish Parliament, 17 May 2016,</w:t>
      </w:r>
      <w:r>
        <w:rPr>
          <w:lang w:val="en-US"/>
        </w:rPr>
        <w:tab/>
      </w:r>
      <w:r w:rsidRPr="00163795">
        <w:rPr>
          <w:lang w:val="en-US"/>
        </w:rPr>
        <w:t xml:space="preserve"> </w:t>
      </w:r>
      <w:hyperlink r:id="rId9" w:history="1">
        <w:r w:rsidRPr="00163795">
          <w:rPr>
            <w:rStyle w:val="Hyperlink"/>
            <w:lang w:val="en-US"/>
          </w:rPr>
          <w:t>https://www.vlaamsparlement.be/commissies/commissievergaderingen/1058503/verslag/1059820</w:t>
        </w:r>
      </w:hyperlink>
      <w:r w:rsidRPr="00163795">
        <w:rPr>
          <w:lang w:val="en-US"/>
        </w:rPr>
        <w:t xml:space="preserve"> .</w:t>
      </w:r>
    </w:p>
  </w:footnote>
  <w:footnote w:id="19">
    <w:p w14:paraId="636BD810" w14:textId="0A940983" w:rsidR="00526CCE" w:rsidRPr="001E7DA8" w:rsidRDefault="00526CCE" w:rsidP="006C279A">
      <w:pPr>
        <w:pStyle w:val="Voetnoottekst"/>
        <w:jc w:val="both"/>
      </w:pPr>
      <w:r>
        <w:rPr>
          <w:rStyle w:val="Voetnootmarkering"/>
        </w:rPr>
        <w:footnoteRef/>
      </w:r>
      <w:r>
        <w:t xml:space="preserve"> See A Titi, ‘</w:t>
      </w:r>
      <w:r w:rsidRPr="001E7DA8">
        <w:t>The right to regulate in international investmen</w:t>
      </w:r>
      <w:r>
        <w:t>t law’ (2014).</w:t>
      </w:r>
      <w:r w:rsidRPr="001E7DA8">
        <w:t xml:space="preserve"> </w:t>
      </w:r>
    </w:p>
  </w:footnote>
  <w:footnote w:id="20">
    <w:p w14:paraId="47347DED" w14:textId="6F888249" w:rsidR="00526CCE" w:rsidRPr="00163795" w:rsidRDefault="00526CCE" w:rsidP="006C279A">
      <w:pPr>
        <w:pStyle w:val="Voetnoottekst"/>
        <w:jc w:val="both"/>
      </w:pPr>
      <w:r w:rsidRPr="00163795">
        <w:rPr>
          <w:rStyle w:val="Voetnootmarkering"/>
        </w:rPr>
        <w:footnoteRef/>
      </w:r>
      <w:r w:rsidRPr="00163795">
        <w:t xml:space="preserve"> </w:t>
      </w:r>
      <w:hyperlink r:id="rId10" w:history="1">
        <w:r w:rsidRPr="00163795">
          <w:rPr>
            <w:rStyle w:val="Hyperlink"/>
          </w:rPr>
          <w:t>Treaty for the Promotion and Protection of Investments between the Federal Republic of Germany and Pakistan</w:t>
        </w:r>
      </w:hyperlink>
      <w:r w:rsidRPr="00163795">
        <w:t>, signed on 25 November 1959, UNTS 1963, 24.</w:t>
      </w:r>
    </w:p>
  </w:footnote>
  <w:footnote w:id="21">
    <w:p w14:paraId="204C9369" w14:textId="77777777" w:rsidR="00526CCE" w:rsidRPr="00163795" w:rsidRDefault="00526CCE" w:rsidP="006C279A">
      <w:pPr>
        <w:pStyle w:val="Voetnoottekst"/>
        <w:jc w:val="both"/>
      </w:pPr>
      <w:r w:rsidRPr="00163795">
        <w:rPr>
          <w:rStyle w:val="Voetnootmarkering"/>
        </w:rPr>
        <w:footnoteRef/>
      </w:r>
      <w:r w:rsidRPr="00163795">
        <w:t xml:space="preserve"> ‘Agreement on economic co-operation between the Government of the Kingdom of the Netherlands and the Government of the Republic of Kenya’ (1970), Article XI, &lt;wetten.overheid.nl/BWBV0004287/1979-06-11&gt; (‘The Contracting Party in the territory of which a national of the other Contracting Party makes or intends to make an investment, shall give sympathetic consideration to a request on the part of such national to submit, for conciliation or arbitration, to the Centre established by the Convention of Washington of 18 March 1965, any dispute that may arise in connection with the investment.’).</w:t>
      </w:r>
    </w:p>
  </w:footnote>
  <w:footnote w:id="22">
    <w:p w14:paraId="204C936A" w14:textId="77777777" w:rsidR="00526CCE" w:rsidRPr="00163795" w:rsidRDefault="00526CCE" w:rsidP="006C279A">
      <w:pPr>
        <w:pStyle w:val="Voetnoottekst"/>
        <w:jc w:val="both"/>
      </w:pPr>
      <w:r w:rsidRPr="00163795">
        <w:rPr>
          <w:rStyle w:val="Voetnootmarkering"/>
        </w:rPr>
        <w:footnoteRef/>
      </w:r>
      <w:r w:rsidRPr="00163795">
        <w:t xml:space="preserve"> M Schaake, ‘ISDS - what's going on?’ (</w:t>
      </w:r>
      <w:r w:rsidRPr="00163795">
        <w:rPr>
          <w:i/>
          <w:iCs/>
        </w:rPr>
        <w:t>marietjeschaake.eu</w:t>
      </w:r>
      <w:r w:rsidRPr="00163795">
        <w:t>, 19 November 2014)</w:t>
      </w:r>
      <w:r w:rsidRPr="00163795">
        <w:rPr>
          <w:i/>
          <w:iCs/>
        </w:rPr>
        <w:t>, &lt;</w:t>
      </w:r>
      <w:r w:rsidRPr="00163795">
        <w:t>marietjeschaake.eu/nl/isds-whats-going-on&gt;.</w:t>
      </w:r>
    </w:p>
  </w:footnote>
  <w:footnote w:id="23">
    <w:p w14:paraId="49C09641" w14:textId="65C2375C" w:rsidR="00526CCE" w:rsidRPr="00163795" w:rsidRDefault="00526CCE" w:rsidP="006C279A">
      <w:pPr>
        <w:pStyle w:val="Voetnoottekst"/>
        <w:jc w:val="both"/>
      </w:pPr>
      <w:r w:rsidRPr="00163795">
        <w:rPr>
          <w:rStyle w:val="Voetnootmarkering"/>
        </w:rPr>
        <w:footnoteRef/>
      </w:r>
      <w:r w:rsidRPr="00163795">
        <w:t xml:space="preserve"> Agreement on economic cooperation between the Kingdom of the Netherlands and the Republic Indonesia (7 July 1968), provisionally applied from the date of signature, entry into force 17 July 1971. See </w:t>
      </w:r>
      <w:hyperlink r:id="rId11" w:history="1">
        <w:r>
          <w:rPr>
            <w:rStyle w:val="Hyperlink"/>
          </w:rPr>
          <w:t>&lt;</w:t>
        </w:r>
        <w:r w:rsidRPr="00163795">
          <w:rPr>
            <w:rStyle w:val="Hyperlink"/>
          </w:rPr>
          <w:t>investmentpolicyhub.unctad.org/Download/TreatyFile/3329</w:t>
        </w:r>
      </w:hyperlink>
      <w:r>
        <w:rPr>
          <w:rStyle w:val="Hyperlink"/>
        </w:rPr>
        <w:t>&gt;</w:t>
      </w:r>
      <w:r w:rsidRPr="00163795">
        <w:t>. See J W Salacuse, The law of investment treaties, 2d edition (2015), 103.</w:t>
      </w:r>
      <w:r w:rsidRPr="003D7C1B">
        <w:t xml:space="preserve"> </w:t>
      </w:r>
      <w:r>
        <w:t>O</w:t>
      </w:r>
      <w:r w:rsidRPr="003D7C1B">
        <w:t>ther early ex</w:t>
      </w:r>
      <w:r>
        <w:t>amples of agreements with ISDS are</w:t>
      </w:r>
      <w:r w:rsidRPr="003D7C1B">
        <w:t xml:space="preserve"> the Belgia</w:t>
      </w:r>
      <w:r>
        <w:t>n/Luxembourg-Indonesia BIT (</w:t>
      </w:r>
      <w:r w:rsidRPr="003D7C1B">
        <w:t>1970</w:t>
      </w:r>
      <w:r>
        <w:t xml:space="preserve">), the </w:t>
      </w:r>
      <w:r w:rsidRPr="003D7C1B">
        <w:t xml:space="preserve">Malaysia-Netherlands BIT (1971), </w:t>
      </w:r>
      <w:r>
        <w:t xml:space="preserve">the </w:t>
      </w:r>
      <w:r w:rsidRPr="003D7C1B">
        <w:t>Morocco-Nethe</w:t>
      </w:r>
      <w:r>
        <w:t xml:space="preserve">rlands BIT (1971)), and the </w:t>
      </w:r>
      <w:r w:rsidRPr="003D7C1B">
        <w:t>France-Tunisia BIT (1972).</w:t>
      </w:r>
      <w:r>
        <w:t xml:space="preserve"> </w:t>
      </w:r>
    </w:p>
  </w:footnote>
  <w:footnote w:id="24">
    <w:p w14:paraId="204C936F" w14:textId="10F31F98" w:rsidR="00526CCE" w:rsidRPr="00163795" w:rsidRDefault="00526CCE" w:rsidP="006C279A">
      <w:pPr>
        <w:pStyle w:val="Voetnoottekst"/>
        <w:jc w:val="both"/>
      </w:pPr>
      <w:r w:rsidRPr="00163795">
        <w:rPr>
          <w:rStyle w:val="Voetnootmarkering"/>
        </w:rPr>
        <w:footnoteRef/>
      </w:r>
      <w:r w:rsidRPr="00163795">
        <w:t xml:space="preserve"> </w:t>
      </w:r>
      <w:r w:rsidRPr="00163795">
        <w:fldChar w:fldCharType="begin" w:fldLock="1"/>
      </w:r>
      <w:r>
        <w:instrText>ADDIN CSL_CITATION { "citationItems" : [ { "id" : "ITEM-1", "itemData" : { "ISBN" : "9789186107536", "abstract" : "Controversies about the inclusion of the investment-state dispute settlement (ISDS) mechanism have been dominating the debate surrounding the ongoing negotiations of the Transatlantic Trade and Investment Partnership (TTIP) agreement in many EU countries. The level of social anxiety and the amount of heated political discussion about the instrument may seem somewhat surprising knowing that since the 1960s the EU Member States have concluded more than 1400 investment protection treaties, and by the 1990s ISDS had developed into a standard provision in such agreements. Breaking away from the polarization of the ongoing debate about the ISDS, which limits the choice to either having or not having it included in the treaty, this report is attempting to address the issue from a legal rather than political perspective and show alternative solutions. The report investigates the systemic challenges of inclusion of ISDS provisions in the TTIP, and their compatibility with the principle of autonomy in the EU legal order. The author argues that the risk of incompatibility of the ISDS framework can be alleviated by innovative drafting of the relevant provisions and thereby address the many democratic concerns underlying public criticism of ISDS.", "author" : [ { "dropping-particle" : "", "family" : "Lenk", "given" : "Hannes", "non-dropping-particle" : "", "parse-names" : false, "suffix" : "" } ], "id" : "ITEM-1", "issued" : { "date-parts" : [ [ "2015" ] ] }, "note" : "\"ISDS provisions should not be treated as standard clauses of modern investment treaties in the first place; rather, their inclusion constitutes a conscious policy choice that should be assessed on a case-by-case basis and in the circumstances of the individual agreement\" p. 25", "number-of-pages" : "88", "publisher-place" : "Stockholm", "title" : "Investor-state arbitration under TTIP: Resolving investment disputes in an (autonomous) EU legal order", "type" : "report" }, "uris" : [ "http://www.mendeley.com/documents/?uuid=99d7d928-fb33-4d74-88ee-a2d7881dcd87" ] } ], "mendeley" : { "formattedCitation" : "(Lenk 2015)", "manualFormatting" : "H Lenk 'Investor-state arbitration under TTIP: resolving investment disputes in an (autonomous) EU legal order' (June 2015) 2 Sieps,", "plainTextFormattedCitation" : "(Lenk 2015)", "previouslyFormattedCitation" : "(Lenk 2015)" }, "properties" : { "noteIndex" : 0 }, "schema" : "https://github.com/citation-style-language/schema/raw/master/csl-citation.json" }</w:instrText>
      </w:r>
      <w:r w:rsidRPr="00163795">
        <w:rPr>
          <w:lang w:val="nl-NL"/>
        </w:rPr>
        <w:fldChar w:fldCharType="separate"/>
      </w:r>
      <w:r w:rsidRPr="00163795">
        <w:rPr>
          <w:noProof/>
        </w:rPr>
        <w:t xml:space="preserve">H Lenk 'Investor-state arbitration under TTIP: resolving investment disputes in an (autonomous) EU legal order' (June 2015) 2 </w:t>
      </w:r>
      <w:r w:rsidRPr="00163795">
        <w:rPr>
          <w:i/>
          <w:iCs/>
          <w:noProof/>
        </w:rPr>
        <w:t>Sieps</w:t>
      </w:r>
      <w:r w:rsidRPr="00163795">
        <w:rPr>
          <w:noProof/>
        </w:rPr>
        <w:t>,</w:t>
      </w:r>
      <w:r w:rsidRPr="00163795">
        <w:fldChar w:fldCharType="end"/>
      </w:r>
      <w:r w:rsidRPr="00163795">
        <w:t xml:space="preserve"> 20,</w:t>
      </w:r>
      <w:r w:rsidRPr="00163795">
        <w:rPr>
          <w:rFonts w:eastAsia="Calibri,Times New Roman" w:cs="Calibri,Times New Roman"/>
          <w:noProof/>
        </w:rPr>
        <w:t xml:space="preserve"> &lt;www.sieps.se/sites/default/files/Sieps 2015_2 web.pdf&gt;</w:t>
      </w:r>
      <w:r w:rsidRPr="00163795">
        <w:t>.</w:t>
      </w:r>
    </w:p>
  </w:footnote>
  <w:footnote w:id="25">
    <w:p w14:paraId="0B723993" w14:textId="0BB469B2" w:rsidR="00526CCE" w:rsidRPr="00E07780" w:rsidRDefault="00526CCE" w:rsidP="006C279A">
      <w:pPr>
        <w:spacing w:after="0" w:line="240" w:lineRule="auto"/>
        <w:jc w:val="both"/>
        <w:rPr>
          <w:sz w:val="20"/>
          <w:szCs w:val="20"/>
          <w:lang w:val="fr-FR"/>
        </w:rPr>
      </w:pPr>
      <w:r w:rsidRPr="00163795">
        <w:rPr>
          <w:rStyle w:val="Voetnootmarkering"/>
          <w:sz w:val="20"/>
          <w:szCs w:val="20"/>
        </w:rPr>
        <w:footnoteRef/>
      </w:r>
      <w:r w:rsidRPr="00163795">
        <w:rPr>
          <w:sz w:val="20"/>
          <w:szCs w:val="20"/>
        </w:rPr>
        <w:t xml:space="preserve"> </w:t>
      </w:r>
      <w:r>
        <w:rPr>
          <w:sz w:val="20"/>
          <w:szCs w:val="20"/>
        </w:rPr>
        <w:t>Notably</w:t>
      </w:r>
      <w:r w:rsidRPr="00B763F1">
        <w:rPr>
          <w:sz w:val="20"/>
          <w:szCs w:val="20"/>
        </w:rPr>
        <w:t xml:space="preserve"> Bolivia, Ecuador, South Africa, Indonesia and India</w:t>
      </w:r>
      <w:r>
        <w:rPr>
          <w:sz w:val="20"/>
          <w:szCs w:val="20"/>
        </w:rPr>
        <w:t>. See</w:t>
      </w:r>
      <w:r w:rsidRPr="00B763F1">
        <w:rPr>
          <w:sz w:val="20"/>
          <w:szCs w:val="20"/>
        </w:rPr>
        <w:t xml:space="preserve"> </w:t>
      </w:r>
      <w:r w:rsidRPr="00163795">
        <w:rPr>
          <w:sz w:val="20"/>
          <w:szCs w:val="20"/>
        </w:rPr>
        <w:t xml:space="preserve">R Abbott et. al., ‘Demystifying Investor-State Dispute Settlement (ISDS)’ (2014) </w:t>
      </w:r>
      <w:r w:rsidRPr="00163795">
        <w:rPr>
          <w:i/>
          <w:iCs/>
          <w:sz w:val="20"/>
          <w:szCs w:val="20"/>
        </w:rPr>
        <w:t>ECIPE Occasional Paper 5</w:t>
      </w:r>
      <w:r w:rsidRPr="00163795">
        <w:rPr>
          <w:sz w:val="20"/>
          <w:szCs w:val="20"/>
        </w:rPr>
        <w:t xml:space="preserve">, </w:t>
      </w:r>
      <w:r w:rsidRPr="00163795">
        <w:rPr>
          <w:sz w:val="20"/>
          <w:szCs w:val="20"/>
        </w:rPr>
        <w:fldChar w:fldCharType="begin" w:fldLock="1"/>
      </w:r>
      <w:r w:rsidRPr="00163795">
        <w:rPr>
          <w:sz w:val="20"/>
          <w:szCs w:val="20"/>
        </w:rPr>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sz w:val="20"/>
          <w:szCs w:val="20"/>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w:instrText>
      </w:r>
      <w:r w:rsidRPr="00B75584">
        <w:rPr>
          <w:sz w:val="20"/>
          <w:szCs w:val="20"/>
          <w:lang w:val="fr-FR"/>
        </w:rPr>
        <w:instrText>ex" :</w:instrText>
      </w:r>
      <w:r w:rsidRPr="000F3F1A">
        <w:rPr>
          <w:sz w:val="20"/>
          <w:szCs w:val="20"/>
          <w:lang w:val="fr-FR"/>
        </w:rPr>
        <w:instrText xml:space="preserve"> 0 }, "schema" : "https://github.com/citation-style-language</w:instrText>
      </w:r>
      <w:r w:rsidRPr="00E07780">
        <w:rPr>
          <w:sz w:val="20"/>
          <w:szCs w:val="20"/>
          <w:lang w:val="fr-FR"/>
        </w:rPr>
        <w:instrText>/schema/raw/master/csl-citation.json" }</w:instrText>
      </w:r>
      <w:r w:rsidRPr="00163795">
        <w:rPr>
          <w:sz w:val="20"/>
          <w:szCs w:val="20"/>
        </w:rPr>
        <w:fldChar w:fldCharType="end"/>
      </w:r>
      <w:r w:rsidRPr="00C2102C">
        <w:rPr>
          <w:sz w:val="20"/>
          <w:szCs w:val="20"/>
          <w:lang w:val="fr-FR"/>
        </w:rPr>
        <w:t>(Abbott et al. 2014)</w:t>
      </w:r>
      <w:r w:rsidRPr="00E07780">
        <w:rPr>
          <w:sz w:val="20"/>
          <w:szCs w:val="20"/>
          <w:lang w:val="fr-FR"/>
        </w:rPr>
        <w:t>(Abbott et al. 2014)</w:t>
      </w:r>
      <w:r w:rsidRPr="00E07780">
        <w:rPr>
          <w:rFonts w:eastAsia="Calibri,Times New Roman" w:cs="Calibri,Times New Roman"/>
          <w:noProof/>
          <w:sz w:val="20"/>
          <w:szCs w:val="20"/>
          <w:lang w:val="fr-FR"/>
        </w:rPr>
        <w:t>&lt;ecipe.org/publications/isds/&gt;.</w:t>
      </w:r>
      <w:r w:rsidRPr="00E07780">
        <w:rPr>
          <w:rFonts w:cs="Times New Roman"/>
          <w:noProof/>
          <w:sz w:val="20"/>
          <w:szCs w:val="20"/>
          <w:lang w:val="fr-FR"/>
        </w:rPr>
        <w:t>&lt;ecipe.org/publications/isds/&gt;.</w:t>
      </w:r>
    </w:p>
  </w:footnote>
  <w:footnote w:id="26">
    <w:p w14:paraId="6C42D847" w14:textId="77777777" w:rsidR="00526CCE" w:rsidRPr="00163795" w:rsidRDefault="00526CCE" w:rsidP="006C279A">
      <w:pPr>
        <w:pStyle w:val="Voetnoottekst"/>
        <w:jc w:val="both"/>
        <w:rPr>
          <w:lang w:val="en-US"/>
        </w:rPr>
      </w:pPr>
      <w:r w:rsidRPr="00163795">
        <w:rPr>
          <w:rStyle w:val="Voetnootmarkering"/>
        </w:rPr>
        <w:footnoteRef/>
      </w:r>
      <w:r w:rsidRPr="00163795">
        <w:t xml:space="preserve"> Such as the China-Australia Free Trade Agreement, Ch 9 section B.</w:t>
      </w:r>
    </w:p>
  </w:footnote>
  <w:footnote w:id="27">
    <w:p w14:paraId="34898CB5" w14:textId="77777777" w:rsidR="00526CCE" w:rsidRPr="00163795" w:rsidRDefault="00526CCE" w:rsidP="000D151E">
      <w:pPr>
        <w:pStyle w:val="Voetnoottekst"/>
        <w:jc w:val="both"/>
      </w:pPr>
      <w:r w:rsidRPr="00163795">
        <w:rPr>
          <w:rStyle w:val="Voetnootmarkering"/>
        </w:rPr>
        <w:footnoteRef/>
      </w:r>
      <w:r w:rsidRPr="00163795">
        <w:t xml:space="preserve"> Arbitrations can be kept confidential under certain circumstances, hence the actual number of disputes is likely to be higher.</w:t>
      </w:r>
    </w:p>
  </w:footnote>
  <w:footnote w:id="28">
    <w:p w14:paraId="6A23EA12" w14:textId="1337FEA0" w:rsidR="00526CCE" w:rsidRPr="00C51EBB" w:rsidRDefault="00526CCE">
      <w:pPr>
        <w:pStyle w:val="Voetnoottekst"/>
        <w:rPr>
          <w:lang w:val="en-US"/>
        </w:rPr>
      </w:pPr>
      <w:r>
        <w:rPr>
          <w:rStyle w:val="Voetnootmarkering"/>
        </w:rPr>
        <w:footnoteRef/>
      </w:r>
      <w:r w:rsidRPr="00C51EBB">
        <w:rPr>
          <w:lang w:val="en-US"/>
        </w:rPr>
        <w:t xml:space="preserve"> Sources: &lt;ec.europa.eu/trade/policy/countries-and-</w:t>
      </w:r>
      <w:r>
        <w:rPr>
          <w:lang w:val="en-US"/>
        </w:rPr>
        <w:t>regions/countries/united-states&gt; and &lt;</w:t>
      </w:r>
      <w:r w:rsidRPr="00C51EBB">
        <w:rPr>
          <w:lang w:val="en-US"/>
        </w:rPr>
        <w:t>ec.europa.eu/trade/policy/countri</w:t>
      </w:r>
      <w:r>
        <w:rPr>
          <w:lang w:val="en-US"/>
        </w:rPr>
        <w:t xml:space="preserve">es-and-regions/countries/canada&gt; , data on 2014; accessed 1 Oct. 2016.  </w:t>
      </w:r>
    </w:p>
  </w:footnote>
  <w:footnote w:id="29">
    <w:p w14:paraId="066610FC" w14:textId="45A2828C" w:rsidR="00526CCE" w:rsidRPr="00163795" w:rsidRDefault="00526CCE" w:rsidP="006C279A">
      <w:pPr>
        <w:pStyle w:val="Voetnoottekst"/>
        <w:jc w:val="both"/>
      </w:pPr>
      <w:r w:rsidRPr="00163795">
        <w:rPr>
          <w:rStyle w:val="Voetnootmarkering"/>
        </w:rPr>
        <w:footnoteRef/>
      </w:r>
      <w:r w:rsidRPr="00163795">
        <w:t xml:space="preserve"> Notably Bulgaria, Italy and Spain. In 2013, that percentage was lower, namely some 25%, and concerned Spain and the Czech Republic.</w:t>
      </w:r>
    </w:p>
  </w:footnote>
  <w:footnote w:id="30">
    <w:p w14:paraId="5BBAD29E" w14:textId="638F4B94" w:rsidR="00526CCE" w:rsidRPr="00163795" w:rsidRDefault="00526CCE" w:rsidP="006C279A">
      <w:pPr>
        <w:pStyle w:val="Voetnoottekst"/>
        <w:jc w:val="both"/>
      </w:pPr>
      <w:r w:rsidRPr="00163795">
        <w:rPr>
          <w:rStyle w:val="Voetnootmarkering"/>
        </w:rPr>
        <w:footnoteRef/>
      </w:r>
      <w:r w:rsidRPr="00163795">
        <w:t xml:space="preserve"> </w:t>
      </w:r>
      <w:r w:rsidRPr="00163795">
        <w:rPr>
          <w:i/>
          <w:iCs/>
        </w:rPr>
        <w:t>Transcanada</w:t>
      </w:r>
      <w:r w:rsidRPr="00163795">
        <w:t xml:space="preserve"> v </w:t>
      </w:r>
      <w:r w:rsidRPr="00163795">
        <w:rPr>
          <w:i/>
          <w:iCs/>
        </w:rPr>
        <w:t>USA.</w:t>
      </w:r>
      <w:r w:rsidRPr="00163795">
        <w:t xml:space="preserve"> Canadian companies complain about U.S. authorities not granting them a permit to construct the Keystone XL Pipeline from Canada to the U.S.A. that would transport tar sands oil. According to the investors, this amounts to a violation of several NAFTA provisions, notably those on non-discrimination, and they demand US$ 15 billion in damages. The U.S.A. decided not to grant the permit because of climate policy reasons. While some say there would be no significant effect, others claim the pipeline could lead to 935 million ton extra CO2 emissions over the coming 5 decades.  See</w:t>
      </w:r>
      <w:r>
        <w:t xml:space="preserve"> &lt;</w:t>
      </w:r>
      <w:hyperlink r:id="rId12" w:history="1">
        <w:r w:rsidRPr="00163795">
          <w:rPr>
            <w:rStyle w:val="Hyperlink"/>
          </w:rPr>
          <w:t>www.keystone-xl.com/wp-content/uploads/2016/01/TransCanada-Notice-of-Intent-January-6-2016.pdf</w:t>
        </w:r>
      </w:hyperlink>
      <w:r w:rsidRPr="00163795">
        <w:t>&gt;</w:t>
      </w:r>
      <w:r>
        <w:t xml:space="preserve">, </w:t>
      </w:r>
      <w:r w:rsidRPr="003606D1">
        <w:t xml:space="preserve">www.italaw.com/sites/default/files/case-documents/italaw7407.pdf </w:t>
      </w:r>
      <w:r>
        <w:t xml:space="preserve">and </w:t>
      </w:r>
      <w:r w:rsidRPr="00163795">
        <w:t>D Biello, ‘How much will tar sands oil add to global warming’, Scientific American 23 January 2013, &lt;www.scientificamerican.com/article/tar-sands-and-keystone-xl-pipeline-impact-on-global-warming&gt;.</w:t>
      </w:r>
    </w:p>
  </w:footnote>
  <w:footnote w:id="31">
    <w:p w14:paraId="73C17623" w14:textId="7996854B" w:rsidR="00526CCE" w:rsidRPr="00163795" w:rsidRDefault="00526CCE" w:rsidP="006C279A">
      <w:pPr>
        <w:pStyle w:val="Voetnoottekst"/>
        <w:jc w:val="both"/>
      </w:pPr>
      <w:r w:rsidRPr="00163795">
        <w:rPr>
          <w:rStyle w:val="Voetnootmarkering"/>
        </w:rPr>
        <w:footnoteRef/>
      </w:r>
      <w:r w:rsidRPr="00163795">
        <w:t xml:space="preserve"> </w:t>
      </w:r>
      <w:r w:rsidRPr="00163795">
        <w:rPr>
          <w:i/>
        </w:rPr>
        <w:t xml:space="preserve">Gabriel Resources Ltd. and Gabriel Resources (Jersey) </w:t>
      </w:r>
      <w:r w:rsidRPr="00163795">
        <w:t xml:space="preserve">v. </w:t>
      </w:r>
      <w:r w:rsidRPr="00163795">
        <w:rPr>
          <w:i/>
        </w:rPr>
        <w:t>Romania</w:t>
      </w:r>
      <w:r w:rsidRPr="00163795">
        <w:t xml:space="preserve"> (ICSID Case No. ARB/15/31). The Canadian gold exploration companies filed an ICSID claim against Romania in 2015. The investor was granted a licence to develop a mine in 1997, but subsequently failed to receive an approval of the environmental impact assessment and to obtain the environmental permit required to start exploitation of the project. The mine was to use cyanide to extract gold, causing wide opposition in the country that had witnessed the disastrous effects of the Baia Mare cyanide spill of 2000, which also affected Hungary and Serbia. The European Court of Human Rights later on held that the Romanian authorities’ failure to protect the applicants who lived in the vicinity of the Baia Mare gold mine violated their right to respect for private and family life (ECtHR, Application No 67021/01, </w:t>
      </w:r>
      <w:r w:rsidRPr="00CA57FC">
        <w:rPr>
          <w:i/>
        </w:rPr>
        <w:t>Tatar</w:t>
      </w:r>
      <w:r w:rsidRPr="00163795">
        <w:t xml:space="preserve"> v. </w:t>
      </w:r>
      <w:r w:rsidRPr="00CA57FC">
        <w:rPr>
          <w:i/>
        </w:rPr>
        <w:t>Romania</w:t>
      </w:r>
      <w:r w:rsidRPr="00163795">
        <w:t>, 27 January 2009).</w:t>
      </w:r>
    </w:p>
  </w:footnote>
  <w:footnote w:id="32">
    <w:p w14:paraId="4E6A4918" w14:textId="695262DE" w:rsidR="00526CCE" w:rsidRPr="00C11550" w:rsidRDefault="00526CCE">
      <w:pPr>
        <w:pStyle w:val="Voetnoottekst"/>
        <w:rPr>
          <w:lang w:val="en-US"/>
        </w:rPr>
      </w:pPr>
      <w:r>
        <w:rPr>
          <w:rStyle w:val="Voetnootmarkering"/>
        </w:rPr>
        <w:footnoteRef/>
      </w:r>
      <w:r w:rsidRPr="00C11550">
        <w:rPr>
          <w:lang w:val="en-US"/>
        </w:rPr>
        <w:t xml:space="preserve"> </w:t>
      </w:r>
      <w:r>
        <w:rPr>
          <w:lang w:val="en-US"/>
        </w:rPr>
        <w:t xml:space="preserve">ICSID Case nr. ARB/09/12, </w:t>
      </w:r>
      <w:r w:rsidRPr="00C11550">
        <w:rPr>
          <w:i/>
          <w:lang w:val="en-US"/>
        </w:rPr>
        <w:t>Pac Rim Cayman LLC</w:t>
      </w:r>
      <w:r w:rsidRPr="00C11550">
        <w:rPr>
          <w:lang w:val="en-US"/>
        </w:rPr>
        <w:t xml:space="preserve"> v </w:t>
      </w:r>
      <w:r w:rsidRPr="00C11550">
        <w:rPr>
          <w:i/>
          <w:lang w:val="en-US"/>
        </w:rPr>
        <w:t>El Salvador</w:t>
      </w:r>
      <w:r w:rsidRPr="00C11550">
        <w:rPr>
          <w:lang w:val="en-US"/>
        </w:rPr>
        <w:t>, award in favour of state iss</w:t>
      </w:r>
      <w:r>
        <w:rPr>
          <w:lang w:val="en-US"/>
        </w:rPr>
        <w:t>u</w:t>
      </w:r>
      <w:r w:rsidRPr="00C11550">
        <w:rPr>
          <w:lang w:val="en-US"/>
        </w:rPr>
        <w:t xml:space="preserve">ed </w:t>
      </w:r>
      <w:r>
        <w:rPr>
          <w:lang w:val="en-US"/>
        </w:rPr>
        <w:t>14 October 2016, see &lt;</w:t>
      </w:r>
      <w:r w:rsidRPr="00C11550">
        <w:rPr>
          <w:lang w:val="en-US"/>
        </w:rPr>
        <w:t>www.ciel.org/wp-content/uploads/2016/10/PacRimVElSal-award.pdf</w:t>
      </w:r>
      <w:r>
        <w:rPr>
          <w:lang w:val="en-US"/>
        </w:rPr>
        <w:t>&gt;.</w:t>
      </w:r>
    </w:p>
  </w:footnote>
  <w:footnote w:id="33">
    <w:p w14:paraId="072076F2" w14:textId="26BC9345" w:rsidR="00526CCE" w:rsidRPr="00A50487" w:rsidRDefault="00526CCE" w:rsidP="006C279A">
      <w:pPr>
        <w:pStyle w:val="Voetnoottekst"/>
        <w:jc w:val="both"/>
        <w:rPr>
          <w:lang w:val="en-US"/>
        </w:rPr>
      </w:pPr>
      <w:r>
        <w:rPr>
          <w:rStyle w:val="Voetnootmarkering"/>
        </w:rPr>
        <w:footnoteRef/>
      </w:r>
      <w:r>
        <w:t xml:space="preserve"> </w:t>
      </w:r>
      <w:r w:rsidRPr="00A50487">
        <w:t xml:space="preserve">PCA Case No. 2009-04 </w:t>
      </w:r>
      <w:r w:rsidRPr="00A50487">
        <w:rPr>
          <w:i/>
        </w:rPr>
        <w:t>William Ralph Clayton, William Richard Clayton, Douglas Clayton, Daniel Clayton and Bilcon of Delaware Inc.</w:t>
      </w:r>
      <w:r>
        <w:t xml:space="preserve"> v</w:t>
      </w:r>
      <w:r w:rsidRPr="00A50487">
        <w:t xml:space="preserve"> </w:t>
      </w:r>
      <w:r w:rsidRPr="00A50487">
        <w:rPr>
          <w:i/>
        </w:rPr>
        <w:t>Canada</w:t>
      </w:r>
      <w:r w:rsidRPr="00A50487">
        <w:t xml:space="preserve"> </w:t>
      </w:r>
      <w:r>
        <w:t xml:space="preserve">, </w:t>
      </w:r>
      <w:r w:rsidRPr="00A50487">
        <w:t>&lt;www.italaw.com/cases/1588&gt;.</w:t>
      </w:r>
    </w:p>
  </w:footnote>
  <w:footnote w:id="34">
    <w:p w14:paraId="7151B7BB" w14:textId="66D44678" w:rsidR="00526CCE" w:rsidRPr="00B2229D" w:rsidRDefault="00526CCE" w:rsidP="006C279A">
      <w:pPr>
        <w:pStyle w:val="Voetnoottekst"/>
        <w:jc w:val="both"/>
        <w:rPr>
          <w:u w:val="single"/>
        </w:rPr>
      </w:pPr>
      <w:r>
        <w:rPr>
          <w:rStyle w:val="Voetnootmarkering"/>
        </w:rPr>
        <w:footnoteRef/>
      </w:r>
      <w:r>
        <w:t xml:space="preserve"> </w:t>
      </w:r>
      <w:r w:rsidRPr="00163795">
        <w:t xml:space="preserve">Case No. ARB (AF)/97/1 </w:t>
      </w:r>
      <w:r w:rsidRPr="00163795">
        <w:rPr>
          <w:i/>
          <w:iCs/>
        </w:rPr>
        <w:t>Metalclad Corporation</w:t>
      </w:r>
      <w:r w:rsidRPr="00163795">
        <w:t xml:space="preserve"> v. </w:t>
      </w:r>
      <w:r w:rsidRPr="00163795">
        <w:rPr>
          <w:i/>
          <w:iCs/>
        </w:rPr>
        <w:t>United Mexican States</w:t>
      </w:r>
      <w:r>
        <w:t xml:space="preserve">. See fn. </w:t>
      </w:r>
      <w:r>
        <w:fldChar w:fldCharType="begin"/>
      </w:r>
      <w:r>
        <w:instrText xml:space="preserve"> NOTEREF _Ref462696738 \h  \* MERGEFORMAT </w:instrText>
      </w:r>
      <w:r>
        <w:fldChar w:fldCharType="separate"/>
      </w:r>
      <w:r>
        <w:t>70</w:t>
      </w:r>
      <w:r>
        <w:fldChar w:fldCharType="end"/>
      </w:r>
      <w:r>
        <w:t xml:space="preserve"> below.</w:t>
      </w:r>
    </w:p>
  </w:footnote>
  <w:footnote w:id="35">
    <w:p w14:paraId="33A34216" w14:textId="377C69D7" w:rsidR="00526CCE" w:rsidRPr="00163795" w:rsidRDefault="00526CCE" w:rsidP="006C279A">
      <w:pPr>
        <w:pStyle w:val="Voetnoottekst"/>
        <w:jc w:val="both"/>
      </w:pPr>
      <w:r w:rsidRPr="00163795">
        <w:rPr>
          <w:rStyle w:val="Voetnootmarkering"/>
        </w:rPr>
        <w:footnoteRef/>
      </w:r>
      <w:r w:rsidRPr="007C5D4E">
        <w:t xml:space="preserve"> </w:t>
      </w:r>
      <w:r w:rsidRPr="007C5D4E">
        <w:rPr>
          <w:i/>
        </w:rPr>
        <w:t>Vattenfall</w:t>
      </w:r>
      <w:r w:rsidRPr="007C5D4E">
        <w:t xml:space="preserve"> v </w:t>
      </w:r>
      <w:r w:rsidRPr="007C5D4E">
        <w:rPr>
          <w:i/>
        </w:rPr>
        <w:t xml:space="preserve">Germany </w:t>
      </w:r>
      <w:r w:rsidRPr="007C5D4E">
        <w:t xml:space="preserve">I, ARB/09/6. </w:t>
      </w:r>
      <w:r w:rsidRPr="00163795">
        <w:t>Germany had imposed conditions in the water permit regarding the impact of the coal-fired power plant on the water of the river Elbe, which according to the investor were so strict that the whole project became ‘unviable’ in violation of the ECT rules on protection of investments, and probably claimed compensation, the amount of which remains unknown as the arbitration was kept confidential, but is rumoured to be 1.4 billion Euro. A settlement was reached under which Germany lowered its conditions. See N Bernasconi, ‘Background paper on Vattenfall v. Germany arbitration’, (2009) IISD &lt;www. iisd.org/pdf/2009/background_vattenfall_vs_germany.pdf&gt; and Investment Arbitration Public Policy, ‘</w:t>
      </w:r>
      <w:r w:rsidRPr="00163795">
        <w:rPr>
          <w:i/>
        </w:rPr>
        <w:t>Vattenfall</w:t>
      </w:r>
      <w:r w:rsidRPr="00163795">
        <w:t xml:space="preserve"> v </w:t>
      </w:r>
      <w:r w:rsidRPr="00163795">
        <w:rPr>
          <w:i/>
        </w:rPr>
        <w:t>Germany</w:t>
      </w:r>
      <w:r w:rsidRPr="00163795">
        <w:t xml:space="preserve"> (Energy Charter Treaty)’, &lt;iiapp.org/media/uploads/vattenfall_v_germany.rev2.pdf&gt;.</w:t>
      </w:r>
    </w:p>
  </w:footnote>
  <w:footnote w:id="36">
    <w:p w14:paraId="47BC80A3" w14:textId="5556B644" w:rsidR="00526CCE" w:rsidRPr="00163795" w:rsidRDefault="00526CCE" w:rsidP="006C279A">
      <w:pPr>
        <w:pStyle w:val="Voetnoottekst"/>
        <w:jc w:val="both"/>
      </w:pPr>
      <w:r w:rsidRPr="00163795">
        <w:rPr>
          <w:rStyle w:val="Voetnootmarkering"/>
        </w:rPr>
        <w:footnoteRef/>
      </w:r>
      <w:r w:rsidRPr="00163795">
        <w:t xml:space="preserve"> In the </w:t>
      </w:r>
      <w:r w:rsidRPr="00163795">
        <w:rPr>
          <w:i/>
          <w:iCs/>
        </w:rPr>
        <w:t xml:space="preserve">Lone Pine Resources Inc. </w:t>
      </w:r>
      <w:r w:rsidRPr="00163795">
        <w:rPr>
          <w:iCs/>
        </w:rPr>
        <w:t>v</w:t>
      </w:r>
      <w:r w:rsidRPr="00163795">
        <w:rPr>
          <w:i/>
          <w:iCs/>
        </w:rPr>
        <w:t xml:space="preserve"> Canada</w:t>
      </w:r>
      <w:r w:rsidRPr="00163795">
        <w:t xml:space="preserve"> case (ICSID Case No. UNCT/15/2), the Government of Quebec’s ‘arbitrary, capricious, and illegal revocation of the Enterprise’s valuable right to mine for oil and gas under the St. Lawrence River’ forms a violation of NAFTA according to the investor, notably because Quebec decided to a impose a moratorium on the drilling for shale gas on its territory, “without due process, without compensation, and with no cognizable public purpose” and in violation of the obligation to ensure “fair and equitable treatment”. Lone Pine claims compensation for damages of up to 250 million US$. See &lt;www.italaw.com/sites/default/files/case-documents/italaw1596.pdf&gt;. </w:t>
      </w:r>
    </w:p>
  </w:footnote>
  <w:footnote w:id="37">
    <w:p w14:paraId="41C36A8D" w14:textId="78A04AF6" w:rsidR="00526CCE" w:rsidRPr="0034458C" w:rsidRDefault="00526CCE" w:rsidP="006C279A">
      <w:pPr>
        <w:pStyle w:val="Voetnoottekst"/>
        <w:jc w:val="both"/>
      </w:pPr>
      <w:r>
        <w:rPr>
          <w:rStyle w:val="Voetnootmarkering"/>
        </w:rPr>
        <w:footnoteRef/>
      </w:r>
      <w:r w:rsidRPr="00E07780">
        <w:rPr>
          <w:lang w:val="es-PE"/>
        </w:rPr>
        <w:t xml:space="preserve"> </w:t>
      </w:r>
      <w:r w:rsidRPr="00E07780">
        <w:rPr>
          <w:i/>
          <w:lang w:val="es-PE"/>
        </w:rPr>
        <w:t>Occidental</w:t>
      </w:r>
      <w:r w:rsidRPr="00E07780">
        <w:rPr>
          <w:lang w:val="es-PE"/>
        </w:rPr>
        <w:t xml:space="preserve"> v </w:t>
      </w:r>
      <w:r w:rsidRPr="00E07780">
        <w:rPr>
          <w:i/>
          <w:lang w:val="es-PE"/>
        </w:rPr>
        <w:t>Ecuador</w:t>
      </w:r>
      <w:r w:rsidRPr="00E07780">
        <w:rPr>
          <w:lang w:val="es-PE"/>
        </w:rPr>
        <w:t xml:space="preserve"> (ICSID Case No. </w:t>
      </w:r>
      <w:r w:rsidRPr="0034458C">
        <w:t>ARB/06/11</w:t>
      </w:r>
      <w:r>
        <w:t xml:space="preserve">. Also see fn. </w:t>
      </w:r>
      <w:r>
        <w:fldChar w:fldCharType="begin"/>
      </w:r>
      <w:r>
        <w:instrText xml:space="preserve"> NOTEREF _Ref462696914 \h  \* MERGEFORMAT </w:instrText>
      </w:r>
      <w:r>
        <w:fldChar w:fldCharType="separate"/>
      </w:r>
      <w:r>
        <w:t>31</w:t>
      </w:r>
      <w:r>
        <w:fldChar w:fldCharType="end"/>
      </w:r>
      <w:r>
        <w:t xml:space="preserve"> below.</w:t>
      </w:r>
    </w:p>
  </w:footnote>
  <w:footnote w:id="38">
    <w:p w14:paraId="6FD8B007" w14:textId="2D8FDBC6" w:rsidR="00526CCE" w:rsidRPr="00163795" w:rsidRDefault="00526CCE" w:rsidP="006C279A">
      <w:pPr>
        <w:pStyle w:val="Voetnoottekst"/>
        <w:jc w:val="both"/>
      </w:pPr>
      <w:r w:rsidRPr="00163795">
        <w:rPr>
          <w:rStyle w:val="Voetnootmarkering"/>
        </w:rPr>
        <w:footnoteRef/>
      </w:r>
      <w:r w:rsidRPr="00163795">
        <w:t xml:space="preserve"> </w:t>
      </w:r>
      <w:r w:rsidRPr="00163795">
        <w:rPr>
          <w:i/>
          <w:iCs/>
        </w:rPr>
        <w:t>Philip Morris Asia</w:t>
      </w:r>
      <w:r w:rsidRPr="00163795">
        <w:t xml:space="preserve"> v </w:t>
      </w:r>
      <w:r w:rsidRPr="00163795">
        <w:rPr>
          <w:i/>
          <w:iCs/>
        </w:rPr>
        <w:t>Australia</w:t>
      </w:r>
      <w:r w:rsidRPr="00163795">
        <w:t xml:space="preserve">, PCA Case No. 2012-12, Award on jurisdiction and admissibility 17 December 2015, &lt;https://www.pcacases.com/web/sendAttach/1711&gt;. </w:t>
      </w:r>
      <w:r w:rsidRPr="00163795">
        <w:rPr>
          <w:rFonts w:eastAsia="Georgia" w:cs="Georgia"/>
        </w:rPr>
        <w:t xml:space="preserve">Philip Morris </w:t>
      </w:r>
      <w:r>
        <w:rPr>
          <w:rFonts w:eastAsia="Georgia" w:cs="Georgia"/>
        </w:rPr>
        <w:t xml:space="preserve">had claimed </w:t>
      </w:r>
      <w:r w:rsidRPr="00163795">
        <w:rPr>
          <w:rFonts w:eastAsia="Georgia" w:cs="Georgia"/>
        </w:rPr>
        <w:t xml:space="preserve">the measure constitutes an expropriation of its Australian investments in violation of the ‘1993 Agreement between the Government of Australia and the Government of Hong Kong for the Promotion and Protection of Investments’ (1993) 30 </w:t>
      </w:r>
      <w:r w:rsidRPr="00163795">
        <w:rPr>
          <w:rFonts w:eastAsia="Georgia" w:cs="Georgia"/>
          <w:i/>
          <w:iCs/>
        </w:rPr>
        <w:t>Australian Treaty Series</w:t>
      </w:r>
      <w:r w:rsidRPr="00163795">
        <w:rPr>
          <w:rFonts w:eastAsia="Georgia" w:cs="Georgia"/>
        </w:rPr>
        <w:t xml:space="preserve"> &lt; www.austlii.edu.au/au/other/dfat/treaties/1993/30.html&gt;, that it forms an unreasonable and discriminatory measure, and that investments have been deprived of full</w:t>
      </w:r>
      <w:r w:rsidRPr="00FC65F2">
        <w:rPr>
          <w:rFonts w:eastAsia="Georgia" w:cs="Georgia"/>
        </w:rPr>
        <w:t xml:space="preserve"> </w:t>
      </w:r>
      <w:r>
        <w:rPr>
          <w:rFonts w:eastAsia="Georgia" w:cs="Georgia"/>
        </w:rPr>
        <w:t xml:space="preserve">protection and security. </w:t>
      </w:r>
      <w:r w:rsidRPr="00163795">
        <w:t xml:space="preserve">The arbitral tribunal declined jurisdiction to hear the case, because the company restructured to Hong Kong in order to benefit from the BIT this country had in place with Australia at a moment in time when the dispute was already foreseeable. This constitutes an abuse of right, or abuse of process (Award, para 585). In the </w:t>
      </w:r>
      <w:r w:rsidRPr="00163795">
        <w:rPr>
          <w:i/>
        </w:rPr>
        <w:t>Philip Morris</w:t>
      </w:r>
      <w:r w:rsidRPr="00163795">
        <w:t xml:space="preserve"> v </w:t>
      </w:r>
      <w:r w:rsidRPr="00163795">
        <w:rPr>
          <w:i/>
        </w:rPr>
        <w:t>Uruguay</w:t>
      </w:r>
      <w:r w:rsidRPr="00163795">
        <w:t xml:space="preserve"> dispute (ICSID Case No. ARB/10/7), an award discussing the merits of the case was issued on 8 July 2016. The arbiters found that increasing the size of graphic health warnings on cigarette packages and the ban on marketing more than one variant of cigarette per brand family did not violate the Uruguay-Switzerland BIT, rejected all claims and ordered the investor to pay all costs of the proceeding (nearly 1.5 million US$, plus 7 million US$ to Uruguay on account of its own costs.</w:t>
      </w:r>
      <w:r>
        <w:t xml:space="preserve"> </w:t>
      </w:r>
      <w:r w:rsidR="002B35FF">
        <w:t xml:space="preserve">Yet Uruguay still is left with </w:t>
      </w:r>
      <w:r w:rsidR="00722FCB">
        <w:t xml:space="preserve">costs it had to make of several million dollars that it does not </w:t>
      </w:r>
      <w:r w:rsidR="001C70E5">
        <w:t xml:space="preserve">get back, forming a considerable burden for this </w:t>
      </w:r>
      <w:r w:rsidR="00EB587C">
        <w:t>country with a mere 3.3 million inhabitants</w:t>
      </w:r>
      <w:r w:rsidR="00B166B1">
        <w:t xml:space="preserve"> (see </w:t>
      </w:r>
      <w:hyperlink r:id="rId13" w:history="1">
        <w:r w:rsidR="00B166B1" w:rsidRPr="00B0169F">
          <w:rPr>
            <w:rStyle w:val="Hyperlink"/>
          </w:rPr>
          <w:t>https://www.theguardian.com/global-development/2016/jul/28/who-really-won-legal-battle-philip-morris-uruguay-cigarette-adverts</w:t>
        </w:r>
      </w:hyperlink>
      <w:r w:rsidR="00B166B1">
        <w:t xml:space="preserve">). </w:t>
      </w:r>
      <w:r w:rsidRPr="00163795">
        <w:t>Australia still faces challenges against plain packaging in the WTO after Ukraine, Honduras, Indonesia, Dominican Republic and Cuba argued the measure breached Australia’s WTO obligations.</w:t>
      </w:r>
    </w:p>
  </w:footnote>
  <w:footnote w:id="39">
    <w:p w14:paraId="73AD1FFD" w14:textId="4D9BA665" w:rsidR="00526CCE" w:rsidRPr="00163795" w:rsidRDefault="00526CCE" w:rsidP="006C279A">
      <w:pPr>
        <w:pStyle w:val="Voetnoottekst"/>
        <w:jc w:val="both"/>
      </w:pPr>
      <w:r w:rsidRPr="00163795">
        <w:rPr>
          <w:rStyle w:val="Voetnootmarkering"/>
        </w:rPr>
        <w:footnoteRef/>
      </w:r>
      <w:r w:rsidRPr="00163795">
        <w:t xml:space="preserve"> </w:t>
      </w:r>
      <w:r w:rsidRPr="00163795">
        <w:rPr>
          <w:i/>
        </w:rPr>
        <w:t>Vattenfall</w:t>
      </w:r>
      <w:r w:rsidRPr="00163795">
        <w:t xml:space="preserve"> v </w:t>
      </w:r>
      <w:r w:rsidRPr="00163795">
        <w:rPr>
          <w:i/>
        </w:rPr>
        <w:t>Germany</w:t>
      </w:r>
      <w:r w:rsidRPr="00163795">
        <w:t xml:space="preserve"> II, ICSID Case No. ARB/12/12</w:t>
      </w:r>
      <w:r>
        <w:t xml:space="preserve">. Germany </w:t>
      </w:r>
      <w:r w:rsidRPr="00163795">
        <w:t>amended its Atomic Energy Act for the thirteenth time (13. AtGÄndG of 31.07.2011, BGBl I S. 1704 (No. 43)). Because of this amendment, Vattenfall was forced to shut</w:t>
      </w:r>
      <w:r>
        <w:t xml:space="preserve"> down two nuclear power plants, in Brunsbüttel and Krümmel (</w:t>
      </w:r>
      <w:r w:rsidRPr="00163795">
        <w:t xml:space="preserve">the latter had not operated since 2007 due to accidents). The Swedish company issued a claim against Germany for reparation of damages that reportedly amounts to 3.7 billion Euro. See </w:t>
      </w:r>
      <w:r w:rsidRPr="00163795">
        <w:rPr>
          <w:rFonts w:eastAsia="Arial" w:cs="Arial"/>
          <w:color w:val="222222"/>
          <w:shd w:val="clear" w:color="auto" w:fill="FFFFFF"/>
        </w:rPr>
        <w:t>N Bernasconi-Osterwalder and R T Hoffmann, ‘The German nuclear phase-out put to the test in international investment arbitration? Background to the new dispute Vattenfall v. Germany (II)’ (2012)</w:t>
      </w:r>
      <w:r w:rsidRPr="00163795">
        <w:rPr>
          <w:rStyle w:val="apple-converted-space"/>
          <w:rFonts w:eastAsia="Arial" w:cs="Arial"/>
          <w:color w:val="222222"/>
          <w:shd w:val="clear" w:color="auto" w:fill="FFFFFF"/>
        </w:rPr>
        <w:t> </w:t>
      </w:r>
      <w:r w:rsidRPr="00163795">
        <w:rPr>
          <w:rFonts w:eastAsia="Arial" w:cs="Arial"/>
          <w:i/>
          <w:iCs/>
          <w:color w:val="222222"/>
          <w:shd w:val="clear" w:color="auto" w:fill="FFFFFF"/>
        </w:rPr>
        <w:t>International Institute for Sustainable Development</w:t>
      </w:r>
      <w:r w:rsidRPr="00163795">
        <w:rPr>
          <w:rFonts w:eastAsia="Arial" w:cs="Arial"/>
          <w:color w:val="222222"/>
          <w:shd w:val="clear" w:color="auto" w:fill="FFFFFF"/>
        </w:rPr>
        <w:t xml:space="preserve"> 2.</w:t>
      </w:r>
    </w:p>
  </w:footnote>
  <w:footnote w:id="40">
    <w:p w14:paraId="26F1D2CA" w14:textId="09CBA104" w:rsidR="00526CCE" w:rsidRPr="005269D4" w:rsidRDefault="00526CCE" w:rsidP="005269D4">
      <w:pPr>
        <w:pStyle w:val="Voetnoottekst"/>
      </w:pPr>
      <w:r>
        <w:rPr>
          <w:rStyle w:val="Voetnootmarkering"/>
        </w:rPr>
        <w:footnoteRef/>
      </w:r>
      <w:r>
        <w:t xml:space="preserve"> </w:t>
      </w:r>
      <w:r w:rsidRPr="00CA3DB9">
        <w:rPr>
          <w:i/>
        </w:rPr>
        <w:t>Ethyl</w:t>
      </w:r>
      <w:r>
        <w:t xml:space="preserve"> v </w:t>
      </w:r>
      <w:r w:rsidRPr="00CA3DB9">
        <w:rPr>
          <w:i/>
        </w:rPr>
        <w:t>Canada</w:t>
      </w:r>
      <w:r>
        <w:t xml:space="preserve">, NAFTA Case, 1997. The case concerned the banning of importation and interprovincial trade in MMT, because of, </w:t>
      </w:r>
      <w:r w:rsidRPr="00CA3DB9">
        <w:rPr>
          <w:i/>
        </w:rPr>
        <w:t>inter alia</w:t>
      </w:r>
      <w:r>
        <w:t>, its potential toxic effects. Ethyl demanded over 200 million USD in damages, but in a settlement it agreed to 13 mln USD, with the measure being withdrawn.</w:t>
      </w:r>
      <w:r w:rsidRPr="00F511AF">
        <w:t xml:space="preserve"> </w:t>
      </w:r>
      <w:r>
        <w:t>Source: &lt;</w:t>
      </w:r>
      <w:r w:rsidRPr="00F511AF">
        <w:t>investmentpolicyhub.unctad.org/ISDS/Details/16</w:t>
      </w:r>
      <w:r>
        <w:t xml:space="preserve">&gt;. In the EU, MMT was banned and a challenge before the EU courts remained unsuccessfull (case C-343/09, </w:t>
      </w:r>
      <w:r w:rsidRPr="005269D4">
        <w:rPr>
          <w:i/>
        </w:rPr>
        <w:t>Afton Chemical Limited</w:t>
      </w:r>
      <w:r>
        <w:t xml:space="preserve"> v </w:t>
      </w:r>
      <w:r w:rsidRPr="005269D4">
        <w:rPr>
          <w:i/>
        </w:rPr>
        <w:t>Secretary of State for Transport</w:t>
      </w:r>
      <w:r>
        <w:t>, [2010] ECR I-7027).</w:t>
      </w:r>
    </w:p>
  </w:footnote>
  <w:footnote w:id="41">
    <w:p w14:paraId="42B9F8E0" w14:textId="21CDC6AE" w:rsidR="00526CCE" w:rsidRDefault="00526CCE" w:rsidP="006C279A">
      <w:pPr>
        <w:pStyle w:val="Voetnoottekst"/>
        <w:jc w:val="both"/>
      </w:pPr>
      <w:r>
        <w:rPr>
          <w:rStyle w:val="Voetnootmarkering"/>
        </w:rPr>
        <w:footnoteRef/>
      </w:r>
      <w:r>
        <w:t xml:space="preserve"> </w:t>
      </w:r>
      <w:r w:rsidRPr="00163795">
        <w:rPr>
          <w:rFonts w:eastAsia="Georgia" w:cs="Georgia"/>
        </w:rPr>
        <w:t xml:space="preserve">It has been claimed that </w:t>
      </w:r>
      <w:r>
        <w:rPr>
          <w:rFonts w:eastAsia="Georgia" w:cs="Georgia"/>
        </w:rPr>
        <w:t>the</w:t>
      </w:r>
      <w:r w:rsidRPr="00163795">
        <w:rPr>
          <w:rFonts w:eastAsia="Georgia" w:cs="Georgia"/>
        </w:rPr>
        <w:t xml:space="preserve"> decision </w:t>
      </w:r>
      <w:r>
        <w:rPr>
          <w:rFonts w:eastAsia="Georgia" w:cs="Georgia"/>
        </w:rPr>
        <w:t xml:space="preserve">in the </w:t>
      </w:r>
      <w:r w:rsidRPr="00083877">
        <w:rPr>
          <w:rFonts w:eastAsia="Georgia" w:cs="Georgia"/>
          <w:i/>
        </w:rPr>
        <w:t>Philip Morris</w:t>
      </w:r>
      <w:r>
        <w:rPr>
          <w:rFonts w:eastAsia="Georgia" w:cs="Georgia"/>
        </w:rPr>
        <w:t xml:space="preserve"> v </w:t>
      </w:r>
      <w:r w:rsidRPr="00083877">
        <w:rPr>
          <w:rFonts w:eastAsia="Georgia" w:cs="Georgia"/>
          <w:i/>
        </w:rPr>
        <w:t>Australia</w:t>
      </w:r>
      <w:r>
        <w:rPr>
          <w:rFonts w:eastAsia="Georgia" w:cs="Georgia"/>
        </w:rPr>
        <w:t xml:space="preserve"> case (see fn 24 above) shows </w:t>
      </w:r>
      <w:r w:rsidRPr="00163795">
        <w:rPr>
          <w:rFonts w:eastAsia="Georgia" w:cs="Georgia"/>
        </w:rPr>
        <w:t>that the regulatory chill effect is a myth</w:t>
      </w:r>
      <w:r>
        <w:rPr>
          <w:rFonts w:eastAsia="Georgia" w:cs="Georgia"/>
        </w:rPr>
        <w:t>:</w:t>
      </w:r>
      <w:r w:rsidRPr="00163795">
        <w:rPr>
          <w:rFonts w:eastAsia="Georgia" w:cs="Georgia"/>
        </w:rPr>
        <w:t xml:space="preserve"> see N Lavranos, ‘After Philip Morris II: the “regulatory chill” argument failed – yet again’ (</w:t>
      </w:r>
      <w:r w:rsidRPr="00163795">
        <w:rPr>
          <w:rFonts w:eastAsia="Georgia" w:cs="Georgia"/>
          <w:i/>
          <w:iCs/>
        </w:rPr>
        <w:t>Kluwer Arbitration Blog,</w:t>
      </w:r>
      <w:r w:rsidRPr="00163795">
        <w:rPr>
          <w:rFonts w:eastAsia="Georgia" w:cs="Georgia"/>
        </w:rPr>
        <w:t xml:space="preserve"> 18 August 2016) &lt;</w:t>
      </w:r>
      <w:r w:rsidRPr="00163795">
        <w:rPr>
          <w:rFonts w:eastAsia="Calibri,Times New Roman" w:cs="Calibri,Times New Roman"/>
          <w:noProof/>
        </w:rPr>
        <w:t>kluwerarbitrationblog.com/2016/08/18/after-philipp-morris-ii-the-regulatory-chill-argument-failed-yet-again/&gt;</w:t>
      </w:r>
      <w:r w:rsidRPr="00163795">
        <w:rPr>
          <w:rFonts w:eastAsia="Georgia" w:cs="Georgia"/>
        </w:rPr>
        <w:t xml:space="preserve">. </w:t>
      </w:r>
      <w:r>
        <w:rPr>
          <w:rFonts w:eastAsia="Georgia" w:cs="Georgia"/>
        </w:rPr>
        <w:t>More convincingly, o</w:t>
      </w:r>
      <w:r w:rsidRPr="00163795">
        <w:rPr>
          <w:rFonts w:eastAsia="Georgia" w:cs="Georgia"/>
        </w:rPr>
        <w:t>thers pointed out that it is premature to claim that the regulatory chill argument failed because of this case – noting that some states that waited for the outcome of the case now might introduce Australia-</w:t>
      </w:r>
      <w:r w:rsidRPr="00087187">
        <w:rPr>
          <w:rFonts w:eastAsia="Georgia" w:cs="Georgia"/>
        </w:rPr>
        <w:t xml:space="preserve"> </w:t>
      </w:r>
      <w:r w:rsidRPr="00163795">
        <w:rPr>
          <w:rFonts w:eastAsia="Georgia" w:cs="Georgia"/>
        </w:rPr>
        <w:t>or Uruguay like tobacco regulations (reaction by L Nottage (22 August 2016), &lt;</w:t>
      </w:r>
      <w:r w:rsidRPr="00163795">
        <w:t xml:space="preserve"> </w:t>
      </w:r>
      <w:r w:rsidRPr="00163795">
        <w:rPr>
          <w:rFonts w:eastAsia="Georgia" w:cs="Georgia"/>
        </w:rPr>
        <w:t>kluwerarbitrationblog.com/2016/08/18/after-philipp-morris-ii-the-regulatory-chill-argument-failed-yet-again/#comment-21209&gt;).</w:t>
      </w:r>
      <w:r>
        <w:rPr>
          <w:rFonts w:eastAsia="Georgia" w:cs="Georgia"/>
        </w:rPr>
        <w:t xml:space="preserve"> See also I Govaere (fn above), p. 8-11.</w:t>
      </w:r>
    </w:p>
  </w:footnote>
  <w:footnote w:id="42">
    <w:p w14:paraId="0344C749" w14:textId="193B025F" w:rsidR="00526CCE" w:rsidRPr="00163795" w:rsidRDefault="00526CCE" w:rsidP="006C279A">
      <w:pPr>
        <w:pStyle w:val="Voetnoottekst"/>
        <w:jc w:val="both"/>
      </w:pPr>
      <w:r w:rsidRPr="00163795">
        <w:rPr>
          <w:rStyle w:val="Voetnootmarkering"/>
        </w:rPr>
        <w:footnoteRef/>
      </w:r>
      <w:r w:rsidRPr="00163795">
        <w:t xml:space="preserve"> </w:t>
      </w:r>
      <w:r w:rsidRPr="00163795">
        <w:rPr>
          <w:rFonts w:eastAsia="ArialMT" w:cs="ArialMT"/>
        </w:rPr>
        <w:t>The highest award in an investor-state arbitration case used to be the $2.3 billion awarded to the oil company Occidental, against the government of Ecuador</w:t>
      </w:r>
      <w:r>
        <w:rPr>
          <w:rFonts w:eastAsia="ArialMT" w:cs="ArialMT"/>
        </w:rPr>
        <w:t xml:space="preserve"> (see fn. </w:t>
      </w:r>
      <w:r>
        <w:rPr>
          <w:rFonts w:eastAsia="ArialMT" w:cs="ArialMT"/>
        </w:rPr>
        <w:fldChar w:fldCharType="begin"/>
      </w:r>
      <w:r>
        <w:rPr>
          <w:rFonts w:eastAsia="ArialMT" w:cs="ArialMT"/>
        </w:rPr>
        <w:instrText xml:space="preserve"> NOTEREF _Ref462696898 \h  \* MERGEFORMAT </w:instrText>
      </w:r>
      <w:r>
        <w:rPr>
          <w:rFonts w:eastAsia="ArialMT" w:cs="ArialMT"/>
        </w:rPr>
      </w:r>
      <w:r>
        <w:rPr>
          <w:rFonts w:eastAsia="ArialMT" w:cs="ArialMT"/>
        </w:rPr>
        <w:fldChar w:fldCharType="separate"/>
      </w:r>
      <w:r>
        <w:rPr>
          <w:rFonts w:eastAsia="ArialMT" w:cs="ArialMT"/>
        </w:rPr>
        <w:t>27</w:t>
      </w:r>
      <w:r>
        <w:rPr>
          <w:rFonts w:eastAsia="ArialMT" w:cs="ArialMT"/>
        </w:rPr>
        <w:fldChar w:fldCharType="end"/>
      </w:r>
      <w:r>
        <w:rPr>
          <w:rFonts w:eastAsia="ArialMT" w:cs="ArialMT"/>
        </w:rPr>
        <w:t xml:space="preserve"> above)</w:t>
      </w:r>
      <w:r w:rsidRPr="00163795">
        <w:rPr>
          <w:rFonts w:eastAsia="ArialMT" w:cs="ArialMT"/>
        </w:rPr>
        <w:t>, over its (apparently lawful) termination of an oil-concession contract. See T-H Cheng, ‘ICSID’s largest award in history: an overview of Occidental Petroleum Corporation v the Republic of Ecuador’ (</w:t>
      </w:r>
      <w:r w:rsidRPr="00163795">
        <w:rPr>
          <w:rFonts w:eastAsia="ArialMT" w:cs="ArialMT"/>
          <w:i/>
          <w:iCs/>
        </w:rPr>
        <w:t>Kluwer Arbitration Blog</w:t>
      </w:r>
      <w:r w:rsidRPr="00163795">
        <w:rPr>
          <w:rFonts w:eastAsia="ArialMT" w:cs="ArialMT"/>
        </w:rPr>
        <w:t xml:space="preserve">, 19 December 2012) &lt;kluwerarbitrationblog.com/2012/12/19/icsids-largest-award-in-history-an-overview-of-occidental-petroleum-corporation-v-the-republic-of-ecuador/&gt;. More recently, the Yukos award topped all other awards, amounting to 50 billion US dollars. See PCA Case AA226, </w:t>
      </w:r>
      <w:r w:rsidRPr="00163795">
        <w:rPr>
          <w:rFonts w:eastAsia="ArialMT" w:cs="ArialMT"/>
          <w:i/>
          <w:iCs/>
        </w:rPr>
        <w:t>Hulley Enterprises (Cyprus)</w:t>
      </w:r>
      <w:r w:rsidRPr="00163795">
        <w:rPr>
          <w:rFonts w:eastAsia="ArialMT" w:cs="ArialMT"/>
        </w:rPr>
        <w:t xml:space="preserve"> v </w:t>
      </w:r>
      <w:r w:rsidRPr="00163795">
        <w:rPr>
          <w:rFonts w:eastAsia="ArialMT" w:cs="ArialMT"/>
          <w:i/>
          <w:iCs/>
        </w:rPr>
        <w:t>Russia</w:t>
      </w:r>
      <w:r w:rsidRPr="00163795">
        <w:rPr>
          <w:rFonts w:eastAsia="ArialMT" w:cs="ArialMT"/>
        </w:rPr>
        <w:t xml:space="preserve">, final award 18 July 2014, &lt;www.pca-cpa.org/showfile.asp?fil_id=2722&gt;.  Also see A.M. Niebruegge, ‘Provisional application of the Energy Charter Treaty: the Yukos arbitration and the future place of provisional application in international law’ (2007) 8(1) </w:t>
      </w:r>
      <w:r w:rsidRPr="00163795">
        <w:rPr>
          <w:rFonts w:eastAsia="ArialMT" w:cs="ArialMT"/>
          <w:i/>
          <w:iCs/>
        </w:rPr>
        <w:t>Chicago Journal of International Law</w:t>
      </w:r>
      <w:r w:rsidRPr="00163795">
        <w:rPr>
          <w:rFonts w:eastAsia="ArialMT" w:cs="ArialMT"/>
        </w:rPr>
        <w:t xml:space="preserve"> 355.</w:t>
      </w:r>
    </w:p>
  </w:footnote>
  <w:footnote w:id="43">
    <w:p w14:paraId="5EE4CB1A" w14:textId="750B98B5" w:rsidR="00526CCE" w:rsidRPr="008E378A" w:rsidRDefault="00526CCE" w:rsidP="006C279A">
      <w:pPr>
        <w:pStyle w:val="Voetnoottekst"/>
        <w:jc w:val="both"/>
      </w:pPr>
      <w:r>
        <w:rPr>
          <w:rStyle w:val="Voetnootmarkering"/>
        </w:rPr>
        <w:footnoteRef/>
      </w:r>
      <w:r>
        <w:t xml:space="preserve"> According to an OECD study from 2012, le</w:t>
      </w:r>
      <w:r w:rsidRPr="00FC4C9C">
        <w:t>gal and arbitration costs for the parties in ISDS cases averaged over USD 8 million with costs exceeding USD 30 million in some cases</w:t>
      </w:r>
      <w:r w:rsidRPr="008E378A">
        <w:t>.</w:t>
      </w:r>
      <w:r>
        <w:t xml:space="preserve"> See D Gaukrodger and K</w:t>
      </w:r>
      <w:r w:rsidRPr="00981DBC">
        <w:t xml:space="preserve"> Gordon</w:t>
      </w:r>
      <w:r>
        <w:t>, ‘</w:t>
      </w:r>
      <w:r w:rsidRPr="00981DBC">
        <w:t>Investor-State Dispute Settlement: A Scoping Paper for the Investment P</w:t>
      </w:r>
      <w:r>
        <w:t>olicy Community’</w:t>
      </w:r>
      <w:r w:rsidRPr="00981DBC">
        <w:t>, OECD Working Papers on Interna</w:t>
      </w:r>
      <w:r>
        <w:t>tional Investment, 2012/03, &lt;</w:t>
      </w:r>
      <w:r w:rsidRPr="00981DBC">
        <w:t>http://dx.doi.org/10.1787/5k46b1r85j6f-en</w:t>
      </w:r>
      <w:r>
        <w:t>&gt;.</w:t>
      </w:r>
    </w:p>
  </w:footnote>
  <w:footnote w:id="44">
    <w:p w14:paraId="4DDDC3C3" w14:textId="11A97964" w:rsidR="00526CCE" w:rsidRPr="00163795" w:rsidRDefault="00526CCE" w:rsidP="006C279A">
      <w:pPr>
        <w:pStyle w:val="Voetnoottekst"/>
        <w:jc w:val="both"/>
      </w:pPr>
      <w:r w:rsidRPr="00163795">
        <w:rPr>
          <w:rStyle w:val="Voetnootmarkering"/>
        </w:rPr>
        <w:footnoteRef/>
      </w:r>
      <w:r w:rsidRPr="00163795">
        <w:t xml:space="preserve"> </w:t>
      </w:r>
      <w:r w:rsidRPr="00DA3644">
        <w:t xml:space="preserve">Up to 2013, some 31% of the cases was decided in favour of the investor, 26% was settled and 43% was decided in favour of states. By 2014, some 25% of the concluded cases was decided in favour of the investor, 28% of the cases was settled and 37% was decided in favour of the State. Source: </w:t>
      </w:r>
      <w:r w:rsidRPr="00163795">
        <w:t>UNCTAD, Latest development in Investor-State Dispute Settlement (20</w:t>
      </w:r>
      <w:r>
        <w:t>14) and (2015),</w:t>
      </w:r>
      <w:r>
        <w:tab/>
        <w:t xml:space="preserve"> </w:t>
      </w:r>
      <w:r w:rsidRPr="00163795">
        <w:t>&lt;http://investmentpolicyhub.unctad.org/Publications/Details/132&gt;</w:t>
      </w:r>
      <w:r>
        <w:t>.</w:t>
      </w:r>
    </w:p>
  </w:footnote>
  <w:footnote w:id="45">
    <w:p w14:paraId="0818B2F8" w14:textId="77777777" w:rsidR="00526CCE" w:rsidRPr="00154A9A" w:rsidRDefault="00526CCE" w:rsidP="00285AAD">
      <w:pPr>
        <w:pStyle w:val="Voetnoottekst"/>
      </w:pPr>
      <w:r>
        <w:rPr>
          <w:rStyle w:val="Voetnootmarkering"/>
        </w:rPr>
        <w:footnoteRef/>
      </w:r>
      <w:r>
        <w:t xml:space="preserve"> Of the 16 cases, 2 are pending (one of which is the </w:t>
      </w:r>
      <w:r w:rsidRPr="00154A9A">
        <w:rPr>
          <w:i/>
        </w:rPr>
        <w:t>Keystone XL Pipeline</w:t>
      </w:r>
      <w:r>
        <w:t xml:space="preserve"> case discussed below), 1 discontinued, 3 were settled and 10 decided in favour of the U.S.A. </w:t>
      </w:r>
    </w:p>
  </w:footnote>
  <w:footnote w:id="46">
    <w:p w14:paraId="369691FC" w14:textId="43F63FB7" w:rsidR="00526CCE" w:rsidRPr="00B33007" w:rsidRDefault="00526CCE" w:rsidP="00285AAD">
      <w:pPr>
        <w:pStyle w:val="Voetnoottekst"/>
      </w:pPr>
      <w:r>
        <w:rPr>
          <w:rStyle w:val="Voetnootmarkering"/>
        </w:rPr>
        <w:footnoteRef/>
      </w:r>
      <w:r>
        <w:t xml:space="preserve"> </w:t>
      </w:r>
      <w:r w:rsidRPr="00B33007">
        <w:t>U.S. companies initiated 145 cases against other countries</w:t>
      </w:r>
      <w:r>
        <w:t>, which is by far more than in any other country. The Netherlands is nr 2 with 89, and UK nr 3 with 64 cases. 42 of the 145 U.S.</w:t>
      </w:r>
      <w:r w:rsidRPr="00B33007">
        <w:t xml:space="preserve"> cases are still pending or were discontinued; in </w:t>
      </w:r>
      <w:r>
        <w:t>56</w:t>
      </w:r>
      <w:r w:rsidRPr="00B33007">
        <w:t xml:space="preserve"> of the remaining 103 cases, a settlement was reached or the U.S. investor won.</w:t>
      </w:r>
      <w:r>
        <w:t xml:space="preserve"> Source: UNCTAD ISDS Database, accessed 1 October 2016.</w:t>
      </w:r>
    </w:p>
  </w:footnote>
  <w:footnote w:id="47">
    <w:p w14:paraId="1AD6327E" w14:textId="09F805A9" w:rsidR="00526CCE" w:rsidRPr="00285AAD" w:rsidRDefault="00526CCE">
      <w:pPr>
        <w:pStyle w:val="Voetnoottekst"/>
      </w:pPr>
      <w:r>
        <w:rPr>
          <w:rStyle w:val="Voetnootmarkering"/>
        </w:rPr>
        <w:footnoteRef/>
      </w:r>
      <w:r>
        <w:t xml:space="preserve"> Canada was </w:t>
      </w:r>
      <w:r w:rsidRPr="00285AAD">
        <w:t>respondent i</w:t>
      </w:r>
      <w:r>
        <w:t>n 26 cases. Eight cases are still pending, 6 won, 5</w:t>
      </w:r>
      <w:r w:rsidRPr="008A52E4">
        <w:t xml:space="preserve"> </w:t>
      </w:r>
      <w:r>
        <w:t xml:space="preserve">settled (notably the MMT case, see fn </w:t>
      </w:r>
      <w:r>
        <w:fldChar w:fldCharType="begin"/>
      </w:r>
      <w:r>
        <w:instrText xml:space="preserve"> NOTEREF _Ref463215081 \h </w:instrText>
      </w:r>
      <w:r>
        <w:fldChar w:fldCharType="separate"/>
      </w:r>
      <w:r>
        <w:t>31</w:t>
      </w:r>
      <w:r>
        <w:fldChar w:fldCharType="end"/>
      </w:r>
      <w:r>
        <w:t xml:space="preserve"> above), 4 discontinued</w:t>
      </w:r>
      <w:r w:rsidRPr="00285AAD">
        <w:t xml:space="preserve"> </w:t>
      </w:r>
      <w:r>
        <w:t>and 3 lost.</w:t>
      </w:r>
    </w:p>
  </w:footnote>
  <w:footnote w:id="48">
    <w:p w14:paraId="7141CB09" w14:textId="0C6FE0AF" w:rsidR="00526CCE" w:rsidRDefault="00526CCE" w:rsidP="006C279A">
      <w:pPr>
        <w:pStyle w:val="Voetnoottekst"/>
        <w:jc w:val="both"/>
      </w:pPr>
      <w:r>
        <w:rPr>
          <w:rStyle w:val="Voetnootmarkering"/>
        </w:rPr>
        <w:footnoteRef/>
      </w:r>
      <w:r>
        <w:t xml:space="preserve"> </w:t>
      </w:r>
      <w:r w:rsidRPr="00163795">
        <w:rPr>
          <w:rFonts w:eastAsia="Georgia" w:cs="Georgia"/>
        </w:rPr>
        <w:t xml:space="preserve">An example in the area of public health is the Asian arm of tobacco group Philip Morris suing the Australian government for introducing plain white cigarette packaging at the end of 2011. Philip Morris claims the measure constitutes an expropriation of its Australian investments in violation of the ‘1993 Agreement between the Government of Australia and the Government of Hong Kong for the Promotion and Protection of Investments’ (1993) 30 </w:t>
      </w:r>
      <w:r w:rsidRPr="00163795">
        <w:rPr>
          <w:rFonts w:eastAsia="Georgia" w:cs="Georgia"/>
          <w:i/>
          <w:iCs/>
        </w:rPr>
        <w:t>Australian Treaty Series</w:t>
      </w:r>
      <w:r w:rsidRPr="00163795">
        <w:rPr>
          <w:rFonts w:eastAsia="Georgia" w:cs="Georgia"/>
        </w:rPr>
        <w:t xml:space="preserve"> &lt; www.austlii.edu.au/au/other/dfat/treaties/1993/30.html&gt;, that it forms an unreasonable a</w:t>
      </w:r>
      <w:r w:rsidR="0024368E">
        <w:rPr>
          <w:rFonts w:eastAsia="Georgia" w:cs="Georgia"/>
        </w:rPr>
        <w:t xml:space="preserve">nd discriminatory measure. </w:t>
      </w:r>
      <w:r w:rsidR="00E91A46">
        <w:rPr>
          <w:rFonts w:eastAsia="Georgia" w:cs="Georgia"/>
        </w:rPr>
        <w:t>The arbiters declined jurisdiction</w:t>
      </w:r>
      <w:r w:rsidR="009C7F37">
        <w:rPr>
          <w:rFonts w:eastAsia="Georgia" w:cs="Georgia"/>
        </w:rPr>
        <w:t xml:space="preserve"> on </w:t>
      </w:r>
      <w:r w:rsidR="004D36E8">
        <w:rPr>
          <w:rFonts w:eastAsia="Georgia" w:cs="Georgia"/>
        </w:rPr>
        <w:t xml:space="preserve">17 </w:t>
      </w:r>
      <w:r w:rsidR="009C7F37">
        <w:rPr>
          <w:rFonts w:eastAsia="Georgia" w:cs="Georgia"/>
        </w:rPr>
        <w:t>December 2015</w:t>
      </w:r>
      <w:r w:rsidR="008B6FA0">
        <w:rPr>
          <w:rFonts w:eastAsia="Georgia" w:cs="Georgia"/>
        </w:rPr>
        <w:t xml:space="preserve">, see </w:t>
      </w:r>
      <w:r w:rsidR="00E91A46">
        <w:rPr>
          <w:rFonts w:eastAsia="Georgia" w:cs="Georgia"/>
        </w:rPr>
        <w:t xml:space="preserve"> </w:t>
      </w:r>
      <w:hyperlink r:id="rId14" w:history="1">
        <w:r w:rsidR="009C7F37" w:rsidRPr="00B0169F">
          <w:rPr>
            <w:rStyle w:val="Hyperlink"/>
            <w:rFonts w:eastAsia="Georgia" w:cs="Georgia"/>
          </w:rPr>
          <w:t>https://www.pcacases.com/web/sendAttach/1711</w:t>
        </w:r>
      </w:hyperlink>
      <w:r w:rsidR="009C7F37">
        <w:rPr>
          <w:rFonts w:eastAsia="Georgia" w:cs="Georgia"/>
        </w:rPr>
        <w:t xml:space="preserve">. </w:t>
      </w:r>
    </w:p>
  </w:footnote>
  <w:footnote w:id="49">
    <w:p w14:paraId="2CFD3138" w14:textId="364B2A50" w:rsidR="00526CCE" w:rsidRDefault="00526CCE" w:rsidP="006C279A">
      <w:pPr>
        <w:pStyle w:val="Voetnoottekst"/>
        <w:jc w:val="both"/>
      </w:pPr>
      <w:r>
        <w:rPr>
          <w:rStyle w:val="Voetnootmarkering"/>
        </w:rPr>
        <w:footnoteRef/>
      </w:r>
      <w:r>
        <w:t xml:space="preserve"> See P-T. Stoll, W.Th. Douma, N. De Sadeleer and P. Abel, ‘CETA, TTIP und das europäische Vorsorgeprinzip. Eine Untersuchung zu den Regelungen zu sanitären und phytosanitären</w:t>
      </w:r>
      <w:r w:rsidRPr="00214F70">
        <w:t xml:space="preserve"> </w:t>
      </w:r>
      <w:r>
        <w:t>Maßnahmen, technischen Handelshemmnissen und der regulatorischen Kooperation in dem CETA-Abkommen und nach den EU-Vorschlägen für TTIP’ (German original); ‘CETA, TTIP and the precautionary principle. Legal analysis of selected parts of the draft CETA agreement and the EU TTIP proposals’ (English condensed version), foodwatch, June 2016.</w:t>
      </w:r>
    </w:p>
  </w:footnote>
  <w:footnote w:id="50">
    <w:p w14:paraId="1E97E4FE" w14:textId="623CBFBD" w:rsidR="00526CCE" w:rsidRPr="00163795" w:rsidRDefault="00526CCE" w:rsidP="006C279A">
      <w:pPr>
        <w:pStyle w:val="Voetnoottekst"/>
        <w:jc w:val="both"/>
      </w:pPr>
      <w:r w:rsidRPr="00163795">
        <w:rPr>
          <w:rStyle w:val="Voetnootmarkering"/>
        </w:rPr>
        <w:footnoteRef/>
      </w:r>
      <w:r w:rsidRPr="00163795">
        <w:t xml:space="preserve"> Compare Council of Canadians, ‘Paris climate summit: New report protects climate legislation from trade deals’ (2015), &lt;http://canadians.org/media/paris-climate-summit-new-report-protects-clima</w:t>
      </w:r>
      <w:r>
        <w:t xml:space="preserve">te-legislation–trade-deals&gt;, </w:t>
      </w:r>
      <w:r w:rsidRPr="00163795">
        <w:t xml:space="preserve">G Van Harten, ‘An ISDS Carve-out to Support Action on Climate Change’, Osgood Hall Law School Legal Studies Research Paper Series, Volume 11, Issue 8, 2015, </w:t>
      </w:r>
    </w:p>
    <w:p w14:paraId="4438949A" w14:textId="196B073B" w:rsidR="00526CCE" w:rsidRPr="001E6454" w:rsidRDefault="008D1A47" w:rsidP="006C279A">
      <w:pPr>
        <w:pStyle w:val="Voetnoottekst"/>
        <w:jc w:val="both"/>
        <w:rPr>
          <w:lang w:val="en-US"/>
        </w:rPr>
      </w:pPr>
      <w:hyperlink r:id="rId15" w:history="1">
        <w:r w:rsidR="00526CCE" w:rsidRPr="001E6454">
          <w:rPr>
            <w:rStyle w:val="Hyperlink"/>
            <w:lang w:val="en-US"/>
          </w:rPr>
          <w:t>http://papers.ssrn.com/sol3/papers.cfm?abstract_id=2663504</w:t>
        </w:r>
      </w:hyperlink>
      <w:r w:rsidR="00526CCE" w:rsidRPr="001E6454">
        <w:rPr>
          <w:lang w:val="en-US"/>
        </w:rPr>
        <w:t xml:space="preserve"> and NRC Handelsblad, ‘Handelsarbitrage vormt risico voor soevereiniteit regeringen’, 10 June 2016, where G Van Harten explains that the ICS proposal forms a small improvement but does not change fundamen</w:t>
      </w:r>
      <w:r w:rsidR="00526CCE">
        <w:rPr>
          <w:lang w:val="en-US"/>
        </w:rPr>
        <w:t>tal challenges that ISDS poses (</w:t>
      </w:r>
      <w:r w:rsidR="00526CCE" w:rsidRPr="001E6454">
        <w:rPr>
          <w:lang w:val="en-US"/>
        </w:rPr>
        <w:t xml:space="preserve">only </w:t>
      </w:r>
      <w:r w:rsidR="00526CCE">
        <w:rPr>
          <w:lang w:val="en-US"/>
        </w:rPr>
        <w:t xml:space="preserve">foreign </w:t>
      </w:r>
      <w:r w:rsidR="00526CCE" w:rsidRPr="001E6454">
        <w:rPr>
          <w:lang w:val="en-US"/>
        </w:rPr>
        <w:t xml:space="preserve">investors can bring a claim, </w:t>
      </w:r>
      <w:r w:rsidR="00526CCE">
        <w:rPr>
          <w:lang w:val="en-US"/>
        </w:rPr>
        <w:t>they only have rights (notably to public money if their claims are accepted) and no duties); he agrees with the request of Dutch parliament for a carve-out in CETA for Paris Agreement related measures</w:t>
      </w:r>
      <w:r w:rsidR="00526CCE" w:rsidRPr="001E6454">
        <w:rPr>
          <w:lang w:val="en-US"/>
        </w:rPr>
        <w:t>.</w:t>
      </w:r>
    </w:p>
  </w:footnote>
  <w:footnote w:id="51">
    <w:p w14:paraId="138B3DD1" w14:textId="77777777" w:rsidR="00526CCE" w:rsidRPr="007C5D4E" w:rsidRDefault="00526CCE" w:rsidP="00DF5352">
      <w:pPr>
        <w:pStyle w:val="Voetnoottekst"/>
        <w:jc w:val="both"/>
        <w:rPr>
          <w:lang w:val="sv-SE"/>
        </w:rPr>
      </w:pPr>
      <w:r>
        <w:rPr>
          <w:rStyle w:val="Voetnootmarkering"/>
        </w:rPr>
        <w:footnoteRef/>
      </w:r>
      <w:r>
        <w:t xml:space="preserve"> According to NASA, global annual average temperature in 2015 was 0.87 </w:t>
      </w:r>
      <w:r w:rsidRPr="00F76837">
        <w:t>°C</w:t>
      </w:r>
      <w:r>
        <w:t xml:space="preserve"> higher than before, see &lt;</w:t>
      </w:r>
      <w:r w:rsidRPr="00F76837">
        <w:t>climate.nasa.gov</w:t>
      </w:r>
      <w:r>
        <w:t>/vital-signs/global-temperature&gt;.</w:t>
      </w:r>
    </w:p>
  </w:footnote>
  <w:footnote w:id="52">
    <w:p w14:paraId="6E9D9F4D" w14:textId="5DE5C174" w:rsidR="00526CCE" w:rsidRPr="000D151E" w:rsidRDefault="00526CCE">
      <w:pPr>
        <w:pStyle w:val="Voetnoottekst"/>
      </w:pPr>
      <w:r>
        <w:rPr>
          <w:rStyle w:val="Voetnootmarkering"/>
        </w:rPr>
        <w:footnoteRef/>
      </w:r>
      <w:r>
        <w:t xml:space="preserve"> With CCS techniques, waste carbon dioxide (CO</w:t>
      </w:r>
      <w:r>
        <w:rPr>
          <w:vertAlign w:val="subscript"/>
        </w:rPr>
        <w:t>2</w:t>
      </w:r>
      <w:r>
        <w:t>) from fossil fuel power plants</w:t>
      </w:r>
      <w:r w:rsidRPr="00F76837">
        <w:t xml:space="preserve"> </w:t>
      </w:r>
      <w:r>
        <w:t xml:space="preserve">is captured and stored in underground geological formation, preventing it from reaching the atmosphere and allowing for some 80% reduction of </w:t>
      </w:r>
      <w:r w:rsidRPr="00F76837">
        <w:t>CO</w:t>
      </w:r>
      <w:r w:rsidRPr="00F76837">
        <w:rPr>
          <w:vertAlign w:val="subscript"/>
        </w:rPr>
        <w:t>2</w:t>
      </w:r>
      <w:r>
        <w:rPr>
          <w:vertAlign w:val="subscript"/>
        </w:rPr>
        <w:t xml:space="preserve"> </w:t>
      </w:r>
      <w:r>
        <w:t>emissions.</w:t>
      </w:r>
    </w:p>
  </w:footnote>
  <w:footnote w:id="53">
    <w:p w14:paraId="563EAF4A" w14:textId="1F0196A5" w:rsidR="00861304" w:rsidRPr="00861304" w:rsidRDefault="00861304">
      <w:pPr>
        <w:pStyle w:val="Voetnoottekst"/>
      </w:pPr>
      <w:r>
        <w:rPr>
          <w:rStyle w:val="Voetnootmarkering"/>
        </w:rPr>
        <w:footnoteRef/>
      </w:r>
      <w:r>
        <w:t xml:space="preserve"> A</w:t>
      </w:r>
      <w:r w:rsidRPr="00861304">
        <w:t>rt. 2 UNFCCC</w:t>
      </w:r>
      <w:r>
        <w:t>.</w:t>
      </w:r>
    </w:p>
  </w:footnote>
  <w:footnote w:id="54">
    <w:p w14:paraId="07AE7B9F" w14:textId="719A143F" w:rsidR="00861304" w:rsidRPr="00861304" w:rsidRDefault="00861304">
      <w:pPr>
        <w:pStyle w:val="Voetnoottekst"/>
      </w:pPr>
      <w:r>
        <w:rPr>
          <w:rStyle w:val="Voetnootmarkering"/>
        </w:rPr>
        <w:footnoteRef/>
      </w:r>
      <w:r>
        <w:t xml:space="preserve"> A</w:t>
      </w:r>
      <w:r w:rsidRPr="00861304">
        <w:t>rt. 2(1)(a) Paris Agreement</w:t>
      </w:r>
      <w:r>
        <w:t>.</w:t>
      </w:r>
    </w:p>
  </w:footnote>
  <w:footnote w:id="55">
    <w:p w14:paraId="35089F3E" w14:textId="0BAEFBC2" w:rsidR="00526CCE" w:rsidRPr="00163795" w:rsidRDefault="00526CCE" w:rsidP="006C279A">
      <w:pPr>
        <w:pStyle w:val="Voetnoottekst"/>
        <w:jc w:val="both"/>
        <w:rPr>
          <w:lang w:val="en-US"/>
        </w:rPr>
      </w:pPr>
      <w:r w:rsidRPr="00163795">
        <w:rPr>
          <w:rStyle w:val="Voetnootmarkering"/>
        </w:rPr>
        <w:footnoteRef/>
      </w:r>
      <w:r w:rsidRPr="00163795">
        <w:t xml:space="preserve"> Commission, ‘Towards a comprehensive European international investment policy’ (Communication) COM (2010) 342 final</w:t>
      </w:r>
      <w:r>
        <w:t>, 9 and 10. Available at &lt;</w:t>
      </w:r>
      <w:r w:rsidRPr="00D15AC7">
        <w:t>trade.ec.europa.eu/doclib/docs/2010/july/tradoc_146307.pdf</w:t>
      </w:r>
      <w:r>
        <w:t xml:space="preserve">&gt;. It is noted </w:t>
      </w:r>
      <w:r w:rsidRPr="00500D9C">
        <w:t>that challenges exist where transparency, consistency and predictability and rules for the conduct of arbitration are concerned.</w:t>
      </w:r>
    </w:p>
  </w:footnote>
  <w:footnote w:id="56">
    <w:p w14:paraId="1C84A903" w14:textId="4CE4326A" w:rsidR="00425318" w:rsidRPr="00425318" w:rsidRDefault="00425318">
      <w:pPr>
        <w:pStyle w:val="Voetnoottekst"/>
      </w:pPr>
      <w:r>
        <w:rPr>
          <w:rStyle w:val="Voetnootmarkering"/>
        </w:rPr>
        <w:footnoteRef/>
      </w:r>
      <w:r>
        <w:t xml:space="preserve"> See for instance Commission Communication ‘</w:t>
      </w:r>
      <w:hyperlink r:id="rId16" w:history="1">
        <w:r w:rsidRPr="00425318">
          <w:rPr>
            <w:rStyle w:val="Hyperlink"/>
          </w:rPr>
          <w:t>Smart Regulation in the European Union’</w:t>
        </w:r>
      </w:hyperlink>
      <w:r>
        <w:t>, COM(2010)543 final of 8.10.2010, in which it is claimed that ‘</w:t>
      </w:r>
      <w:r w:rsidRPr="00425318">
        <w:t>regulation must promote the interests of citizens, and deliver on the full range of public policy objectives from ensuring financial stability to tackling climate change</w:t>
      </w:r>
      <w:r>
        <w:t>’.</w:t>
      </w:r>
    </w:p>
  </w:footnote>
  <w:footnote w:id="57">
    <w:p w14:paraId="39FBAD32" w14:textId="77777777" w:rsidR="00526CCE" w:rsidRDefault="00526CCE" w:rsidP="006C279A">
      <w:pPr>
        <w:pStyle w:val="Voetnoottekst"/>
        <w:jc w:val="both"/>
        <w:rPr>
          <w:lang w:val="en-US"/>
        </w:rPr>
      </w:pPr>
      <w:r w:rsidRPr="00163795">
        <w:rPr>
          <w:rStyle w:val="Voetnootmarkering"/>
        </w:rPr>
        <w:footnoteRef/>
      </w:r>
      <w:r w:rsidRPr="00163795">
        <w:t xml:space="preserve"> </w:t>
      </w:r>
      <w:r>
        <w:rPr>
          <w:lang w:val="en-US"/>
        </w:rPr>
        <w:t>EP</w:t>
      </w:r>
      <w:r w:rsidRPr="00163795">
        <w:rPr>
          <w:lang w:val="en-US"/>
        </w:rPr>
        <w:t>, ‘Resolution on the future European international inv</w:t>
      </w:r>
      <w:r>
        <w:rPr>
          <w:lang w:val="en-US"/>
        </w:rPr>
        <w:t>estment policy’ 2 October 2012,</w:t>
      </w:r>
      <w:r w:rsidRPr="00163795">
        <w:rPr>
          <w:lang w:val="en-US"/>
        </w:rPr>
        <w:t xml:space="preserve"> 2010/2203(INI) </w:t>
      </w:r>
    </w:p>
    <w:p w14:paraId="26D1F05B" w14:textId="073029AA" w:rsidR="00526CCE" w:rsidRPr="00163795" w:rsidRDefault="00526CCE" w:rsidP="006C279A">
      <w:pPr>
        <w:pStyle w:val="Voetnoottekst"/>
        <w:jc w:val="both"/>
        <w:rPr>
          <w:lang w:val="en-US"/>
        </w:rPr>
      </w:pPr>
      <w:r w:rsidRPr="00163795">
        <w:rPr>
          <w:lang w:val="en-US"/>
        </w:rPr>
        <w:t xml:space="preserve">&lt; </w:t>
      </w:r>
      <w:hyperlink r:id="rId17" w:history="1">
        <w:r w:rsidRPr="00084D54">
          <w:rPr>
            <w:rStyle w:val="Hyperlink"/>
            <w:lang w:val="en-US"/>
          </w:rPr>
          <w:t>www.europarl.europa.eu/sides/getDoc.do?type=TA&amp;reference=P7-TA-2011-0141&amp;language=EN</w:t>
        </w:r>
      </w:hyperlink>
      <w:r w:rsidRPr="00163795">
        <w:rPr>
          <w:lang w:val="en-US"/>
        </w:rPr>
        <w:t>&gt;.</w:t>
      </w:r>
      <w:r>
        <w:rPr>
          <w:lang w:val="en-US"/>
        </w:rPr>
        <w:t xml:space="preserve"> </w:t>
      </w:r>
      <w:r w:rsidRPr="00870173">
        <w:rPr>
          <w:lang w:val="en-US"/>
        </w:rPr>
        <w:t>It noted a number of ISDS problems because of vague language, the possibility of conflict between private interests and the regulatory tasks of public authorities (for example where the adoption of legitimate legislation led to states being condemned for breaches of the ‘fair and equitable treatment’ (FET) principle), and asked the Commission to ‘better address the right to protect the public capacity to regulate and meet the EU's obligation to exercise policy coherence for development’.</w:t>
      </w:r>
    </w:p>
  </w:footnote>
  <w:footnote w:id="58">
    <w:p w14:paraId="63AF4639" w14:textId="698F06B6" w:rsidR="00526CCE" w:rsidRPr="004F7C35" w:rsidRDefault="00526CCE" w:rsidP="006C279A">
      <w:pPr>
        <w:pStyle w:val="Voetnoottekst"/>
        <w:jc w:val="both"/>
      </w:pPr>
      <w:r>
        <w:rPr>
          <w:rStyle w:val="Voetnootmarkering"/>
        </w:rPr>
        <w:footnoteRef/>
      </w:r>
      <w:r>
        <w:t xml:space="preserve"> Council, ‘</w:t>
      </w:r>
      <w:hyperlink r:id="rId18" w:history="1">
        <w:r w:rsidRPr="00A24345">
          <w:rPr>
            <w:rStyle w:val="Hyperlink"/>
          </w:rPr>
          <w:t>Conclusions on a comprehensive European international investment policy’</w:t>
        </w:r>
      </w:hyperlink>
      <w:r>
        <w:t>, 3041st Foreign Affairs Council meeting, Luxembourg (25 October 2010), 2.</w:t>
      </w:r>
    </w:p>
  </w:footnote>
  <w:footnote w:id="59">
    <w:p w14:paraId="0836A72C" w14:textId="4C42E03D" w:rsidR="00526CCE" w:rsidRPr="00D15AC7" w:rsidRDefault="00526CCE">
      <w:pPr>
        <w:pStyle w:val="Voetnoottekst"/>
      </w:pPr>
      <w:r>
        <w:rPr>
          <w:rStyle w:val="Voetnootmarkering"/>
        </w:rPr>
        <w:footnoteRef/>
      </w:r>
      <w:r>
        <w:t xml:space="preserve"> Articles 21 TEU and 11 TFEU.   </w:t>
      </w:r>
    </w:p>
  </w:footnote>
  <w:footnote w:id="60">
    <w:p w14:paraId="424DB19C" w14:textId="77777777" w:rsidR="00526CCE" w:rsidRDefault="00526CCE" w:rsidP="002E5CCB">
      <w:pPr>
        <w:pStyle w:val="Voetnoottekst"/>
        <w:jc w:val="both"/>
      </w:pPr>
      <w:r>
        <w:rPr>
          <w:rStyle w:val="Voetnootmarkering"/>
        </w:rPr>
        <w:footnoteRef/>
      </w:r>
      <w:r>
        <w:t xml:space="preserve"> Development Solutions, ‘A Trade SIA relating to the negotiation of a Comprehensive Economic and Trade Agreement (CETA) between the EU and Canada’, Final Report (June 2011) 19, 20. Available at &lt;</w:t>
      </w:r>
      <w:hyperlink r:id="rId19" w:history="1">
        <w:r w:rsidRPr="00256A4D">
          <w:rPr>
            <w:rStyle w:val="Hyperlink"/>
          </w:rPr>
          <w:t>trade.ec.europa.eu/doclib/docs/2011/september/tradoc_148201.pdf</w:t>
        </w:r>
      </w:hyperlink>
      <w:r>
        <w:t xml:space="preserve">&gt;. The report also notes that there </w:t>
      </w:r>
      <w:r w:rsidRPr="00FB34FF">
        <w:t>‘is no solid evidence to suggest that ISDS will maximise economic benefits in CETA beyond simply serving as one form of an enforcement mechanism, just as state-state dispute settlement is also an enforcement mechanism.</w:t>
      </w:r>
      <w:r>
        <w:t xml:space="preserve"> (…)</w:t>
      </w:r>
      <w:r w:rsidRPr="00FB34FF">
        <w:t xml:space="preserve"> </w:t>
      </w:r>
      <w:r>
        <w:t xml:space="preserve">As </w:t>
      </w:r>
      <w:r w:rsidRPr="00FB34FF">
        <w:t>such, the study’s assessment suggests that a well-crafted state-state dispute settlement mechanism might be a more appropriate enforcement mechanism in CETA than ISDS.’</w:t>
      </w:r>
    </w:p>
  </w:footnote>
  <w:footnote w:id="61">
    <w:p w14:paraId="5B74D660" w14:textId="78C3421C" w:rsidR="00526CCE" w:rsidRPr="00A92455" w:rsidRDefault="00526CCE">
      <w:pPr>
        <w:pStyle w:val="Voetnoottekst"/>
      </w:pPr>
      <w:r>
        <w:rPr>
          <w:rStyle w:val="Voetnootmarkering"/>
        </w:rPr>
        <w:footnoteRef/>
      </w:r>
      <w:r>
        <w:t xml:space="preserve"> Handbook for Trade Sustainability Impact Assessment, 1</w:t>
      </w:r>
      <w:r w:rsidRPr="00A92455">
        <w:rPr>
          <w:vertAlign w:val="superscript"/>
        </w:rPr>
        <w:t>st</w:t>
      </w:r>
      <w:r>
        <w:t xml:space="preserve"> edition. A second edition was adopted in 2016, see &lt;</w:t>
      </w:r>
      <w:r w:rsidRPr="00A92455">
        <w:t>trade.ec.europa.eu/doclib/docs/2016/april/tradoc_154464.PDF</w:t>
      </w:r>
      <w:r>
        <w:t>&gt;.</w:t>
      </w:r>
    </w:p>
  </w:footnote>
  <w:footnote w:id="62">
    <w:p w14:paraId="56B28EA3" w14:textId="1044523B" w:rsidR="00C179CD" w:rsidRDefault="00C179CD">
      <w:pPr>
        <w:pStyle w:val="Voetnoottekst"/>
      </w:pPr>
      <w:r>
        <w:rPr>
          <w:rStyle w:val="Voetnootmarkering"/>
        </w:rPr>
        <w:footnoteRef/>
      </w:r>
      <w:r>
        <w:t xml:space="preserve"> See &lt;</w:t>
      </w:r>
      <w:r w:rsidRPr="00C179CD">
        <w:t>http://trade.ec.europa.eu/doclib/docs/2017/april/tradoc_155471.pdf</w:t>
      </w:r>
      <w:r>
        <w:t>&gt;.</w:t>
      </w:r>
    </w:p>
  </w:footnote>
  <w:footnote w:id="63">
    <w:p w14:paraId="41B3F49F" w14:textId="07191860" w:rsidR="00526CCE" w:rsidRPr="00A357B3" w:rsidRDefault="00526CCE">
      <w:pPr>
        <w:pStyle w:val="Voetnoottekst"/>
      </w:pPr>
      <w:r>
        <w:rPr>
          <w:rStyle w:val="Voetnootmarkering"/>
        </w:rPr>
        <w:footnoteRef/>
      </w:r>
      <w:r>
        <w:t xml:space="preserve"> </w:t>
      </w:r>
      <w:hyperlink r:id="rId20" w:history="1">
        <w:r w:rsidRPr="005A1F23">
          <w:rPr>
            <w:rStyle w:val="Hyperlink"/>
          </w:rPr>
          <w:t>Answer</w:t>
        </w:r>
      </w:hyperlink>
      <w:r>
        <w:t xml:space="preserve"> given by Mr De Gucht on behalf of the Commission of 5 February 2013,  </w:t>
      </w:r>
      <w:hyperlink r:id="rId21" w:history="1">
        <w:r w:rsidRPr="005C0EDE">
          <w:rPr>
            <w:rStyle w:val="Hyperlink"/>
          </w:rPr>
          <w:t>OJ C 321 E</w:t>
        </w:r>
      </w:hyperlink>
      <w:r>
        <w:t xml:space="preserve"> of 7 November </w:t>
      </w:r>
      <w:r w:rsidRPr="00A357B3">
        <w:t>2013</w:t>
      </w:r>
      <w:r>
        <w:t>.</w:t>
      </w:r>
    </w:p>
  </w:footnote>
  <w:footnote w:id="64">
    <w:p w14:paraId="2448C900" w14:textId="2A51C58E" w:rsidR="00526CCE" w:rsidRPr="00030646" w:rsidRDefault="00526CCE">
      <w:pPr>
        <w:pStyle w:val="Voetnoottekst"/>
      </w:pPr>
      <w:r>
        <w:rPr>
          <w:rStyle w:val="Voetnootmarkering"/>
        </w:rPr>
        <w:footnoteRef/>
      </w:r>
      <w:r>
        <w:t xml:space="preserve"> EurActiv 16 September 2015, ‘Positive effects of TTIP tribunals for investment unclear’, &lt;</w:t>
      </w:r>
      <w:r w:rsidRPr="00030646">
        <w:t>www.euractiv.com/section/trade-society/news/positive-effects-of-ttip-t</w:t>
      </w:r>
      <w:r>
        <w:t>ribunals-for-investment-unclear&gt;.</w:t>
      </w:r>
    </w:p>
  </w:footnote>
  <w:footnote w:id="65">
    <w:p w14:paraId="203E77DD" w14:textId="7C457682" w:rsidR="00526CCE" w:rsidRDefault="00526CCE" w:rsidP="006C279A">
      <w:pPr>
        <w:pStyle w:val="Voetnoottekst"/>
        <w:jc w:val="both"/>
      </w:pPr>
      <w:r>
        <w:rPr>
          <w:rStyle w:val="Voetnootmarkering"/>
        </w:rPr>
        <w:footnoteRef/>
      </w:r>
      <w:r>
        <w:t xml:space="preserve"> Council of the EU, Directives for the negotiation on the Transatlantic Trade and Investment Partnership between the European Union and the United States of America, 17 June 2013 (made public on 9 October 2014). See &lt;</w:t>
      </w:r>
      <w:hyperlink r:id="rId22" w:history="1">
        <w:r w:rsidRPr="00084D54">
          <w:rPr>
            <w:rStyle w:val="Hyperlink"/>
          </w:rPr>
          <w:t>data.consilium.europa.eu/doc/document/ST-11103-2013-DCL-1/en/pdf</w:t>
        </w:r>
      </w:hyperlink>
      <w:r>
        <w:t>&gt; and &lt;</w:t>
      </w:r>
      <w:r w:rsidRPr="00891AD1">
        <w:t>http://www.consilium.europa.eu/uedocs/cms_data/docs/pressdata/en/foraff/145014.pdf</w:t>
      </w:r>
      <w:r>
        <w:t>&gt;. It can be added that the Commission’s Impact Assessment report on the future of EU-US relations SWD(2013)68 of 12.3.2013 accompanying the document Recommendation for a Council Decision authorising the opening of negotiations on TTIP does not discuss ISDS at all.</w:t>
      </w:r>
    </w:p>
  </w:footnote>
  <w:footnote w:id="66">
    <w:p w14:paraId="56625A87" w14:textId="3F6D65D1" w:rsidR="00526CCE" w:rsidRDefault="00526CCE" w:rsidP="006C279A">
      <w:pPr>
        <w:pStyle w:val="Voetnoottekst"/>
        <w:jc w:val="both"/>
      </w:pPr>
      <w:r>
        <w:rPr>
          <w:rStyle w:val="Voetnootmarkering"/>
        </w:rPr>
        <w:footnoteRef/>
      </w:r>
      <w:r>
        <w:t xml:space="preserve"> Idem, p. 8.</w:t>
      </w:r>
    </w:p>
  </w:footnote>
  <w:footnote w:id="67">
    <w:p w14:paraId="33CBC61B" w14:textId="77777777" w:rsidR="00526CCE" w:rsidRDefault="00526CCE" w:rsidP="006C279A">
      <w:pPr>
        <w:pStyle w:val="Voetnoottekst"/>
        <w:jc w:val="both"/>
      </w:pPr>
      <w:r w:rsidRPr="00163795">
        <w:rPr>
          <w:rStyle w:val="Voetnootmarkering"/>
        </w:rPr>
        <w:footnoteRef/>
      </w:r>
      <w:r w:rsidRPr="00163795">
        <w:t xml:space="preserve"> European Commission, ‘Preliminary report (statistical overview)’ (July 2014) </w:t>
      </w:r>
      <w:r w:rsidRPr="00163795">
        <w:rPr>
          <w:i/>
          <w:iCs/>
        </w:rPr>
        <w:t>European Commission</w:t>
      </w:r>
      <w:r w:rsidRPr="00163795">
        <w:t>. Online public consultation on investment protection and investor-to-state dispute settlement (ISDS) in the Transatlantic Trade and Investment Partnership Agreement (TTIP), July 2014. The report shows that the largest number of replies was received from the United Kingdom, followed by Austria, Germany, France, Belgium, the Netherlands and Spain, which together account for 97% of the replies. The vast majority of replies (more than 99%) were submitted by individuals. Some 145 800 of the responses were part of collective, coordinated civil society actions. 569 organisations also responded to the consultation, many of these being NGOs. Of the remaining responses, 3144 stemmed from individual citizens, 445 from companies, trade unions etc., and eight from academics. Of the latter submissions, one was signed by 120 European academics</w:t>
      </w:r>
      <w:r w:rsidRPr="00163795">
        <w:rPr>
          <w:i/>
          <w:iCs/>
        </w:rPr>
        <w:t>, ‘</w:t>
      </w:r>
      <w:r w:rsidRPr="00163795">
        <w:t xml:space="preserve">Statement of Concern about Planned Provisions on Investment Protection and Investor-State Dispute Settlement (ISDS) in the Transatlantic Trade and Investment Partnership (TTIP)’ </w:t>
      </w:r>
      <w:r w:rsidRPr="00163795">
        <w:rPr>
          <w:i/>
          <w:iCs/>
        </w:rPr>
        <w:t>Kent Law School</w:t>
      </w:r>
      <w:r w:rsidRPr="00163795">
        <w:t>,</w:t>
      </w:r>
    </w:p>
    <w:p w14:paraId="299EF853" w14:textId="45CFD75E" w:rsidR="00526CCE" w:rsidRPr="00163795" w:rsidRDefault="00526CCE" w:rsidP="006C279A">
      <w:pPr>
        <w:pStyle w:val="Voetnoottekst"/>
        <w:jc w:val="both"/>
      </w:pPr>
      <w:r w:rsidRPr="00163795">
        <w:t>&lt;www.kent.ac.uk/law/isds_treaty_consultation.html&gt;.</w:t>
      </w:r>
    </w:p>
  </w:footnote>
  <w:footnote w:id="68">
    <w:p w14:paraId="1F33007A" w14:textId="65CE3B74" w:rsidR="00526CCE" w:rsidRDefault="00526CCE" w:rsidP="006C279A">
      <w:pPr>
        <w:pStyle w:val="Voetnoottekst"/>
        <w:jc w:val="both"/>
      </w:pPr>
      <w:r w:rsidRPr="00163795">
        <w:rPr>
          <w:rStyle w:val="Voetnootmarkering"/>
        </w:rPr>
        <w:footnoteRef/>
      </w:r>
      <w:r w:rsidRPr="00163795">
        <w:t xml:space="preserve"> European Commission, ‘Report on the Online public consultation on investment protection and investor-to-state dispute settlement (ISDS) in the Transatlantic Trade and Investment Partnership Agreement (TTIP)’ (Staff Working Document] SWD (2015)3 final</w:t>
      </w:r>
      <w:r>
        <w:t>,</w:t>
      </w:r>
    </w:p>
    <w:p w14:paraId="52A945AB" w14:textId="35324D5A" w:rsidR="00526CCE" w:rsidRPr="00163795" w:rsidRDefault="00526CCE" w:rsidP="006C279A">
      <w:pPr>
        <w:pStyle w:val="Voetnoottekst"/>
        <w:jc w:val="both"/>
      </w:pPr>
      <w:r w:rsidRPr="00163795">
        <w:t>&lt;http://trade.ec.europa.eu/doclib/docs/2015/january/tradoc_153044.pdf&gt;.</w:t>
      </w:r>
    </w:p>
  </w:footnote>
  <w:footnote w:id="69">
    <w:p w14:paraId="247044A8" w14:textId="77777777" w:rsidR="00526CCE" w:rsidRPr="00163795" w:rsidRDefault="00526CCE" w:rsidP="006C279A">
      <w:pPr>
        <w:pStyle w:val="Voetnoottekst"/>
        <w:jc w:val="both"/>
      </w:pPr>
      <w:r w:rsidRPr="00163795">
        <w:rPr>
          <w:rStyle w:val="Voetnootmarkering"/>
        </w:rPr>
        <w:footnoteRef/>
      </w:r>
      <w:r w:rsidRPr="00163795">
        <w:t xml:space="preserve"> Idem, p. 26.</w:t>
      </w:r>
    </w:p>
  </w:footnote>
  <w:footnote w:id="70">
    <w:p w14:paraId="0D405789" w14:textId="6A5E795E" w:rsidR="00526CCE" w:rsidRPr="0077265D" w:rsidRDefault="00526CCE" w:rsidP="006C279A">
      <w:pPr>
        <w:pStyle w:val="Voetnoottekst"/>
        <w:jc w:val="both"/>
        <w:rPr>
          <w:lang w:val="sv-SE"/>
        </w:rPr>
      </w:pPr>
      <w:r w:rsidRPr="00163795">
        <w:rPr>
          <w:rStyle w:val="Voetnootmarkering"/>
        </w:rPr>
        <w:footnoteRef/>
      </w:r>
      <w:r w:rsidRPr="0077265D">
        <w:rPr>
          <w:lang w:val="sv-SE"/>
        </w:rPr>
        <w:t xml:space="preserve"> Idem, p. 21.</w:t>
      </w:r>
      <w:r>
        <w:rPr>
          <w:lang w:val="sv-SE"/>
        </w:rPr>
        <w:t xml:space="preserve"> </w:t>
      </w:r>
      <w:r w:rsidRPr="002E0BA1">
        <w:rPr>
          <w:lang w:val="sv-SE"/>
        </w:rPr>
        <w:t>For instance, it was explained that NGO’s and trade unions had warned that ISDS would insufficiently address concerns regarding the right to regulate, whereas others (notably business representatives) had warned that investors might not be sufficiently protected any more if standards were to be lowered</w:t>
      </w:r>
      <w:r>
        <w:rPr>
          <w:lang w:val="sv-SE"/>
        </w:rPr>
        <w:t>.</w:t>
      </w:r>
    </w:p>
  </w:footnote>
  <w:footnote w:id="71">
    <w:p w14:paraId="58F994D1" w14:textId="2900B3C7" w:rsidR="00E03A28" w:rsidRPr="00E03A28" w:rsidRDefault="00E03A28">
      <w:pPr>
        <w:pStyle w:val="Voetnoottekst"/>
        <w:rPr>
          <w:lang w:val="sv-SE"/>
        </w:rPr>
      </w:pPr>
      <w:r>
        <w:rPr>
          <w:rStyle w:val="Voetnootmarkering"/>
        </w:rPr>
        <w:footnoteRef/>
      </w:r>
      <w:r w:rsidRPr="00E03A28">
        <w:rPr>
          <w:lang w:val="sv-SE"/>
        </w:rPr>
        <w:t xml:space="preserve"> </w:t>
      </w:r>
      <w:r w:rsidR="00797B33" w:rsidRPr="00797B33">
        <w:rPr>
          <w:lang w:val="sv-SE"/>
        </w:rPr>
        <w:t>European Parliament</w:t>
      </w:r>
      <w:r w:rsidR="00797B33">
        <w:rPr>
          <w:lang w:val="sv-SE"/>
        </w:rPr>
        <w:t xml:space="preserve">,  ’Resolution of </w:t>
      </w:r>
      <w:r w:rsidR="00797B33" w:rsidRPr="00797B33">
        <w:rPr>
          <w:lang w:val="sv-SE"/>
        </w:rPr>
        <w:t>containing the European Parliament’s recommendations to the European Commission on the negotiations for the Transatlantic Trade and Investment Partnership (TTIP)</w:t>
      </w:r>
      <w:r w:rsidR="00797B33">
        <w:rPr>
          <w:lang w:val="sv-SE"/>
        </w:rPr>
        <w:t xml:space="preserve">’. </w:t>
      </w:r>
      <w:r w:rsidR="00797B33" w:rsidRPr="00797B33">
        <w:rPr>
          <w:lang w:val="sv-SE"/>
        </w:rPr>
        <w:t xml:space="preserve"> (</w:t>
      </w:r>
      <w:hyperlink r:id="rId23" w:history="1">
        <w:r w:rsidR="00797B33" w:rsidRPr="00797B33">
          <w:rPr>
            <w:rStyle w:val="Hyperlink"/>
            <w:lang w:val="sv-SE"/>
          </w:rPr>
          <w:t>2014/2228(INI</w:t>
        </w:r>
      </w:hyperlink>
      <w:r w:rsidR="00797B33" w:rsidRPr="00797B33">
        <w:rPr>
          <w:lang w:val="sv-SE"/>
        </w:rPr>
        <w:t>))</w:t>
      </w:r>
      <w:r w:rsidR="00797B33">
        <w:rPr>
          <w:lang w:val="sv-SE"/>
        </w:rPr>
        <w:t xml:space="preserve">. </w:t>
      </w:r>
      <w:r w:rsidRPr="00E03A28">
        <w:rPr>
          <w:lang w:val="sv-SE"/>
        </w:rPr>
        <w:t>This contentious point was adopted by 447 votes for to 229 against, with 30 abstentions.</w:t>
      </w:r>
    </w:p>
  </w:footnote>
  <w:footnote w:id="72">
    <w:p w14:paraId="560D3DF0" w14:textId="48132F29" w:rsidR="00526CCE" w:rsidRPr="0077265D" w:rsidRDefault="00526CCE" w:rsidP="006C279A">
      <w:pPr>
        <w:pStyle w:val="Voetnoottekst"/>
        <w:jc w:val="both"/>
        <w:rPr>
          <w:lang w:val="sv-SE"/>
        </w:rPr>
      </w:pPr>
      <w:r>
        <w:rPr>
          <w:rStyle w:val="Voetnootmarkering"/>
        </w:rPr>
        <w:footnoteRef/>
      </w:r>
      <w:r w:rsidRPr="0077265D">
        <w:rPr>
          <w:lang w:val="sv-SE"/>
        </w:rPr>
        <w:t xml:space="preserve"> </w:t>
      </w:r>
      <w:r>
        <w:rPr>
          <w:lang w:val="sv-SE"/>
        </w:rPr>
        <w:t>&lt;</w:t>
      </w:r>
      <w:r w:rsidRPr="0077265D">
        <w:rPr>
          <w:lang w:val="sv-SE"/>
        </w:rPr>
        <w:t>http://trade.ec.europa.eu/doclib/docs/2015/september/tradoc_153807.pdf</w:t>
      </w:r>
      <w:r>
        <w:rPr>
          <w:lang w:val="sv-SE"/>
        </w:rPr>
        <w:t>&gt;.</w:t>
      </w:r>
    </w:p>
  </w:footnote>
  <w:footnote w:id="73">
    <w:p w14:paraId="74EDF253" w14:textId="77777777" w:rsidR="00E66D06" w:rsidRPr="00163795" w:rsidRDefault="00E66D06" w:rsidP="006C279A">
      <w:pPr>
        <w:pStyle w:val="Voetnoottekst"/>
        <w:jc w:val="both"/>
        <w:rPr>
          <w:lang w:val="en-US"/>
        </w:rPr>
      </w:pPr>
      <w:r w:rsidRPr="00163795">
        <w:rPr>
          <w:rStyle w:val="Voetnootmarkering"/>
        </w:rPr>
        <w:footnoteRef/>
      </w:r>
      <w:r w:rsidRPr="00163795">
        <w:t xml:space="preserve"> </w:t>
      </w:r>
      <w:r w:rsidRPr="00163795">
        <w:rPr>
          <w:lang w:val="en-US"/>
        </w:rPr>
        <w:t xml:space="preserve">Global Justice Now, quoted by W. Louch, </w:t>
      </w:r>
      <w:r w:rsidRPr="00163795">
        <w:rPr>
          <w:i/>
          <w:iCs/>
          <w:lang w:val="en-US"/>
        </w:rPr>
        <w:t>EU Commission TTIP proposal attacked by MEPs and campaigners</w:t>
      </w:r>
      <w:r w:rsidRPr="00163795">
        <w:rPr>
          <w:lang w:val="en-US"/>
        </w:rPr>
        <w:t>, The Parliament Magazine, 12 November 2015.</w:t>
      </w:r>
    </w:p>
  </w:footnote>
  <w:footnote w:id="74">
    <w:p w14:paraId="67764440" w14:textId="77777777" w:rsidR="00E66D06" w:rsidRPr="00163795" w:rsidRDefault="00E66D06" w:rsidP="006C279A">
      <w:pPr>
        <w:pStyle w:val="Voetnoottekst"/>
        <w:jc w:val="both"/>
        <w:rPr>
          <w:lang w:val="nl-NL"/>
        </w:rPr>
      </w:pPr>
      <w:r w:rsidRPr="00163795">
        <w:rPr>
          <w:rStyle w:val="Voetnootmarkering"/>
        </w:rPr>
        <w:footnoteRef/>
      </w:r>
      <w:r w:rsidRPr="00163795">
        <w:rPr>
          <w:lang w:val="nl-NL"/>
        </w:rPr>
        <w:t xml:space="preserve"> Stephane Alsonso, ‘Nederland zaagt aan interne</w:t>
      </w:r>
    </w:p>
  </w:footnote>
  <w:footnote w:id="75">
    <w:p w14:paraId="3982C34D" w14:textId="582BF76C" w:rsidR="00526CCE" w:rsidRPr="00E07780" w:rsidRDefault="00526CCE" w:rsidP="006C279A">
      <w:pPr>
        <w:pStyle w:val="Voetnoottekst"/>
        <w:jc w:val="both"/>
        <w:rPr>
          <w:lang w:val="sv-SE"/>
        </w:rPr>
      </w:pPr>
      <w:r>
        <w:rPr>
          <w:rStyle w:val="Voetnootmarkering"/>
        </w:rPr>
        <w:footnoteRef/>
      </w:r>
      <w:r w:rsidRPr="00E07780">
        <w:rPr>
          <w:lang w:val="sv-SE"/>
        </w:rPr>
        <w:t xml:space="preserve"> </w:t>
      </w:r>
      <w:r>
        <w:rPr>
          <w:lang w:val="sv-SE"/>
        </w:rPr>
        <w:t>&lt;</w:t>
      </w:r>
      <w:hyperlink r:id="rId24" w:history="1">
        <w:r w:rsidRPr="00E07780">
          <w:rPr>
            <w:rStyle w:val="Hyperlink"/>
            <w:lang w:val="sv-SE"/>
          </w:rPr>
          <w:t>http://trade.ec.europa.eu/doclib/docs/2015/november/tradoc_153955.pdf</w:t>
        </w:r>
      </w:hyperlink>
      <w:r>
        <w:rPr>
          <w:rStyle w:val="Hyperlink"/>
          <w:lang w:val="sv-SE"/>
        </w:rPr>
        <w:t>&gt;</w:t>
      </w:r>
      <w:r>
        <w:rPr>
          <w:lang w:val="sv-SE"/>
        </w:rPr>
        <w:t>.</w:t>
      </w:r>
    </w:p>
  </w:footnote>
  <w:footnote w:id="76">
    <w:p w14:paraId="204C938B" w14:textId="77777777" w:rsidR="00526CCE" w:rsidRPr="00163795" w:rsidRDefault="00526CCE" w:rsidP="006C279A">
      <w:pPr>
        <w:pStyle w:val="Voetnoottekst"/>
        <w:jc w:val="both"/>
      </w:pPr>
      <w:r w:rsidRPr="00163795">
        <w:rPr>
          <w:rStyle w:val="Voetnootmarkering"/>
        </w:rPr>
        <w:footnoteRef/>
      </w:r>
      <w:r w:rsidRPr="00163795">
        <w:t xml:space="preserve"> European Commission, ‘CETA: EU and Canada agree on new approach on investment in trade agreement’ (29 February 2016) </w:t>
      </w:r>
      <w:r w:rsidRPr="00163795">
        <w:rPr>
          <w:i/>
          <w:iCs/>
        </w:rPr>
        <w:t>European Commission Press Release</w:t>
      </w:r>
      <w:r w:rsidRPr="00163795">
        <w:t xml:space="preserve"> &lt;europa.eu/rapid/press-release_IP-16-399_en.htm&gt;.</w:t>
      </w:r>
    </w:p>
  </w:footnote>
  <w:footnote w:id="77">
    <w:p w14:paraId="27C0E7D5" w14:textId="7F2755ED" w:rsidR="00526CCE" w:rsidRPr="00CA31B7" w:rsidRDefault="00526CCE">
      <w:pPr>
        <w:pStyle w:val="Voetnoottekst"/>
        <w:rPr>
          <w:lang w:val="en-US"/>
        </w:rPr>
      </w:pPr>
      <w:r>
        <w:rPr>
          <w:rStyle w:val="Voetnootmarkering"/>
        </w:rPr>
        <w:footnoteRef/>
      </w:r>
      <w:r>
        <w:t xml:space="preserve"> The Economist, ‘Hot-air Walloons’, 22 October 2016,  &lt;</w:t>
      </w:r>
      <w:r w:rsidRPr="00CA31B7">
        <w:t>www.economist.com/news/europe/21709060-tiny-region-belgium-opposes-trade-reasons-are-hard-understand-wallonia</w:t>
      </w:r>
      <w:r>
        <w:t>&gt;.</w:t>
      </w:r>
    </w:p>
  </w:footnote>
  <w:footnote w:id="78">
    <w:p w14:paraId="559307AD" w14:textId="0B030AA9" w:rsidR="00526CCE" w:rsidRPr="00426AAC" w:rsidRDefault="00526CCE">
      <w:pPr>
        <w:pStyle w:val="Voetnoottekst"/>
      </w:pPr>
      <w:r>
        <w:rPr>
          <w:rStyle w:val="Voetnootmarkering"/>
        </w:rPr>
        <w:footnoteRef/>
      </w:r>
      <w:r>
        <w:t xml:space="preserve"> </w:t>
      </w:r>
      <w:r w:rsidR="00C360F1">
        <w:t>ECLI:EU:C:2014:2454.</w:t>
      </w:r>
    </w:p>
  </w:footnote>
  <w:footnote w:id="79">
    <w:p w14:paraId="41B681C5" w14:textId="1B6B3A7C" w:rsidR="00526CCE" w:rsidRPr="00426AAC" w:rsidRDefault="00526CCE">
      <w:pPr>
        <w:pStyle w:val="Voetnoottekst"/>
      </w:pPr>
      <w:r>
        <w:rPr>
          <w:rStyle w:val="Voetnootmarkering"/>
        </w:rPr>
        <w:footnoteRef/>
      </w:r>
      <w:r>
        <w:t xml:space="preserve"> </w:t>
      </w:r>
      <w:r w:rsidR="005030E5">
        <w:t>ECLI:EU:C:</w:t>
      </w:r>
      <w:r w:rsidR="00861252">
        <w:t>2011:123.</w:t>
      </w:r>
    </w:p>
  </w:footnote>
  <w:footnote w:id="80">
    <w:p w14:paraId="648DE4C8" w14:textId="0DB21FED" w:rsidR="00526CCE" w:rsidRPr="00426AAC" w:rsidRDefault="00526CCE">
      <w:pPr>
        <w:pStyle w:val="Voetnoottekst"/>
      </w:pPr>
      <w:r>
        <w:rPr>
          <w:rStyle w:val="Voetnootmarkering"/>
        </w:rPr>
        <w:footnoteRef/>
      </w:r>
      <w:r>
        <w:t xml:space="preserve"> </w:t>
      </w:r>
      <w:r w:rsidR="00861252">
        <w:t>ECLI:EU:C:</w:t>
      </w:r>
      <w:r w:rsidR="009164C0">
        <w:t>1991:490.</w:t>
      </w:r>
    </w:p>
  </w:footnote>
  <w:footnote w:id="81">
    <w:p w14:paraId="4DD860B5" w14:textId="644A8F35" w:rsidR="00526CCE" w:rsidRPr="00426AAC" w:rsidRDefault="00526CCE">
      <w:pPr>
        <w:pStyle w:val="Voetnoottekst"/>
      </w:pPr>
      <w:r>
        <w:rPr>
          <w:rStyle w:val="Voetnootmarkering"/>
        </w:rPr>
        <w:footnoteRef/>
      </w:r>
      <w:r>
        <w:t xml:space="preserve"> </w:t>
      </w:r>
      <w:r w:rsidR="00980380">
        <w:t>ECLI:EU:C:1977:63.</w:t>
      </w:r>
    </w:p>
  </w:footnote>
  <w:footnote w:id="82">
    <w:p w14:paraId="0CDEA605" w14:textId="77777777" w:rsidR="00973317" w:rsidRPr="00F5141B" w:rsidRDefault="00973317" w:rsidP="00973317">
      <w:pPr>
        <w:pStyle w:val="Voetnoottekst"/>
        <w:rPr>
          <w:lang w:val="en-US"/>
        </w:rPr>
      </w:pPr>
      <w:r>
        <w:rPr>
          <w:rStyle w:val="Voetnootmarkering"/>
        </w:rPr>
        <w:footnoteRef/>
      </w:r>
      <w:r>
        <w:t xml:space="preserve"> A</w:t>
      </w:r>
      <w:r w:rsidRPr="00F5141B">
        <w:t>s laid down in Articles 215</w:t>
      </w:r>
      <w:r w:rsidRPr="00F5141B">
        <w:rPr>
          <w:rFonts w:ascii="Cambria Math" w:hAnsi="Cambria Math" w:cs="Cambria Math"/>
        </w:rPr>
        <w:t>‑</w:t>
      </w:r>
      <w:r>
        <w:t>235 TFEU.</w:t>
      </w:r>
    </w:p>
  </w:footnote>
  <w:footnote w:id="83">
    <w:p w14:paraId="38CCCECE" w14:textId="77777777" w:rsidR="00526CCE" w:rsidRPr="0093248E" w:rsidRDefault="00526CCE" w:rsidP="00D31DCE">
      <w:pPr>
        <w:spacing w:after="0" w:line="240" w:lineRule="auto"/>
        <w:jc w:val="both"/>
        <w:rPr>
          <w:sz w:val="20"/>
          <w:szCs w:val="20"/>
        </w:rPr>
      </w:pPr>
      <w:r>
        <w:rPr>
          <w:rStyle w:val="Voetnootmarkering"/>
        </w:rPr>
        <w:footnoteRef/>
      </w:r>
      <w:r>
        <w:t xml:space="preserve"> </w:t>
      </w:r>
      <w:r>
        <w:rPr>
          <w:sz w:val="20"/>
          <w:szCs w:val="20"/>
        </w:rPr>
        <w:t>Article 8.31 para 3 CETA adds that w</w:t>
      </w:r>
      <w:r w:rsidRPr="004B7BD4">
        <w:rPr>
          <w:sz w:val="20"/>
          <w:szCs w:val="20"/>
        </w:rPr>
        <w:t>here serious concerns arise as regards matters of interpretation that may affect investment, the Committee on Services and Investme</w:t>
      </w:r>
      <w:r>
        <w:rPr>
          <w:sz w:val="20"/>
          <w:szCs w:val="20"/>
        </w:rPr>
        <w:t xml:space="preserve">nt may </w:t>
      </w:r>
      <w:r w:rsidRPr="004B7BD4">
        <w:rPr>
          <w:sz w:val="20"/>
          <w:szCs w:val="20"/>
        </w:rPr>
        <w:t>recommend to the CETA Joint Committee the adoption of int</w:t>
      </w:r>
      <w:r>
        <w:rPr>
          <w:sz w:val="20"/>
          <w:szCs w:val="20"/>
        </w:rPr>
        <w:t>erpretations of this Agreement that are binding on Tribunals.</w:t>
      </w:r>
    </w:p>
  </w:footnote>
  <w:footnote w:id="84">
    <w:p w14:paraId="794C3930" w14:textId="05AAB9C1" w:rsidR="00526CCE" w:rsidRPr="00090C1C" w:rsidRDefault="00526CCE" w:rsidP="006C279A">
      <w:pPr>
        <w:spacing w:after="0"/>
        <w:jc w:val="both"/>
        <w:rPr>
          <w:sz w:val="20"/>
          <w:szCs w:val="20"/>
        </w:rPr>
      </w:pPr>
      <w:r>
        <w:rPr>
          <w:rStyle w:val="Voetnootmarkering"/>
        </w:rPr>
        <w:footnoteRef/>
      </w:r>
      <w:r>
        <w:t xml:space="preserve"> </w:t>
      </w:r>
      <w:r w:rsidRPr="00090C1C">
        <w:rPr>
          <w:sz w:val="20"/>
          <w:szCs w:val="20"/>
        </w:rPr>
        <w:t xml:space="preserve">Case 181/73, </w:t>
      </w:r>
      <w:r w:rsidRPr="00090C1C">
        <w:rPr>
          <w:i/>
          <w:sz w:val="20"/>
          <w:szCs w:val="20"/>
        </w:rPr>
        <w:t>Haegeman</w:t>
      </w:r>
      <w:r w:rsidRPr="00090C1C">
        <w:rPr>
          <w:sz w:val="20"/>
          <w:szCs w:val="20"/>
        </w:rPr>
        <w:t xml:space="preserve"> [1974] </w:t>
      </w:r>
      <w:r>
        <w:rPr>
          <w:sz w:val="20"/>
          <w:szCs w:val="20"/>
        </w:rPr>
        <w:t>ECR</w:t>
      </w:r>
      <w:r w:rsidRPr="00090C1C">
        <w:rPr>
          <w:sz w:val="20"/>
          <w:szCs w:val="20"/>
        </w:rPr>
        <w:t xml:space="preserve"> 449, para. 5.</w:t>
      </w:r>
    </w:p>
  </w:footnote>
  <w:footnote w:id="85">
    <w:p w14:paraId="7D4170FD" w14:textId="494BDD46" w:rsidR="00526CCE" w:rsidRDefault="00526CCE" w:rsidP="006C279A">
      <w:pPr>
        <w:pStyle w:val="Voetnoottekst"/>
        <w:jc w:val="both"/>
      </w:pPr>
      <w:r>
        <w:rPr>
          <w:rStyle w:val="Voetnootmarkering"/>
        </w:rPr>
        <w:footnoteRef/>
      </w:r>
      <w:r>
        <w:t xml:space="preserve"> Compare European Commission, ‘Amicus Curiae submission in </w:t>
      </w:r>
      <w:r w:rsidRPr="00293B08">
        <w:rPr>
          <w:i/>
        </w:rPr>
        <w:t>European American Investment Bank AG (EURAM)</w:t>
      </w:r>
      <w:r>
        <w:t xml:space="preserve"> v. </w:t>
      </w:r>
      <w:r w:rsidRPr="00293B08">
        <w:rPr>
          <w:i/>
        </w:rPr>
        <w:t xml:space="preserve">Slovak Republic </w:t>
      </w:r>
      <w:r>
        <w:t>(13 October 2011).</w:t>
      </w:r>
    </w:p>
  </w:footnote>
  <w:footnote w:id="86">
    <w:p w14:paraId="52767F28" w14:textId="39F47864" w:rsidR="00526CCE" w:rsidRPr="00271984" w:rsidRDefault="00526CCE" w:rsidP="006C279A">
      <w:pPr>
        <w:pStyle w:val="Voetnoottekst"/>
        <w:jc w:val="both"/>
        <w:rPr>
          <w:lang w:val="fr-FR"/>
        </w:rPr>
      </w:pPr>
      <w:r>
        <w:rPr>
          <w:rStyle w:val="Voetnootmarkering"/>
        </w:rPr>
        <w:footnoteRef/>
      </w:r>
      <w:r w:rsidRPr="00E07780">
        <w:rPr>
          <w:lang w:val="fr-FR"/>
        </w:rPr>
        <w:t xml:space="preserve"> Montesquieu, ‘De l’esprit des lois’ (1748), Livre XI Chapitre VI.</w:t>
      </w:r>
      <w:r w:rsidRPr="00E07780">
        <w:rPr>
          <w:lang w:val="fr-FR"/>
        </w:rPr>
        <w:tab/>
        <w:t xml:space="preserve"> </w:t>
      </w:r>
      <w:r w:rsidRPr="00E07780">
        <w:rPr>
          <w:vanish/>
          <w:lang w:val="fr-FR"/>
        </w:rPr>
        <w:t>http://classiques.uqac.ca/classiques/montesquieu/de_esprit_des_lois/partie_2/esprit_des_lois_Livre_2.pdf</w:t>
      </w:r>
    </w:p>
  </w:footnote>
  <w:footnote w:id="87">
    <w:p w14:paraId="751209F3" w14:textId="19F46B03" w:rsidR="00526CCE" w:rsidRPr="0012347F" w:rsidRDefault="00526CCE" w:rsidP="0012347F">
      <w:pPr>
        <w:spacing w:after="0" w:line="240" w:lineRule="auto"/>
        <w:jc w:val="both"/>
        <w:rPr>
          <w:color w:val="000000" w:themeColor="text1"/>
          <w:sz w:val="20"/>
          <w:szCs w:val="20"/>
        </w:rPr>
      </w:pPr>
      <w:r>
        <w:rPr>
          <w:rStyle w:val="Voetnootmarkering"/>
        </w:rPr>
        <w:footnoteRef/>
      </w:r>
      <w:r>
        <w:t xml:space="preserve"> </w:t>
      </w:r>
      <w:r w:rsidRPr="00A8303D">
        <w:rPr>
          <w:sz w:val="20"/>
          <w:szCs w:val="20"/>
        </w:rPr>
        <w:t>Article 8.10 CETA does determine that</w:t>
      </w:r>
      <w:r w:rsidRPr="00A8303D">
        <w:rPr>
          <w:color w:val="000000" w:themeColor="text1"/>
          <w:sz w:val="20"/>
          <w:szCs w:val="20"/>
        </w:rPr>
        <w:t xml:space="preserve"> ‘the fact that a measure breaches domestic law does not, in and of itself, establish a breach of </w:t>
      </w:r>
      <w:r>
        <w:rPr>
          <w:color w:val="000000" w:themeColor="text1"/>
          <w:sz w:val="20"/>
          <w:szCs w:val="20"/>
        </w:rPr>
        <w:t xml:space="preserve">the FET </w:t>
      </w:r>
      <w:r w:rsidRPr="00A8303D">
        <w:rPr>
          <w:color w:val="000000" w:themeColor="text1"/>
          <w:sz w:val="20"/>
          <w:szCs w:val="20"/>
        </w:rPr>
        <w:t xml:space="preserve">provision. In a somewhat circular manner, the article further explains that in order to ascertain whether the measure breaches the FET provision, a Tribunal must consider whether a CETA Party has acted inconsistently with the FET obligations set </w:t>
      </w:r>
      <w:r>
        <w:rPr>
          <w:color w:val="000000" w:themeColor="text1"/>
          <w:sz w:val="20"/>
          <w:szCs w:val="20"/>
        </w:rPr>
        <w:t>out in the previous paragraphs.</w:t>
      </w:r>
    </w:p>
  </w:footnote>
  <w:footnote w:id="88">
    <w:p w14:paraId="78CD3E46" w14:textId="372DEBD3" w:rsidR="00526CCE" w:rsidRDefault="00526CCE" w:rsidP="0012347F">
      <w:pPr>
        <w:pStyle w:val="Voetnoottekst"/>
        <w:jc w:val="both"/>
      </w:pPr>
      <w:r>
        <w:rPr>
          <w:rStyle w:val="Voetnootmarkering"/>
        </w:rPr>
        <w:footnoteRef/>
      </w:r>
      <w:r>
        <w:t xml:space="preserve"> Compare L Ankersmit, ‘The Compatibility of Investment Arbitration in EU Trade Agreements with the EU Judicial System’, JEEPL </w:t>
      </w:r>
      <w:r w:rsidRPr="006512FD">
        <w:t>13 (2016) 46-63</w:t>
      </w:r>
      <w:r>
        <w:t xml:space="preserve"> at 53.</w:t>
      </w:r>
    </w:p>
  </w:footnote>
  <w:footnote w:id="89">
    <w:p w14:paraId="204C9397" w14:textId="77777777" w:rsidR="00526CCE" w:rsidRPr="00163795" w:rsidRDefault="00526CCE" w:rsidP="006C279A">
      <w:pPr>
        <w:pStyle w:val="Voetnoottekst"/>
        <w:jc w:val="both"/>
        <w:rPr>
          <w:lang w:val="en-US"/>
        </w:rPr>
      </w:pPr>
      <w:r w:rsidRPr="00163795">
        <w:rPr>
          <w:rStyle w:val="Voetnootmarkering"/>
        </w:rPr>
        <w:footnoteRef/>
      </w:r>
      <w:r w:rsidRPr="00163795">
        <w:t xml:space="preserve"> Art. 8.9(1) CETA.</w:t>
      </w:r>
    </w:p>
  </w:footnote>
  <w:footnote w:id="90">
    <w:p w14:paraId="204C9398" w14:textId="77777777" w:rsidR="00526CCE" w:rsidRPr="00163795" w:rsidRDefault="00526CCE" w:rsidP="006C279A">
      <w:pPr>
        <w:pStyle w:val="Voetnoottekst"/>
        <w:jc w:val="both"/>
      </w:pPr>
      <w:r w:rsidRPr="00163795">
        <w:rPr>
          <w:rStyle w:val="Voetnootmarkering"/>
        </w:rPr>
        <w:footnoteRef/>
      </w:r>
      <w:r w:rsidRPr="00163795">
        <w:t xml:space="preserve"> Art. 2(1) Investment Chapter TTIP.</w:t>
      </w:r>
    </w:p>
  </w:footnote>
  <w:footnote w:id="91">
    <w:p w14:paraId="204C9399" w14:textId="77777777"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Art. 8.10 CETA.</w:t>
      </w:r>
    </w:p>
  </w:footnote>
  <w:footnote w:id="92">
    <w:p w14:paraId="204C939C" w14:textId="77777777" w:rsidR="00526CCE" w:rsidRPr="00163795" w:rsidRDefault="00526CCE" w:rsidP="006C279A">
      <w:pPr>
        <w:pStyle w:val="Voetnoottekst"/>
        <w:jc w:val="both"/>
      </w:pPr>
      <w:r w:rsidRPr="00163795">
        <w:rPr>
          <w:rStyle w:val="Voetnootmarkering"/>
        </w:rPr>
        <w:footnoteRef/>
      </w:r>
      <w:r w:rsidRPr="00163795">
        <w:t xml:space="preserve"> Article 3 Annex 8-A CETA.</w:t>
      </w:r>
    </w:p>
  </w:footnote>
  <w:footnote w:id="93">
    <w:p w14:paraId="6CA1E050" w14:textId="77777777" w:rsidR="00183EF3" w:rsidRPr="00163795" w:rsidRDefault="00183EF3" w:rsidP="006C279A">
      <w:pPr>
        <w:pStyle w:val="Voetnoottekst"/>
        <w:jc w:val="both"/>
        <w:rPr>
          <w:lang w:val="en-US"/>
        </w:rPr>
      </w:pPr>
      <w:r w:rsidRPr="00163795">
        <w:rPr>
          <w:rStyle w:val="Voetnootmarkering"/>
        </w:rPr>
        <w:footnoteRef/>
      </w:r>
      <w:r w:rsidRPr="00163795">
        <w:t xml:space="preserve"> </w:t>
      </w:r>
    </w:p>
  </w:footnote>
  <w:footnote w:id="94">
    <w:p w14:paraId="19274D15" w14:textId="77777777" w:rsidR="00183EF3" w:rsidRPr="00163795" w:rsidRDefault="00183EF3" w:rsidP="006C279A">
      <w:pPr>
        <w:pStyle w:val="Voetnoottekst"/>
        <w:jc w:val="both"/>
        <w:rPr>
          <w:lang w:val="en-US"/>
        </w:rPr>
      </w:pPr>
      <w:r w:rsidRPr="00163795">
        <w:rPr>
          <w:rStyle w:val="Voetnootmarkering"/>
        </w:rPr>
        <w:footnoteRef/>
      </w:r>
      <w:r w:rsidRPr="00163795">
        <w:t xml:space="preserve"> </w:t>
      </w:r>
      <w:r w:rsidRPr="00163795">
        <w:rPr>
          <w:lang w:val="en-US"/>
        </w:rPr>
        <w:t>Idem, p. 81.</w:t>
      </w:r>
    </w:p>
  </w:footnote>
  <w:footnote w:id="95">
    <w:p w14:paraId="61172942" w14:textId="77777777" w:rsidR="006E6E35" w:rsidRPr="00163795" w:rsidRDefault="006E6E35" w:rsidP="006C279A">
      <w:pPr>
        <w:pStyle w:val="Voetnoottekst"/>
        <w:jc w:val="both"/>
      </w:pPr>
      <w:r w:rsidRPr="00163795">
        <w:rPr>
          <w:rStyle w:val="Voetnootmarkering"/>
        </w:rPr>
        <w:footnoteRef/>
      </w:r>
      <w:r w:rsidRPr="00163795">
        <w:t xml:space="preserve"> Case No. ARB (AF)/97/1 </w:t>
      </w:r>
      <w:r w:rsidRPr="00163795">
        <w:rPr>
          <w:i/>
          <w:iCs/>
        </w:rPr>
        <w:t>Metalclad Corporation</w:t>
      </w:r>
      <w:r w:rsidRPr="00163795">
        <w:t xml:space="preserve"> v. </w:t>
      </w:r>
      <w:r w:rsidRPr="00163795">
        <w:rPr>
          <w:i/>
          <w:iCs/>
        </w:rPr>
        <w:t>United Mexican States</w:t>
      </w:r>
      <w:r w:rsidRPr="00163795">
        <w:t>, International Center for Settlement of Investment Disputes [2000]. The arbiters found that “the Municipality’s insistence upon and denial of the construction permit in this instance was improper” and that “this conclusion is not affected by NAFTA Article 1114” (paras 97 and 98 award). The amount</w:t>
      </w:r>
      <w:r>
        <w:t xml:space="preserve"> was reduced to $15.6 million. </w:t>
      </w:r>
      <w:r w:rsidRPr="00163795">
        <w:t>See &lt;www.citizen.org/documents/ACF186.PDF&gt;, at 12.</w:t>
      </w:r>
    </w:p>
  </w:footnote>
  <w:footnote w:id="96">
    <w:p w14:paraId="5096BA6B" w14:textId="77777777" w:rsidR="006E6E35" w:rsidRPr="00163795" w:rsidRDefault="006E6E35" w:rsidP="006C279A">
      <w:pPr>
        <w:pStyle w:val="Voetnoottekst"/>
        <w:jc w:val="both"/>
      </w:pPr>
      <w:r w:rsidRPr="00163795">
        <w:rPr>
          <w:rStyle w:val="Voetnootmarkering"/>
        </w:rPr>
        <w:footnoteRef/>
      </w:r>
      <w:r w:rsidRPr="00163795">
        <w:t xml:space="preserve"> </w:t>
      </w:r>
    </w:p>
  </w:footnote>
  <w:footnote w:id="97">
    <w:p w14:paraId="204C939D" w14:textId="77777777" w:rsidR="00526CCE" w:rsidRPr="00163795" w:rsidRDefault="00526CCE" w:rsidP="006C279A">
      <w:pPr>
        <w:pStyle w:val="Voetnoottekst"/>
        <w:jc w:val="both"/>
      </w:pPr>
      <w:r w:rsidRPr="00163795">
        <w:rPr>
          <w:rStyle w:val="Voetnootmarkering"/>
        </w:rPr>
        <w:footnoteRef/>
      </w:r>
      <w:r w:rsidRPr="00163795">
        <w:t xml:space="preserve"> </w:t>
      </w:r>
      <w:r w:rsidRPr="00163795">
        <w:rPr>
          <w:i/>
          <w:iCs/>
        </w:rPr>
        <w:t>Ethyl Corporation v. Canada</w:t>
      </w:r>
      <w:r w:rsidRPr="00163795">
        <w:t>, award on jurisdiction 24 June 1998, &lt;www.italaw.com/cases/409&gt;. MMT stands for methylcyclopentadienyl manganese tricarbonyl and contains the heavy metal manganese, a neuro-toxin.</w:t>
      </w:r>
    </w:p>
  </w:footnote>
  <w:footnote w:id="98">
    <w:p w14:paraId="204C939E" w14:textId="77777777" w:rsidR="00526CCE" w:rsidRPr="00163795" w:rsidRDefault="00526CCE" w:rsidP="006C279A">
      <w:pPr>
        <w:pStyle w:val="Voetnoottekst"/>
        <w:jc w:val="both"/>
      </w:pPr>
      <w:r w:rsidRPr="00163795">
        <w:rPr>
          <w:rStyle w:val="Voetnootmarkering"/>
        </w:rPr>
        <w:footnoteRef/>
      </w:r>
      <w:r w:rsidRPr="00163795">
        <w:t xml:space="preserve"> Case C-343/09</w:t>
      </w:r>
      <w:r w:rsidRPr="00163795">
        <w:rPr>
          <w:i/>
          <w:iCs/>
        </w:rPr>
        <w:t xml:space="preserve"> Afton Chemical</w:t>
      </w:r>
      <w:r w:rsidRPr="00163795">
        <w:t>, [2010] ECR I-7027.</w:t>
      </w:r>
    </w:p>
  </w:footnote>
  <w:footnote w:id="99">
    <w:p w14:paraId="3E6D10E6" w14:textId="77777777" w:rsidR="00656D75" w:rsidRPr="00163795" w:rsidRDefault="00656D75" w:rsidP="006C279A">
      <w:pPr>
        <w:pStyle w:val="Voetnoottekst"/>
        <w:jc w:val="both"/>
      </w:pPr>
      <w:r w:rsidRPr="00163795">
        <w:rPr>
          <w:rStyle w:val="Voetnootmarkering"/>
        </w:rPr>
        <w:footnoteRef/>
      </w:r>
      <w:r w:rsidRPr="00163795">
        <w:t xml:space="preserve"> </w:t>
      </w:r>
      <w:r w:rsidRPr="00A50487">
        <w:rPr>
          <w:i/>
        </w:rPr>
        <w:t>Bilcon</w:t>
      </w:r>
      <w:r>
        <w:t xml:space="preserve"> v </w:t>
      </w:r>
      <w:r w:rsidRPr="00A50487">
        <w:rPr>
          <w:i/>
        </w:rPr>
        <w:t>Canada</w:t>
      </w:r>
      <w:r>
        <w:t xml:space="preserve">, see fn </w:t>
      </w:r>
      <w:r>
        <w:fldChar w:fldCharType="begin"/>
      </w:r>
      <w:r>
        <w:instrText xml:space="preserve"> NOTEREF _Ref462696658 \h  \* MERGEFORMAT </w:instrText>
      </w:r>
      <w:r>
        <w:fldChar w:fldCharType="separate"/>
      </w:r>
      <w:r>
        <w:t>23</w:t>
      </w:r>
      <w:r>
        <w:fldChar w:fldCharType="end"/>
      </w:r>
      <w:r>
        <w:t xml:space="preserve"> above. </w:t>
      </w:r>
      <w:r w:rsidRPr="00163795">
        <w:t>While Bilcon is seeking $300 million in damages, the amount to be paid was not yet decided.</w:t>
      </w:r>
    </w:p>
  </w:footnote>
  <w:footnote w:id="100">
    <w:p w14:paraId="66D24FEC" w14:textId="77777777" w:rsidR="0048632D" w:rsidRPr="00163795" w:rsidRDefault="0048632D" w:rsidP="006C279A">
      <w:pPr>
        <w:pStyle w:val="Voetnoottekst"/>
        <w:jc w:val="both"/>
      </w:pPr>
      <w:r w:rsidRPr="00163795">
        <w:rPr>
          <w:rStyle w:val="Voetnootmarkering"/>
        </w:rPr>
        <w:footnoteRef/>
      </w:r>
      <w:r w:rsidRPr="00163795">
        <w:t xml:space="preserve"> Dissenting Opinion of Professor Donald McRae, &lt;www.italaw.com/sites/default/files/case-documents/italaw4213.pdf&gt;.</w:t>
      </w:r>
    </w:p>
  </w:footnote>
  <w:footnote w:id="101">
    <w:p w14:paraId="142C32C6" w14:textId="24B3B256" w:rsidR="001A3669" w:rsidRDefault="001A3669">
      <w:pPr>
        <w:pStyle w:val="Voetnoottekst"/>
      </w:pPr>
      <w:r>
        <w:rPr>
          <w:rStyle w:val="Voetnootmarkering"/>
        </w:rPr>
        <w:footnoteRef/>
      </w:r>
      <w:r>
        <w:t xml:space="preserve"> </w:t>
      </w:r>
      <w:r w:rsidR="00E56728">
        <w:t>12</w:t>
      </w:r>
      <w:r w:rsidR="006F33B5">
        <w:t>0 academics, fn. 2 above, under Question 3, point 1.</w:t>
      </w:r>
    </w:p>
  </w:footnote>
  <w:footnote w:id="102">
    <w:p w14:paraId="3A8C390C" w14:textId="751382B5" w:rsidR="00106F2E" w:rsidRDefault="00106F2E">
      <w:pPr>
        <w:pStyle w:val="Voetnoottekst"/>
      </w:pPr>
      <w:r>
        <w:rPr>
          <w:rStyle w:val="Voetnootmarkering"/>
        </w:rPr>
        <w:footnoteRef/>
      </w:r>
      <w:r>
        <w:t xml:space="preserve"> Idem, under Question 4.</w:t>
      </w:r>
    </w:p>
  </w:footnote>
  <w:footnote w:id="103">
    <w:p w14:paraId="1C371D27" w14:textId="4C03C7AA" w:rsidR="00526CCE" w:rsidRPr="008F28E2" w:rsidRDefault="00526CCE">
      <w:pPr>
        <w:pStyle w:val="Voetnoottekst"/>
        <w:rPr>
          <w:lang w:val="en-US"/>
        </w:rPr>
      </w:pPr>
      <w:r>
        <w:rPr>
          <w:rStyle w:val="Voetnootmarkering"/>
        </w:rPr>
        <w:footnoteRef/>
      </w:r>
      <w:r>
        <w:t xml:space="preserve"> </w:t>
      </w:r>
      <w:r w:rsidRPr="005A5ED7">
        <w:rPr>
          <w:i/>
        </w:rPr>
        <w:t>FIAMM and Fedon</w:t>
      </w:r>
      <w:r w:rsidRPr="005A5ED7">
        <w:t xml:space="preserve"> v </w:t>
      </w:r>
      <w:r w:rsidRPr="005A5ED7">
        <w:rPr>
          <w:i/>
        </w:rPr>
        <w:t>Council</w:t>
      </w:r>
      <w:r w:rsidRPr="005A5ED7">
        <w:t xml:space="preserve"> </w:t>
      </w:r>
      <w:r w:rsidRPr="005A5ED7">
        <w:rPr>
          <w:i/>
        </w:rPr>
        <w:t>and others,</w:t>
      </w:r>
      <w:r w:rsidRPr="005A5ED7">
        <w:t xml:space="preserve"> ECJ 9 September 2008, C-120/06 P and C-121/06 P, [ECR] 2008 I-6513</w:t>
      </w:r>
      <w:r>
        <w:t>, paragraph 17</w:t>
      </w:r>
      <w:r w:rsidRPr="005A5ED7">
        <w:t>4</w:t>
      </w:r>
      <w:r>
        <w:t>.</w:t>
      </w:r>
    </w:p>
  </w:footnote>
  <w:footnote w:id="104">
    <w:p w14:paraId="701529AA" w14:textId="77777777" w:rsidR="00526CCE" w:rsidRPr="008F28E2" w:rsidRDefault="00526CCE" w:rsidP="000D795D">
      <w:pPr>
        <w:pStyle w:val="Voetnoottekst"/>
        <w:rPr>
          <w:lang w:val="en-US"/>
        </w:rPr>
      </w:pPr>
      <w:r>
        <w:rPr>
          <w:rStyle w:val="Voetnootmarkering"/>
        </w:rPr>
        <w:footnoteRef/>
      </w:r>
      <w:r>
        <w:t xml:space="preserve"> </w:t>
      </w:r>
      <w:r w:rsidRPr="005269D4">
        <w:rPr>
          <w:i/>
        </w:rPr>
        <w:t>Bergaderm and Goupil</w:t>
      </w:r>
      <w:r w:rsidRPr="008F28E2">
        <w:t xml:space="preserve"> v </w:t>
      </w:r>
      <w:r w:rsidRPr="005269D4">
        <w:rPr>
          <w:i/>
        </w:rPr>
        <w:t>Commission</w:t>
      </w:r>
      <w:r w:rsidRPr="008F28E2">
        <w:t xml:space="preserve">, </w:t>
      </w:r>
      <w:r w:rsidRPr="005269D4">
        <w:t>Case C-352/98 P</w:t>
      </w:r>
      <w:r>
        <w:t xml:space="preserve">, 4 July 2000, [ECR] </w:t>
      </w:r>
      <w:r w:rsidRPr="005269D4">
        <w:t xml:space="preserve"> </w:t>
      </w:r>
      <w:r w:rsidRPr="00CA3DB9">
        <w:t>2000</w:t>
      </w:r>
      <w:r>
        <w:t xml:space="preserve"> I-</w:t>
      </w:r>
      <w:r w:rsidRPr="00CA3DB9">
        <w:t>5291</w:t>
      </w:r>
      <w:r>
        <w:t>,</w:t>
      </w:r>
      <w:r w:rsidRPr="00CA3DB9">
        <w:t xml:space="preserve"> </w:t>
      </w:r>
      <w:r w:rsidRPr="008F28E2">
        <w:t>paragraphs 43 and 44</w:t>
      </w:r>
      <w:r>
        <w:t>.</w:t>
      </w:r>
    </w:p>
  </w:footnote>
  <w:footnote w:id="105">
    <w:p w14:paraId="3D061972" w14:textId="3E8DFB5A" w:rsidR="00526CCE" w:rsidRPr="00954934" w:rsidRDefault="00526CCE">
      <w:pPr>
        <w:pStyle w:val="Voetnoottekst"/>
      </w:pPr>
      <w:r>
        <w:rPr>
          <w:rStyle w:val="Voetnootmarkering"/>
        </w:rPr>
        <w:footnoteRef/>
      </w:r>
      <w:r>
        <w:t xml:space="preserve"> </w:t>
      </w:r>
      <w:r w:rsidRPr="00954934">
        <w:rPr>
          <w:i/>
        </w:rPr>
        <w:t>FIAMM and Fedon</w:t>
      </w:r>
      <w:r w:rsidRPr="00954934">
        <w:t xml:space="preserve"> v </w:t>
      </w:r>
      <w:r w:rsidRPr="00954934">
        <w:rPr>
          <w:i/>
        </w:rPr>
        <w:t>Council</w:t>
      </w:r>
      <w:r w:rsidRPr="00954934">
        <w:t xml:space="preserve"> </w:t>
      </w:r>
      <w:r w:rsidRPr="00954934">
        <w:rPr>
          <w:i/>
        </w:rPr>
        <w:t>and others</w:t>
      </w:r>
      <w:r>
        <w:rPr>
          <w:i/>
        </w:rPr>
        <w:t xml:space="preserve"> </w:t>
      </w:r>
      <w:r w:rsidRPr="005A5ED7">
        <w:t xml:space="preserve">(see fn </w:t>
      </w:r>
      <w:r>
        <w:fldChar w:fldCharType="begin"/>
      </w:r>
      <w:r>
        <w:instrText xml:space="preserve"> NOTEREF _Ref463220747 \h </w:instrText>
      </w:r>
      <w:r>
        <w:fldChar w:fldCharType="separate"/>
      </w:r>
      <w:r>
        <w:t>81</w:t>
      </w:r>
      <w:r>
        <w:fldChar w:fldCharType="end"/>
      </w:r>
      <w:r w:rsidR="000D0B1B">
        <w:t xml:space="preserve"> </w:t>
      </w:r>
      <w:r w:rsidRPr="005A5ED7">
        <w:t>above),</w:t>
      </w:r>
      <w:r>
        <w:t xml:space="preserve"> paragraph 184.</w:t>
      </w:r>
    </w:p>
  </w:footnote>
  <w:footnote w:id="106">
    <w:p w14:paraId="27BDA0B0" w14:textId="1F034814" w:rsidR="00526CCE" w:rsidRPr="005A5ED7" w:rsidRDefault="00526CCE">
      <w:pPr>
        <w:pStyle w:val="Voetnoottekst"/>
        <w:rPr>
          <w:lang w:val="en-US"/>
        </w:rPr>
      </w:pPr>
      <w:r>
        <w:rPr>
          <w:rStyle w:val="Voetnootmarkering"/>
        </w:rPr>
        <w:footnoteRef/>
      </w:r>
      <w:r>
        <w:t xml:space="preserve"> </w:t>
      </w:r>
      <w:r w:rsidRPr="005A5ED7">
        <w:rPr>
          <w:lang w:val="en-US"/>
        </w:rPr>
        <w:t>Gova</w:t>
      </w:r>
      <w:r>
        <w:rPr>
          <w:lang w:val="en-US"/>
        </w:rPr>
        <w:t xml:space="preserve">ere (2016), </w:t>
      </w:r>
      <w:r w:rsidRPr="005A5ED7">
        <w:rPr>
          <w:lang w:val="en-US"/>
        </w:rPr>
        <w:t>15.</w:t>
      </w:r>
    </w:p>
  </w:footnote>
  <w:footnote w:id="107">
    <w:p w14:paraId="27BEF00E" w14:textId="26FE26BC" w:rsidR="00526CCE" w:rsidRPr="005A5ED7" w:rsidRDefault="00526CCE">
      <w:pPr>
        <w:pStyle w:val="Voetnoottekst"/>
        <w:rPr>
          <w:lang w:val="en-US"/>
        </w:rPr>
      </w:pPr>
      <w:r>
        <w:rPr>
          <w:rStyle w:val="Voetnootmarkering"/>
        </w:rPr>
        <w:footnoteRef/>
      </w:r>
      <w:r>
        <w:t xml:space="preserve"> </w:t>
      </w:r>
      <w:r>
        <w:rPr>
          <w:lang w:val="en-US"/>
        </w:rPr>
        <w:t>Ankersmit (2016), 61-</w:t>
      </w:r>
      <w:r w:rsidRPr="005A5ED7">
        <w:rPr>
          <w:lang w:val="en-US"/>
        </w:rPr>
        <w:t>62.</w:t>
      </w:r>
    </w:p>
  </w:footnote>
  <w:footnote w:id="108">
    <w:p w14:paraId="35656439" w14:textId="6B4A165E" w:rsidR="00526CCE" w:rsidRPr="003130BC" w:rsidRDefault="00526CCE">
      <w:pPr>
        <w:pStyle w:val="Voetnoottekst"/>
        <w:rPr>
          <w:lang w:val="en-US"/>
        </w:rPr>
      </w:pPr>
      <w:r>
        <w:rPr>
          <w:rStyle w:val="Voetnootmarkering"/>
        </w:rPr>
        <w:footnoteRef/>
      </w:r>
      <w:r w:rsidR="00394E1F">
        <w:t xml:space="preserve"> </w:t>
      </w:r>
      <w:r w:rsidR="00394E1F">
        <w:rPr>
          <w:lang w:val="en-US"/>
        </w:rPr>
        <w:t xml:space="preserve">Ankersmit and </w:t>
      </w:r>
      <w:r w:rsidRPr="003130BC">
        <w:rPr>
          <w:lang w:val="en-US"/>
        </w:rPr>
        <w:t xml:space="preserve">Hill, </w:t>
      </w:r>
      <w:r>
        <w:rPr>
          <w:lang w:val="en-US"/>
        </w:rPr>
        <w:t>‘</w:t>
      </w:r>
      <w:r w:rsidRPr="003130BC">
        <w:rPr>
          <w:lang w:val="en-US"/>
        </w:rPr>
        <w:t>Legality of investor-state dispute settlement (ISDS) under EU law</w:t>
      </w:r>
      <w:r>
        <w:rPr>
          <w:lang w:val="en-US"/>
        </w:rPr>
        <w:t>’, legal study, ClientEarth (2015), 15.</w:t>
      </w:r>
    </w:p>
  </w:footnote>
  <w:footnote w:id="109">
    <w:p w14:paraId="0C72416F" w14:textId="50F94D22" w:rsidR="00FD2CA8" w:rsidRDefault="00FD2CA8">
      <w:pPr>
        <w:pStyle w:val="Voetnoottekst"/>
      </w:pPr>
      <w:r>
        <w:rPr>
          <w:rStyle w:val="Voetnootmarkering"/>
        </w:rPr>
        <w:footnoteRef/>
      </w:r>
      <w:r>
        <w:t xml:space="preserve"> See fn. 2 above.</w:t>
      </w:r>
    </w:p>
  </w:footnote>
  <w:footnote w:id="110">
    <w:p w14:paraId="204C93AB" w14:textId="77777777" w:rsidR="00526CCE" w:rsidRPr="00163795" w:rsidRDefault="00526CCE" w:rsidP="006C279A">
      <w:pPr>
        <w:pStyle w:val="Voetnoottekst"/>
        <w:jc w:val="both"/>
        <w:rPr>
          <w:lang w:val="en-US"/>
        </w:rPr>
      </w:pPr>
      <w:r w:rsidRPr="00163795">
        <w:rPr>
          <w:rStyle w:val="Voetnootmarkering"/>
        </w:rPr>
        <w:footnoteRef/>
      </w:r>
      <w:r w:rsidRPr="00163795">
        <w:t xml:space="preserve"> </w:t>
      </w:r>
      <w:r w:rsidRPr="00163795">
        <w:rPr>
          <w:lang w:val="en-US"/>
        </w:rPr>
        <w:t>As will be discussed below, such treaties can play a role where the treatment of US companies is concerned that try to seek legal protection at an EU member state’s court.</w:t>
      </w:r>
    </w:p>
  </w:footnote>
  <w:footnote w:id="111">
    <w:p w14:paraId="204C93AC" w14:textId="653C1D30" w:rsidR="00526CCE" w:rsidRPr="00163795" w:rsidRDefault="00526CCE" w:rsidP="006C279A">
      <w:pPr>
        <w:pStyle w:val="Voetnoottekst"/>
        <w:jc w:val="both"/>
      </w:pPr>
      <w:r w:rsidRPr="00163795">
        <w:rPr>
          <w:rStyle w:val="Voetnootmarkering"/>
        </w:rPr>
        <w:footnoteRef/>
      </w:r>
      <w:r w:rsidRPr="00163795">
        <w:t xml:space="preserve"> R Abbott et. al., ‘Demystifying Investor-State Dispute Settlement (ISDS)’ (2014) </w:t>
      </w:r>
      <w:r w:rsidRPr="00163795">
        <w:rPr>
          <w:i/>
          <w:iCs/>
        </w:rPr>
        <w:t>ECIPE Occasional Paper 5</w:t>
      </w:r>
      <w:r w:rsidRPr="00163795">
        <w:t xml:space="preserve">, </w:t>
      </w:r>
      <w:r w:rsidRPr="00163795">
        <w:fldChar w:fldCharType="begin" w:fldLock="1"/>
      </w:r>
      <w:r w:rsidRPr="00163795">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"noteIndex" : 0 }, "schema" : "https://github.com/citation-style-language</w:instrText>
      </w:r>
      <w:r w:rsidRPr="00C2102C">
        <w:rPr>
          <w:lang w:val="fr-FR"/>
        </w:rPr>
        <w:instrText>/schema/raw/master/csl-citation.json" }</w:instrText>
      </w:r>
      <w:r w:rsidRPr="00163795">
        <w:fldChar w:fldCharType="end"/>
      </w:r>
      <w:r w:rsidRPr="00C2102C">
        <w:rPr>
          <w:lang w:val="fr-FR"/>
        </w:rPr>
        <w:t xml:space="preserve">(Abbott et al. 2014)(Abbott et al. 2014), </w:t>
      </w:r>
      <w:r w:rsidRPr="00C2102C">
        <w:rPr>
          <w:rFonts w:eastAsia="Calibri,Times New Roman" w:cs="Calibri,Times New Roman"/>
          <w:noProof/>
          <w:lang w:val="fr-FR"/>
        </w:rPr>
        <w:t>&lt;ecipe.org/publications/isds/&gt;</w:t>
      </w:r>
      <w:r w:rsidRPr="00C2102C">
        <w:rPr>
          <w:noProof/>
          <w:lang w:val="fr-FR"/>
        </w:rPr>
        <w:t xml:space="preserve">. </w:t>
      </w:r>
      <w:r w:rsidRPr="00163795">
        <w:rPr>
          <w:noProof/>
        </w:rPr>
        <w:t>The authors explain that “[t]there has been no known case with an EU investor as claimant and the United States as respondent since the late 1980s, the time from when there is some public information available.”</w:t>
      </w:r>
    </w:p>
  </w:footnote>
  <w:footnote w:id="112">
    <w:p w14:paraId="5339AE11" w14:textId="2297E174" w:rsidR="00526CCE" w:rsidRPr="0021764D" w:rsidRDefault="00526CCE">
      <w:pPr>
        <w:pStyle w:val="Voetnoottekst"/>
      </w:pPr>
      <w:r>
        <w:rPr>
          <w:rStyle w:val="Voetnootmarkering"/>
        </w:rPr>
        <w:footnoteRef/>
      </w:r>
      <w:r>
        <w:t xml:space="preserve"> </w:t>
      </w:r>
      <w:r w:rsidRPr="0021764D">
        <w:t>Bulgaria, Croatia, the Czech Republic, Estonia, Latvia, Lithuania, Poland, Romania and Slovakia</w:t>
      </w:r>
      <w:r>
        <w:t>.</w:t>
      </w:r>
    </w:p>
  </w:footnote>
  <w:footnote w:id="113">
    <w:p w14:paraId="204C93AD" w14:textId="04485924" w:rsidR="00526CCE" w:rsidRPr="00C2102C" w:rsidRDefault="00526CCE" w:rsidP="006C279A">
      <w:pPr>
        <w:pStyle w:val="Voetnoottekst"/>
        <w:jc w:val="both"/>
        <w:rPr>
          <w:lang w:val="fr-FR"/>
        </w:rPr>
      </w:pPr>
      <w:r w:rsidRPr="00163795">
        <w:rPr>
          <w:rStyle w:val="Voetnootmarkering"/>
        </w:rPr>
        <w:footnoteRef/>
      </w:r>
      <w:r w:rsidRPr="00163795">
        <w:t xml:space="preserve"> R Abbott et. al., ‘Demystifying Investor-State Dispute Settlement (ISDS)’ (2014) </w:t>
      </w:r>
      <w:r w:rsidRPr="00163795">
        <w:rPr>
          <w:i/>
          <w:iCs/>
        </w:rPr>
        <w:t>ECIPE Occasional Paper 5</w:t>
      </w:r>
      <w:r w:rsidRPr="00163795">
        <w:t xml:space="preserve">, </w:t>
      </w:r>
      <w:r w:rsidRPr="00163795">
        <w:fldChar w:fldCharType="begin" w:fldLock="1"/>
      </w:r>
      <w:r w:rsidRPr="00163795">
        <w:instrText>ADDIN CSL_CITATION { "citationItems" : [ { "id" : "ITEM-1", "itemData" : { "abstract" : "The number of ISDS cases has continued to grow over the last decade. Investors in the EU are the most active users of ISDS. EU countries have many more BITs with ISDS than the US. ISDS cases are often settled. It is a mechanism to facilitate an ordered settlement of a dispute and represents a preference for settlements between the parties rath- er than tribunal rulings. Twice as many cases that end with a tribunal ruling are won by the state than the investor. The number of known ISDS cases in the past ten years that ended with a tribunal ruling in favour of the investor is no more than 16. The typical ISDS case is between a developed-country investor and a developing-country government. There is a correlation between the number of disputes and a legal system\u2019s capacity to facilitate dispute resolution, or the quality of the legal and regulatory regimes. There has been no ISDS case between the United States and an EU-15 country (as there are no BITs in place), but a handful of cases between a U.S. investor and the countries that joined the EU in the 2000s. Economic research shows that investment-protection agreements help to promote FDI. The effect is not strong as there are far more important determinants of FDI, such as investment market access. - The choice of the EU to favour a new collective BIT with the US or</w:instrText>
      </w:r>
      <w:r w:rsidRPr="00AC4CC6">
        <w:rPr>
          <w:lang w:val="fr-FR"/>
        </w:rPr>
        <w:instrText xml:space="preserve"> not is likely to have systemic consequences. If EU member states withdraw from their existing BITs, which is the logical conclusion from a good part of the criticism, the consequences are likely to be far stronger. The competitiveness of EU investors in third countries, especially in sectors with high government involvement, is likely to be damaged", "author" : [ { "dropping-particle" : "", "family" : "Abbott", "given" : "Roderick", "non-dropping-particle" : "", "parse-names" : false, "suffix" : "" }, { "dropping-particle" : "", "family" : "Erixon", "given" : "Fredrik", "non-dropping-particle" : "", "parse-names" : false, "suffix" : "" }, { "dropping-particle" : "", "family" : "Ferracane", "given" : "Martina Francesca", "non-dropping-particle" : "", "parse-names" : false, "suffix" : "" } ], "collection-title" : "ECIPE occassional papers", "id" : "ITEM-1", "issued" : { "date-parts" : [ [ "2014" ] ] }, "number" : "5/2014", "number-of-pages" : "23", "publisher-place" : "Brussels", "title" : "Demystifying Investor-State Dispute Settlement (ISDS)", "type" : "report", "volume" : "32" }, "uris" : [ "http://www.mendeley.com/documents/?uuid=2fb105c5-77f0-475d-b50e-9b7c39e34e36" ] } ], "mendeley" : { "formattedCitation" : "(Abbott et al. 2014)", "plainTextFormattedCitation" : "(Abbott et al. 2014)", "previouslyFormattedCitation" : "(Abbott et al. 2014)" }, "properties" : { "noteIndex" : 0 }, "schema" : "https://github.com/citation-style-language</w:instrText>
      </w:r>
      <w:r w:rsidRPr="00C2102C">
        <w:rPr>
          <w:lang w:val="fr-FR"/>
        </w:rPr>
        <w:instrText>/schema/raw/master/csl-citation.json" }</w:instrText>
      </w:r>
      <w:r w:rsidRPr="00163795">
        <w:fldChar w:fldCharType="end"/>
      </w:r>
      <w:r w:rsidRPr="00C2102C">
        <w:rPr>
          <w:lang w:val="fr-FR"/>
        </w:rPr>
        <w:t xml:space="preserve">(Abbott et al. 2014)(Abbott et al. 2014), </w:t>
      </w:r>
      <w:r w:rsidRPr="00C2102C">
        <w:rPr>
          <w:rFonts w:eastAsia="Calibri,Times New Roman" w:cs="Calibri,Times New Roman"/>
          <w:noProof/>
          <w:lang w:val="fr-FR"/>
        </w:rPr>
        <w:t>&lt;ecipe.org/publications/isds/&gt;</w:t>
      </w:r>
      <w:r w:rsidRPr="00C2102C">
        <w:rPr>
          <w:lang w:val="fr-FR"/>
        </w:rPr>
        <w:t>..</w:t>
      </w:r>
    </w:p>
  </w:footnote>
  <w:footnote w:id="114">
    <w:p w14:paraId="204C93AE" w14:textId="77777777" w:rsidR="00526CCE" w:rsidRPr="00163795" w:rsidRDefault="00526CCE" w:rsidP="006C279A">
      <w:pPr>
        <w:pStyle w:val="Voetnoottekst"/>
        <w:jc w:val="both"/>
      </w:pPr>
      <w:r w:rsidRPr="00163795">
        <w:rPr>
          <w:rStyle w:val="Voetnootmarkering"/>
        </w:rPr>
        <w:footnoteRef/>
      </w:r>
      <w:r w:rsidRPr="00163795">
        <w:t xml:space="preserve"> Compare SER, ‘TTIP Transatlantic Trade and Investment Partnership’ (2016) </w:t>
      </w:r>
      <w:r w:rsidRPr="00163795">
        <w:rPr>
          <w:i/>
          <w:iCs/>
        </w:rPr>
        <w:t>SER Advisory Report 16/04E</w:t>
      </w:r>
      <w:r w:rsidRPr="00163795">
        <w:t>, 95 &lt;</w:t>
      </w:r>
      <w:r w:rsidRPr="00163795">
        <w:rPr>
          <w:rFonts w:eastAsia="Calibri,Times New Roman" w:cs="Calibri,Times New Roman"/>
          <w:noProof/>
        </w:rPr>
        <w:t>www.ser.nl/~/media/files/internet/talen/engels/2016/ttip.ashx&gt;</w:t>
      </w:r>
      <w:r w:rsidRPr="00163795">
        <w:t xml:space="preserve"> where after studying ISDS and ICS it is concluded that “a separate investment arbitration mechanism is not necessary in a properly functioning and highly developed legal system.”</w:t>
      </w:r>
    </w:p>
  </w:footnote>
  <w:footnote w:id="115">
    <w:p w14:paraId="204C93AF" w14:textId="77777777" w:rsidR="00526CCE" w:rsidRPr="00163795" w:rsidRDefault="00526CCE" w:rsidP="006C279A">
      <w:pPr>
        <w:pStyle w:val="Voetnoottekst"/>
        <w:jc w:val="both"/>
        <w:rPr>
          <w:lang w:val="en-US"/>
        </w:rPr>
      </w:pPr>
      <w:r w:rsidRPr="00163795">
        <w:rPr>
          <w:rStyle w:val="Voetnootmarkering"/>
        </w:rPr>
        <w:footnoteRef/>
      </w:r>
      <w:r w:rsidRPr="00163795">
        <w:rPr>
          <w:lang w:val="en-US"/>
        </w:rPr>
        <w:t xml:space="preserve"> </w:t>
      </w:r>
      <w:r w:rsidRPr="00163795">
        <w:t xml:space="preserve">J Kokott and C Sobotta, ‘Investment Arbitration and the EU law’ (2016) </w:t>
      </w:r>
      <w:r w:rsidRPr="00163795">
        <w:rPr>
          <w:i/>
          <w:iCs/>
        </w:rPr>
        <w:t>Cambridge Yearbook of European Legal Studies</w:t>
      </w:r>
      <w:r w:rsidRPr="00163795">
        <w:t xml:space="preserve"> 1, </w:t>
      </w:r>
      <w:r w:rsidRPr="00163795">
        <w:rPr>
          <w:lang w:val="en-US"/>
        </w:rPr>
        <w:t>14.</w:t>
      </w:r>
    </w:p>
  </w:footnote>
  <w:footnote w:id="116">
    <w:p w14:paraId="59B05B00" w14:textId="77777777" w:rsidR="00B764C1" w:rsidRPr="00163795" w:rsidRDefault="00B764C1" w:rsidP="006C279A">
      <w:pPr>
        <w:pStyle w:val="Voetnoottekst"/>
        <w:jc w:val="both"/>
      </w:pPr>
      <w:r w:rsidRPr="00163795">
        <w:rPr>
          <w:rStyle w:val="Voetnootmarkering"/>
        </w:rPr>
        <w:footnoteRef/>
      </w:r>
      <w:r w:rsidRPr="00163795">
        <w:t xml:space="preserve"> M Bronckers, ‘Is Investor-State Dispute Settlement (ISDS) superior to litigation before domestic courts? An EU view on Bilateral Trade Agreements’ (2015) 18 </w:t>
      </w:r>
      <w:r w:rsidRPr="00163795">
        <w:rPr>
          <w:i/>
          <w:iCs/>
        </w:rPr>
        <w:t>Journal of International Economic Law</w:t>
      </w:r>
      <w:r w:rsidRPr="00163795">
        <w:t xml:space="preserve"> 655, 658.</w:t>
      </w:r>
    </w:p>
  </w:footnote>
  <w:footnote w:id="117">
    <w:p w14:paraId="5D9FF739" w14:textId="77777777" w:rsidR="00B764C1" w:rsidRPr="00163795" w:rsidRDefault="00B764C1" w:rsidP="006C279A">
      <w:pPr>
        <w:pStyle w:val="Voetnoottekst"/>
        <w:jc w:val="both"/>
        <w:rPr>
          <w:lang w:val="de-DE"/>
        </w:rPr>
      </w:pPr>
      <w:r w:rsidRPr="00163795">
        <w:rPr>
          <w:rStyle w:val="Voetnootmarkering"/>
        </w:rPr>
        <w:footnoteRef/>
      </w:r>
      <w:r w:rsidRPr="00163795">
        <w:rPr>
          <w:lang w:val="de-DE"/>
        </w:rPr>
        <w:t xml:space="preserve"> S Schill, ‘Internationaler Investitionsschutz und Verfassungsrecht‘ (</w:t>
      </w:r>
      <w:r w:rsidRPr="00163795">
        <w:rPr>
          <w:i/>
          <w:iCs/>
          <w:lang w:val="de-DE"/>
        </w:rPr>
        <w:t>Verfassungsblog</w:t>
      </w:r>
      <w:r w:rsidRPr="00163795">
        <w:rPr>
          <w:lang w:val="de-DE"/>
        </w:rPr>
        <w:t>, 14 May 2014) &lt;verfassungsblog.de/internationaler-investitionsschutz-und-verfassungsrecht/&gt;.</w:t>
      </w:r>
    </w:p>
  </w:footnote>
  <w:footnote w:id="118">
    <w:p w14:paraId="5CDC38F2" w14:textId="77777777" w:rsidR="00B764C1" w:rsidRPr="00163795" w:rsidRDefault="00B764C1" w:rsidP="006C279A">
      <w:pPr>
        <w:pStyle w:val="Voetnoottekst"/>
        <w:jc w:val="both"/>
      </w:pPr>
      <w:r w:rsidRPr="00163795">
        <w:rPr>
          <w:rStyle w:val="Voetnootmarkering"/>
        </w:rPr>
        <w:footnoteRef/>
      </w:r>
      <w:r w:rsidRPr="00163795">
        <w:t xml:space="preserve"> Basic Law for the Federal Republic of Germany, translated by C Tomuschat and D P Currie, as revised, </w:t>
      </w:r>
      <w:hyperlink r:id="rId25" w:anchor="p0101" w:history="1">
        <w:r w:rsidRPr="00163795">
          <w:rPr>
            <w:rStyle w:val="Hyperlink"/>
          </w:rPr>
          <w:t>&lt;www.gesetze-im-internet.de/englisch_gg/englisch_gg.html#p0101</w:t>
        </w:r>
      </w:hyperlink>
      <w:r w:rsidRPr="00163795">
        <w:rPr>
          <w:rStyle w:val="Hyperlink"/>
        </w:rPr>
        <w:t>&gt;</w:t>
      </w:r>
      <w:r w:rsidRPr="00163795">
        <w:t>.</w:t>
      </w:r>
    </w:p>
  </w:footnote>
  <w:footnote w:id="119">
    <w:p w14:paraId="078183B2" w14:textId="77777777" w:rsidR="00B764C1" w:rsidRPr="00163795" w:rsidRDefault="00B764C1" w:rsidP="006C279A">
      <w:pPr>
        <w:pStyle w:val="Voetnoottekst"/>
        <w:jc w:val="both"/>
        <w:rPr>
          <w:lang w:val="de-DE"/>
        </w:rPr>
      </w:pPr>
      <w:r w:rsidRPr="00163795">
        <w:rPr>
          <w:rStyle w:val="Voetnootmarkering"/>
        </w:rPr>
        <w:footnoteRef/>
      </w:r>
      <w:r w:rsidRPr="00163795">
        <w:rPr>
          <w:lang w:val="de-DE"/>
        </w:rPr>
        <w:t xml:space="preserve"> BVerfG, Beschluss des Ersten Senats vom 19. Juli 2011, - 1 BvR 1916/09 - Rn. (1-100),</w:t>
      </w:r>
    </w:p>
    <w:p w14:paraId="0EA5E6BC" w14:textId="77777777" w:rsidR="00B764C1" w:rsidRPr="00163795" w:rsidRDefault="00B764C1" w:rsidP="006C279A">
      <w:pPr>
        <w:pStyle w:val="Voetnoottekst"/>
        <w:jc w:val="both"/>
        <w:rPr>
          <w:lang w:val="de-DE"/>
        </w:rPr>
      </w:pPr>
      <w:r w:rsidRPr="00163795">
        <w:rPr>
          <w:lang w:val="de-DE"/>
        </w:rPr>
        <w:t xml:space="preserve">&lt;www.bverfg.de/e/rs20110719_1bvr191609.html&gt;. </w:t>
      </w:r>
    </w:p>
  </w:footnote>
  <w:footnote w:id="120">
    <w:p w14:paraId="0D916E13" w14:textId="77777777" w:rsidR="00B764C1" w:rsidRPr="00163795" w:rsidRDefault="00B764C1" w:rsidP="006C279A">
      <w:pPr>
        <w:pStyle w:val="Voetnoottekst"/>
        <w:jc w:val="both"/>
        <w:rPr>
          <w:lang w:val="sv-SE"/>
        </w:rPr>
      </w:pPr>
      <w:r w:rsidRPr="00163795">
        <w:rPr>
          <w:rStyle w:val="Voetnootmarkering"/>
        </w:rPr>
        <w:footnoteRef/>
      </w:r>
      <w:r w:rsidRPr="00163795">
        <w:rPr>
          <w:lang w:val="sv-SE"/>
        </w:rPr>
        <w:t xml:space="preserve"> BGB1.1956 II, S. 488.</w:t>
      </w:r>
    </w:p>
  </w:footnote>
  <w:footnote w:id="121">
    <w:p w14:paraId="1F389616" w14:textId="77777777" w:rsidR="00B764C1" w:rsidRPr="001B789C" w:rsidRDefault="00B764C1" w:rsidP="006C279A">
      <w:pPr>
        <w:pStyle w:val="Voetnoottekst"/>
        <w:jc w:val="both"/>
        <w:rPr>
          <w:lang w:val="de-DE"/>
        </w:rPr>
      </w:pPr>
      <w:r w:rsidRPr="00163795">
        <w:rPr>
          <w:rStyle w:val="Voetnootmarkering"/>
        </w:rPr>
        <w:footnoteRef/>
      </w:r>
      <w:r w:rsidRPr="00163795">
        <w:t xml:space="preserve"> It has been underlined that if a treaty awards the right to be treated equal to non-German persons, this implies that this would include the right to bring forward claims regarding violation of German constitutional rights. </w:t>
      </w:r>
      <w:r w:rsidRPr="00163795">
        <w:rPr>
          <w:lang w:val="de-DE"/>
        </w:rPr>
        <w:t xml:space="preserve">See K. Doehring, </w:t>
      </w:r>
      <w:hyperlink r:id="rId26" w:history="1">
        <w:r w:rsidRPr="00163795">
          <w:rPr>
            <w:rStyle w:val="Hyperlink"/>
            <w:i/>
            <w:iCs/>
            <w:lang w:val="de-DE"/>
          </w:rPr>
          <w:t>Die Staatsrechtliche Stellung der Ausländer in der Bundesrepublik Deutschland</w:t>
        </w:r>
      </w:hyperlink>
      <w:r w:rsidRPr="00163795">
        <w:rPr>
          <w:i/>
          <w:iCs/>
          <w:lang w:val="de-DE"/>
        </w:rPr>
        <w:t xml:space="preserve">, </w:t>
      </w:r>
      <w:r w:rsidRPr="00163795">
        <w:rPr>
          <w:lang w:val="de-DE"/>
        </w:rPr>
        <w:t>Veröffentlichungen der Vereinigung der Deutschen Staatsrechtsl</w:t>
      </w:r>
      <w:r>
        <w:rPr>
          <w:lang w:val="de-DE"/>
        </w:rPr>
        <w:t>ehrer, Berlin/New York, 1974, 15.</w:t>
      </w:r>
    </w:p>
  </w:footnote>
  <w:footnote w:id="122">
    <w:p w14:paraId="58E292E5" w14:textId="77777777" w:rsidR="00B764C1" w:rsidRPr="00163795" w:rsidRDefault="00B764C1" w:rsidP="006C279A">
      <w:pPr>
        <w:pStyle w:val="Voetnoottekst"/>
        <w:jc w:val="both"/>
      </w:pPr>
      <w:r w:rsidRPr="00163795">
        <w:rPr>
          <w:rStyle w:val="Voetnootmarkering"/>
        </w:rPr>
        <w:footnoteRef/>
      </w:r>
      <w:r w:rsidRPr="00163795">
        <w:t xml:space="preserve">U.S.A. Department of State: 2014 Investment Climate Statement, June 2014,  </w:t>
      </w:r>
      <w:hyperlink r:id="rId27" w:history="1">
        <w:r w:rsidRPr="00163795">
          <w:rPr>
            <w:rStyle w:val="Hyperlink"/>
          </w:rPr>
          <w:t>&lt;www.state.gov/documents/organization/226815.pdf</w:t>
        </w:r>
      </w:hyperlink>
      <w:r>
        <w:t xml:space="preserve"> , </w:t>
      </w:r>
      <w:r w:rsidRPr="00163795">
        <w:t>1.</w:t>
      </w:r>
    </w:p>
  </w:footnote>
  <w:footnote w:id="123">
    <w:p w14:paraId="4FC7A273" w14:textId="5A92314F" w:rsidR="0039108A" w:rsidRDefault="0039108A">
      <w:pPr>
        <w:pStyle w:val="Voetnoottekst"/>
      </w:pPr>
      <w:r>
        <w:rPr>
          <w:rStyle w:val="Voetnootmarkering"/>
        </w:rPr>
        <w:footnoteRef/>
      </w:r>
      <w:r w:rsidR="00CD2D6E">
        <w:t xml:space="preserve">Ecorys, </w:t>
      </w:r>
      <w:r>
        <w:t xml:space="preserve"> </w:t>
      </w:r>
      <w:r w:rsidR="00CD2D6E" w:rsidRPr="00CD2D6E">
        <w:t>SIA in support of the negotiations on a Transatlantic Trade and Investment Partnership (TTIP)</w:t>
      </w:r>
      <w:r w:rsidR="00014F9B">
        <w:t xml:space="preserve">, Final report, </w:t>
      </w:r>
      <w:r w:rsidR="004A02E2">
        <w:t xml:space="preserve">March 2017, </w:t>
      </w:r>
      <w:r w:rsidR="00970EDE">
        <w:t>&lt;</w:t>
      </w:r>
      <w:r w:rsidR="00970EDE" w:rsidRPr="00970EDE">
        <w:t xml:space="preserve"> http://www.trade-sia.com/ttip/wp-content/uploads/sites/6/2014/02/TSIA-TTIP-Final-Report.pdf</w:t>
      </w:r>
      <w:r w:rsidR="00970EDE">
        <w:t>&gt;.</w:t>
      </w:r>
    </w:p>
  </w:footnote>
  <w:footnote w:id="124">
    <w:p w14:paraId="36A8C6EA" w14:textId="54476E8A" w:rsidR="008C7E9C" w:rsidRDefault="008C7E9C">
      <w:pPr>
        <w:pStyle w:val="Voetnoottekst"/>
      </w:pPr>
      <w:r>
        <w:rPr>
          <w:rStyle w:val="Voetnootmarkering"/>
        </w:rPr>
        <w:footnoteRef/>
      </w:r>
      <w:r>
        <w:t xml:space="preserve"> </w:t>
      </w:r>
      <w:r w:rsidR="00002225" w:rsidRPr="00002225">
        <w:t>European Commission services' position paper on the sustainability impact assessment in support of negotiations of the Transatlantic Trade &amp; Investment Partnership between the European Union a</w:t>
      </w:r>
      <w:r w:rsidR="00002225">
        <w:t>n</w:t>
      </w:r>
      <w:r w:rsidR="004A02E2">
        <w:t>d the United States of America,</w:t>
      </w:r>
      <w:r w:rsidR="00002225" w:rsidRPr="00002225">
        <w:t xml:space="preserve"> March 2017</w:t>
      </w:r>
      <w:r w:rsidR="00002225">
        <w:t>, &lt;</w:t>
      </w:r>
      <w:r w:rsidR="00C47243" w:rsidRPr="00C47243">
        <w:t xml:space="preserve"> http://trade.ec.europa.eu/doclib/docs/2017/march/tradoc_155462.pdf</w:t>
      </w:r>
      <w:r w:rsidR="00C47243">
        <w:t>&gt;.</w:t>
      </w:r>
    </w:p>
  </w:footnote>
  <w:footnote w:id="125">
    <w:p w14:paraId="0817AFB4" w14:textId="0F2C5FA6" w:rsidR="00613845" w:rsidRDefault="00613845">
      <w:pPr>
        <w:pStyle w:val="Voetnoottekst"/>
      </w:pPr>
      <w:r>
        <w:rPr>
          <w:rStyle w:val="Voetnootmarkering"/>
        </w:rPr>
        <w:footnoteRef/>
      </w:r>
      <w:r>
        <w:t xml:space="preserve"> Idem, p. </w:t>
      </w:r>
      <w:r w:rsidR="008F50E8">
        <w:t>8.</w:t>
      </w:r>
    </w:p>
  </w:footnote>
  <w:footnote w:id="126">
    <w:p w14:paraId="1D375508" w14:textId="3C757980" w:rsidR="009F2EC4" w:rsidRDefault="009F2EC4">
      <w:pPr>
        <w:pStyle w:val="Voetnoottekst"/>
      </w:pPr>
      <w:r>
        <w:rPr>
          <w:rStyle w:val="Voetnootmarkering"/>
        </w:rPr>
        <w:footnoteRef/>
      </w:r>
      <w:r>
        <w:t xml:space="preserve"> Ibidem.</w:t>
      </w:r>
    </w:p>
  </w:footnote>
  <w:footnote w:id="127">
    <w:p w14:paraId="7C94D154" w14:textId="7893CBFD" w:rsidR="00B730AB" w:rsidRPr="00FF6D3C" w:rsidRDefault="00B730AB">
      <w:pPr>
        <w:pStyle w:val="Voetnoottekst"/>
      </w:pPr>
      <w:r>
        <w:rPr>
          <w:rStyle w:val="Voetnootmarkering"/>
        </w:rPr>
        <w:footnoteRef/>
      </w:r>
      <w:r>
        <w:t xml:space="preserve"> </w:t>
      </w:r>
      <w:r w:rsidR="00FF6D3C">
        <w:t xml:space="preserve">The Trade SIA </w:t>
      </w:r>
      <w:r w:rsidR="009C090E">
        <w:t xml:space="preserve">(p. </w:t>
      </w:r>
      <w:r w:rsidR="006C54D9">
        <w:t>67</w:t>
      </w:r>
      <w:r w:rsidR="009C090E">
        <w:t xml:space="preserve">) </w:t>
      </w:r>
      <w:r w:rsidR="00FF6D3C">
        <w:t xml:space="preserve">refers to </w:t>
      </w:r>
      <w:r w:rsidRPr="00FF6D3C">
        <w:rPr>
          <w:color w:val="000000" w:themeColor="text1"/>
        </w:rPr>
        <w:t>the EIA 2015 Annual energy outlook</w:t>
      </w:r>
      <w:r w:rsidR="00FF6D3C">
        <w:rPr>
          <w:color w:val="000000" w:themeColor="text1"/>
        </w:rPr>
        <w:t>, according to which</w:t>
      </w:r>
      <w:r w:rsidRPr="00FF6D3C">
        <w:rPr>
          <w:color w:val="000000" w:themeColor="text1"/>
        </w:rPr>
        <w:t xml:space="preserve"> emissions of methane along the supply chain will dent the environmental credentials of gas unless action is </w:t>
      </w:r>
      <w:r w:rsidR="00FF6D3C" w:rsidRPr="00FF6D3C">
        <w:rPr>
          <w:color w:val="000000" w:themeColor="text1"/>
        </w:rPr>
        <w:t>taken to tackle these leaks.</w:t>
      </w:r>
    </w:p>
  </w:footnote>
  <w:footnote w:id="128">
    <w:p w14:paraId="3014FAE1" w14:textId="6F1BBE0D" w:rsidR="00BA73A5" w:rsidRDefault="00BA73A5">
      <w:pPr>
        <w:pStyle w:val="Voetnoottekst"/>
      </w:pPr>
      <w:r>
        <w:rPr>
          <w:rStyle w:val="Voetnootmarkering"/>
        </w:rPr>
        <w:footnoteRef/>
      </w:r>
      <w:r>
        <w:t xml:space="preserve"> </w:t>
      </w:r>
      <w:r w:rsidR="00D922BC">
        <w:t>See &lt;</w:t>
      </w:r>
      <w:r w:rsidR="00D922BC" w:rsidRPr="00D922BC">
        <w:t xml:space="preserve"> http://trade.ec.europa.eu/doclib/docs/2017/april/tradoc_155471.pdf</w:t>
      </w:r>
      <w:r w:rsidR="00D922BC">
        <w:t>&gt;.</w:t>
      </w:r>
      <w:bookmarkStart w:id="6" w:name="_GoBack"/>
      <w:bookmarkEnd w:id="6"/>
    </w:p>
  </w:footnote>
  <w:footnote w:id="129">
    <w:p w14:paraId="271AE9EA" w14:textId="77777777" w:rsidR="00FA7B26" w:rsidRPr="00163795" w:rsidRDefault="00FA7B26" w:rsidP="006C279A">
      <w:pPr>
        <w:pStyle w:val="Voetnoottekst"/>
        <w:jc w:val="both"/>
      </w:pPr>
      <w:r w:rsidRPr="00163795">
        <w:rPr>
          <w:rStyle w:val="Voetnootmarkering"/>
        </w:rPr>
        <w:footnoteRef/>
      </w:r>
      <w:r w:rsidRPr="00163795">
        <w:t xml:space="preserve"> </w:t>
      </w:r>
      <w:r>
        <w:rPr>
          <w:color w:val="000000" w:themeColor="text1"/>
        </w:rPr>
        <w:t>The</w:t>
      </w:r>
      <w:r w:rsidRPr="001524CF">
        <w:rPr>
          <w:color w:val="000000" w:themeColor="text1"/>
        </w:rPr>
        <w:t xml:space="preserve"> Gillard government announced in 2011 that it supports the principle of national treatment – that foreign and domestic businesses are treated equally under the law, but opposes provisions that would confer greater legal rights on foreign businesses than those ava</w:t>
      </w:r>
      <w:r>
        <w:rPr>
          <w:color w:val="000000" w:themeColor="text1"/>
        </w:rPr>
        <w:t xml:space="preserve">ilable to domestic businesses. </w:t>
      </w:r>
      <w:r w:rsidRPr="001524CF">
        <w:rPr>
          <w:color w:val="000000" w:themeColor="text1"/>
        </w:rPr>
        <w:t xml:space="preserve">It also opposed provisions that would constrain the ability of Australian governments to make laws on social, environmental and economic matters in circumstances where those laws do not discriminate between domestic and foreign businesses, and </w:t>
      </w:r>
      <w:r>
        <w:rPr>
          <w:color w:val="000000" w:themeColor="text1"/>
        </w:rPr>
        <w:t>stated that</w:t>
      </w:r>
      <w:r w:rsidRPr="001524CF">
        <w:rPr>
          <w:color w:val="000000" w:themeColor="text1"/>
        </w:rPr>
        <w:t xml:space="preserve"> it “will not accept provisions that limit its capacity to put health warnings or plain packaging requirements on tobacco products or its ability to continue the Pharmaceutical Benefits Scheme.” </w:t>
      </w:r>
      <w:r>
        <w:rPr>
          <w:color w:val="000000" w:themeColor="text1"/>
        </w:rPr>
        <w:t>I</w:t>
      </w:r>
      <w:r w:rsidRPr="001524CF">
        <w:rPr>
          <w:color w:val="000000" w:themeColor="text1"/>
        </w:rPr>
        <w:t xml:space="preserve">f “Australian businesses are concerned about sovereign risk in Australian trading partner countries, they will need to make their own assessments about whether they want to commit </w:t>
      </w:r>
      <w:r>
        <w:rPr>
          <w:color w:val="000000" w:themeColor="text1"/>
        </w:rPr>
        <w:t>to investing in those countries</w:t>
      </w:r>
      <w:r w:rsidRPr="001524CF">
        <w:rPr>
          <w:color w:val="000000" w:themeColor="text1"/>
        </w:rPr>
        <w:t>”</w:t>
      </w:r>
      <w:r>
        <w:rPr>
          <w:color w:val="000000" w:themeColor="text1"/>
        </w:rPr>
        <w:t xml:space="preserve"> It was added. </w:t>
      </w:r>
      <w:r w:rsidRPr="00163795">
        <w:t xml:space="preserve">Australian Government, Department of Foreign Affairs and Trade, </w:t>
      </w:r>
      <w:r w:rsidRPr="00163795">
        <w:rPr>
          <w:i/>
          <w:iCs/>
        </w:rPr>
        <w:t xml:space="preserve">Gillard Government Trade Policy Statement: </w:t>
      </w:r>
      <w:hyperlink r:id="rId28" w:history="1">
        <w:r w:rsidRPr="00163795">
          <w:rPr>
            <w:rStyle w:val="Hyperlink"/>
            <w:i/>
            <w:iCs/>
          </w:rPr>
          <w:t>Trading our way to more jobs and prosperity</w:t>
        </w:r>
      </w:hyperlink>
      <w:r w:rsidRPr="00163795">
        <w:t xml:space="preserve">, April 2011. Critical about this decision: </w:t>
      </w:r>
      <w:r w:rsidRPr="00163795">
        <w:fldChar w:fldCharType="begin" w:fldLock="1"/>
      </w:r>
      <w:r w:rsidRPr="00163795">
        <w:instrText>ADDIN CSL_CITATION { "citationItems" : [ { "id" : "ITEM-1", "itemData" : { "DOI" : "10.1093/icsidreview/sis006", "ISSN" : "0258-3690", "abstract" : "This article analyzes the Australian Government's announcement that it will no longer include investor\u2013State dispute resolution provisions in future bilateral and regional trade agreements. The Australian policy shift is distinctly at odds with the recalibration strategies employed by other developed States. Philosophically, it is more in line with the hard exit from the investment law regime practiced so far by a limited number of Latin American States. Given Australia's long history as a committed supporter of international law, the Australian policy shift is likely to prove influential to a broad range of countries. With that prospect in mind, this article examines the policy change in three stages. First, it identifies and details the causal nexus between a combined set of domestic and international events and the Australian policy change. Second, it examines the direct causal factor\u2014comprising the 2010 recommendations by the Australian Productivity Commission\u2014in detail. Specifically, this part of the article focuses on the framing and methodology adopted by the Commission in its evaluation of the utility of investment disciplines. It uncovers problematic assumptions and omissions which, it is suggested, necessarily weaken the Commission's substantive findings. Finally, the article examines the implications of the Australian policy shift across a chronology by tracing likely short, medium and long-term consequences.", "author" : [ { "dropping-particle" : "", "family" : "Kurtz", "given" : "J\u00fcrgen", "non-dropping-particle" : "", "parse-names" : false, "suffix" : "" } ], "container-title" : "ICSID Review", "id" : "ITEM-1", "issue" : "1", "issued" : { "date-parts" : [ [ "2012" ] ] }, "page" : "65-86", "title" : "Australia\u2019s Rejection of Investor\u2013State Arbitration: Causation, Omission and Implication", "type" : "article-journal", "volume" : "27" }, "uris" : [ "http://www.mendeley.com/documents/?uuid=160fc745-b7e7-455c-aa41-8cba7d0e46cd" ] } ], "mendeley" : { "formattedCitation" : "(Kurtz 2012)", "plainTextFormattedCitation" : "(Kurtz 2012)", "previouslyFormattedCitation" : "(Kurtz 2012)" }, "properties" : { "noteIndex" : 0 }, "schema" : "https://github.com/citation-style-language/schema/raw/master/csl-citation.json" }</w:instrText>
      </w:r>
      <w:r w:rsidRPr="00163795">
        <w:fldChar w:fldCharType="separate"/>
      </w:r>
      <w:r w:rsidRPr="00163795">
        <w:rPr>
          <w:noProof/>
        </w:rPr>
        <w:t>(Kurtz 2012)</w:t>
      </w:r>
      <w:r w:rsidRPr="00163795">
        <w:fldChar w:fldCharType="end"/>
      </w:r>
      <w:r w:rsidRPr="00163795">
        <w:t xml:space="preserve">. </w:t>
      </w:r>
    </w:p>
  </w:footnote>
  <w:footnote w:id="130">
    <w:p w14:paraId="204C93BC" w14:textId="77777777" w:rsidR="00526CCE" w:rsidRPr="00163795" w:rsidRDefault="00526CCE" w:rsidP="006C279A">
      <w:pPr>
        <w:pStyle w:val="Voetnoottekst"/>
        <w:jc w:val="both"/>
      </w:pPr>
      <w:r w:rsidRPr="00163795">
        <w:rPr>
          <w:rStyle w:val="Voetnootmarkering"/>
        </w:rPr>
        <w:footnoteRef/>
      </w:r>
      <w:r w:rsidRPr="00163795">
        <w:t xml:space="preserve"> At the 16th EU-China summit that took place 20-21 November 2013 in Beijing.</w:t>
      </w:r>
    </w:p>
  </w:footnote>
  <w:footnote w:id="131">
    <w:p w14:paraId="204C93BD" w14:textId="77777777" w:rsidR="00526CCE" w:rsidRPr="00163795" w:rsidRDefault="00526CCE" w:rsidP="006C279A">
      <w:pPr>
        <w:pStyle w:val="Voetnoottekst"/>
        <w:jc w:val="both"/>
      </w:pPr>
      <w:r w:rsidRPr="00163795">
        <w:rPr>
          <w:rStyle w:val="Voetnootmarkering"/>
        </w:rPr>
        <w:footnoteRef/>
      </w:r>
      <w:r w:rsidRPr="00163795">
        <w:t xml:space="preserve"> </w:t>
      </w:r>
      <w:hyperlink r:id="rId29" w:history="1">
        <w:r w:rsidRPr="00163795">
          <w:rPr>
            <w:rStyle w:val="Hyperlink"/>
          </w:rPr>
          <w:t>http://dfat.gov.au/trade/topics/pages/isds.aspx</w:t>
        </w:r>
      </w:hyperlink>
      <w:r w:rsidRPr="00163795">
        <w:t xml:space="preserve"> </w:t>
      </w:r>
    </w:p>
  </w:footnote>
  <w:footnote w:id="132">
    <w:p w14:paraId="204C93BE" w14:textId="7A1163AE" w:rsidR="00526CCE" w:rsidRPr="00163795" w:rsidRDefault="00526CCE" w:rsidP="006C279A">
      <w:pPr>
        <w:pStyle w:val="Voetnoottekst"/>
        <w:jc w:val="both"/>
        <w:rPr>
          <w:lang w:val="en-US"/>
        </w:rPr>
      </w:pPr>
      <w:r w:rsidRPr="00163795">
        <w:rPr>
          <w:rStyle w:val="Voetnootmarkering"/>
        </w:rPr>
        <w:footnoteRef/>
      </w:r>
      <w:r w:rsidRPr="00163795">
        <w:rPr>
          <w:lang w:val="en-US"/>
        </w:rPr>
        <w:t xml:space="preserve"> AUSFTA was signed in May 2004 and entere</w:t>
      </w:r>
      <w:r w:rsidR="00101DDF">
        <w:rPr>
          <w:lang w:val="en-US"/>
        </w:rPr>
        <w:t>d into force on 1 January 2005.</w:t>
      </w:r>
    </w:p>
  </w:footnote>
  <w:footnote w:id="133">
    <w:p w14:paraId="204C93BF" w14:textId="77777777" w:rsidR="00526CCE" w:rsidRPr="00163795" w:rsidRDefault="00526CCE" w:rsidP="006C279A">
      <w:pPr>
        <w:pStyle w:val="Voetnoottekst"/>
        <w:jc w:val="both"/>
        <w:rPr>
          <w:lang w:val="de-DE"/>
        </w:rPr>
      </w:pPr>
      <w:r w:rsidRPr="00163795">
        <w:rPr>
          <w:rStyle w:val="Voetnootmarkering"/>
        </w:rPr>
        <w:footnoteRef/>
      </w:r>
      <w:r w:rsidRPr="00163795">
        <w:rPr>
          <w:lang w:val="de-DE"/>
        </w:rPr>
        <w:t xml:space="preserve"> Compare H Klodt, </w:t>
      </w:r>
      <w:r w:rsidRPr="00163795">
        <w:rPr>
          <w:i/>
          <w:iCs/>
          <w:lang w:val="de-DE"/>
        </w:rPr>
        <w:t>Investitionsschutzabkommen: mehr Rechtssicherheit oder Verzicht auf Souveränität?</w:t>
      </w:r>
      <w:r w:rsidRPr="00163795">
        <w:rPr>
          <w:lang w:val="de-DE"/>
        </w:rPr>
        <w:t>, Wirtschaftsdienst 2014/7, p. 459-463, at 460.</w:t>
      </w:r>
    </w:p>
  </w:footnote>
  <w:footnote w:id="134">
    <w:p w14:paraId="7654CBA5" w14:textId="77777777" w:rsidR="00A238EE" w:rsidRPr="00C10FD9" w:rsidRDefault="00A238EE">
      <w:pPr>
        <w:pStyle w:val="Voetnoottekst"/>
        <w:rPr>
          <w:lang w:val="en-US"/>
        </w:rPr>
      </w:pPr>
      <w:r>
        <w:rPr>
          <w:rStyle w:val="Voetnootmarkering"/>
        </w:rPr>
        <w:footnoteRef/>
      </w:r>
      <w:r>
        <w:t xml:space="preserve"> </w:t>
      </w:r>
      <w:r w:rsidRPr="00C10FD9">
        <w:rPr>
          <w:lang w:val="en-US"/>
        </w:rPr>
        <w:t xml:space="preserve">Compare </w:t>
      </w:r>
      <w:r>
        <w:rPr>
          <w:lang w:val="en-US"/>
        </w:rPr>
        <w:t>Politico, ‘</w:t>
      </w:r>
      <w:r w:rsidRPr="00C10FD9">
        <w:rPr>
          <w:lang w:val="en-US"/>
        </w:rPr>
        <w:t>EU faces tough sell on TTIP compromise</w:t>
      </w:r>
      <w:r>
        <w:rPr>
          <w:lang w:val="en-US"/>
        </w:rPr>
        <w:t>’, 7 February 2016, &lt;</w:t>
      </w:r>
      <w:hyperlink r:id="rId30" w:history="1">
        <w:r w:rsidRPr="00084D54">
          <w:rPr>
            <w:rStyle w:val="Hyperlink"/>
            <w:lang w:val="en-US"/>
          </w:rPr>
          <w:t>www.politico.eu/article/eu-faces-tough-sell-on-ttip-compromise-malmstroem-froman</w:t>
        </w:r>
      </w:hyperlink>
      <w:r>
        <w:rPr>
          <w:lang w:val="en-US"/>
        </w:rPr>
        <w:t xml:space="preserve">&gt;  and </w:t>
      </w:r>
      <w:r w:rsidRPr="00C10FD9">
        <w:rPr>
          <w:lang w:val="en-US"/>
        </w:rPr>
        <w:t xml:space="preserve">Reuters, 29 October 2015, </w:t>
      </w:r>
      <w:r>
        <w:rPr>
          <w:lang w:val="en-US"/>
        </w:rPr>
        <w:t>‘</w:t>
      </w:r>
      <w:r w:rsidRPr="00C10FD9">
        <w:rPr>
          <w:lang w:val="en-US"/>
        </w:rPr>
        <w:t>U.S. wary of EU proposal for investment court in trade pact</w:t>
      </w:r>
      <w:r>
        <w:rPr>
          <w:lang w:val="en-US"/>
        </w:rPr>
        <w:t xml:space="preserve">’, </w:t>
      </w:r>
      <w:r w:rsidRPr="00C10FD9">
        <w:rPr>
          <w:lang w:val="en-US"/>
        </w:rPr>
        <w:t>&lt;www.reuters.com/article/us-trade-ttip-idUSKCN0SN2LH20151029</w:t>
      </w:r>
      <w:r>
        <w:rPr>
          <w:lang w:val="en-US"/>
        </w:rPr>
        <w:t>&gt;.</w:t>
      </w:r>
    </w:p>
  </w:footnote>
  <w:footnote w:id="135">
    <w:p w14:paraId="751EAE04" w14:textId="762BE915" w:rsidR="00526CCE" w:rsidRPr="006014CA" w:rsidRDefault="00526CCE">
      <w:pPr>
        <w:pStyle w:val="Voetnoottekst"/>
      </w:pPr>
      <w:r>
        <w:rPr>
          <w:rStyle w:val="Voetnootmarkering"/>
        </w:rPr>
        <w:footnoteRef/>
      </w:r>
      <w:r>
        <w:t xml:space="preserve"> </w:t>
      </w:r>
      <w:r w:rsidRPr="006014CA">
        <w:t>It concerns the questions whether the Union has the requisite competence to sign and conclude alone the Free Trade Agreement with Singapore, and more specifically which provisions of the agreement fall within the Union’s exclusive competence, which within the Union’s shared competence and whether any provision falls within the exclusive competence of the Member States.</w:t>
      </w:r>
      <w:r w:rsidR="00D762F0">
        <w:t xml:space="preserve"> The</w:t>
      </w:r>
      <w:r w:rsidR="00ED1719">
        <w:t xml:space="preserve"> opinion </w:t>
      </w:r>
      <w:r w:rsidR="00185EF2">
        <w:t xml:space="preserve">C-2/15 </w:t>
      </w:r>
      <w:r w:rsidR="00ED1719">
        <w:t>will be delivered on 16</w:t>
      </w:r>
      <w:r w:rsidR="00D762F0">
        <w:t xml:space="preserve"> May 2017 by the CJEU.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50F34"/>
    <w:multiLevelType w:val="hybridMultilevel"/>
    <w:tmpl w:val="846A7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3E6916"/>
    <w:multiLevelType w:val="hybridMultilevel"/>
    <w:tmpl w:val="772A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64A43"/>
    <w:multiLevelType w:val="hybridMultilevel"/>
    <w:tmpl w:val="5C4AD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4E42BA"/>
    <w:multiLevelType w:val="hybridMultilevel"/>
    <w:tmpl w:val="9A48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7597364"/>
    <w:multiLevelType w:val="hybridMultilevel"/>
    <w:tmpl w:val="144A9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7E0D51"/>
    <w:multiLevelType w:val="hybridMultilevel"/>
    <w:tmpl w:val="6A8A90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D7B60"/>
    <w:multiLevelType w:val="hybridMultilevel"/>
    <w:tmpl w:val="EA1C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1E5A18"/>
    <w:multiLevelType w:val="hybridMultilevel"/>
    <w:tmpl w:val="12EC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0846AE"/>
    <w:multiLevelType w:val="hybridMultilevel"/>
    <w:tmpl w:val="151E9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EE384A"/>
    <w:multiLevelType w:val="hybridMultilevel"/>
    <w:tmpl w:val="56A8E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251B2D"/>
    <w:multiLevelType w:val="hybridMultilevel"/>
    <w:tmpl w:val="FDF0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4"/>
  </w:num>
  <w:num w:numId="6">
    <w:abstractNumId w:val="3"/>
  </w:num>
  <w:num w:numId="7">
    <w:abstractNumId w:val="8"/>
  </w:num>
  <w:num w:numId="8">
    <w:abstractNumId w:val="7"/>
  </w:num>
  <w:num w:numId="9">
    <w:abstractNumId w:val="5"/>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s-PE" w:vendorID="64" w:dllVersion="6" w:nlCheck="1" w:checkStyle="1"/>
  <w:activeWritingStyle w:appName="MSWord" w:lang="fr-FR"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4B"/>
    <w:rsid w:val="000003BD"/>
    <w:rsid w:val="000005E0"/>
    <w:rsid w:val="00001295"/>
    <w:rsid w:val="00002225"/>
    <w:rsid w:val="00003520"/>
    <w:rsid w:val="00004AA9"/>
    <w:rsid w:val="00004C4F"/>
    <w:rsid w:val="00005320"/>
    <w:rsid w:val="00005AF8"/>
    <w:rsid w:val="0000646F"/>
    <w:rsid w:val="000100A6"/>
    <w:rsid w:val="00010396"/>
    <w:rsid w:val="000107A7"/>
    <w:rsid w:val="0001122B"/>
    <w:rsid w:val="000119F4"/>
    <w:rsid w:val="00012108"/>
    <w:rsid w:val="000121B9"/>
    <w:rsid w:val="00012736"/>
    <w:rsid w:val="0001297F"/>
    <w:rsid w:val="00012BC1"/>
    <w:rsid w:val="00012F8A"/>
    <w:rsid w:val="00013121"/>
    <w:rsid w:val="00013831"/>
    <w:rsid w:val="00014198"/>
    <w:rsid w:val="000142B1"/>
    <w:rsid w:val="00014F9B"/>
    <w:rsid w:val="000151FE"/>
    <w:rsid w:val="00015922"/>
    <w:rsid w:val="00015EA5"/>
    <w:rsid w:val="00016B86"/>
    <w:rsid w:val="000213A4"/>
    <w:rsid w:val="00022E41"/>
    <w:rsid w:val="00023DE8"/>
    <w:rsid w:val="000241C4"/>
    <w:rsid w:val="00025B2D"/>
    <w:rsid w:val="00027856"/>
    <w:rsid w:val="00030646"/>
    <w:rsid w:val="00030B0A"/>
    <w:rsid w:val="00030E99"/>
    <w:rsid w:val="000317A6"/>
    <w:rsid w:val="00031B7B"/>
    <w:rsid w:val="00033124"/>
    <w:rsid w:val="00035B1F"/>
    <w:rsid w:val="0003660E"/>
    <w:rsid w:val="00036636"/>
    <w:rsid w:val="00036EE4"/>
    <w:rsid w:val="00037954"/>
    <w:rsid w:val="00037E4E"/>
    <w:rsid w:val="00037E79"/>
    <w:rsid w:val="00037F24"/>
    <w:rsid w:val="0004256C"/>
    <w:rsid w:val="00042EEC"/>
    <w:rsid w:val="00044754"/>
    <w:rsid w:val="00044767"/>
    <w:rsid w:val="000448A5"/>
    <w:rsid w:val="00044C8A"/>
    <w:rsid w:val="00046ED4"/>
    <w:rsid w:val="000478BD"/>
    <w:rsid w:val="00047938"/>
    <w:rsid w:val="000509DF"/>
    <w:rsid w:val="00050E57"/>
    <w:rsid w:val="0005164E"/>
    <w:rsid w:val="00052567"/>
    <w:rsid w:val="00052575"/>
    <w:rsid w:val="000526C4"/>
    <w:rsid w:val="00052B5D"/>
    <w:rsid w:val="00053375"/>
    <w:rsid w:val="000540D0"/>
    <w:rsid w:val="00054860"/>
    <w:rsid w:val="0005504F"/>
    <w:rsid w:val="000550F6"/>
    <w:rsid w:val="00055BAC"/>
    <w:rsid w:val="00056AA4"/>
    <w:rsid w:val="000575AE"/>
    <w:rsid w:val="000577FC"/>
    <w:rsid w:val="00057C56"/>
    <w:rsid w:val="00061988"/>
    <w:rsid w:val="00061B97"/>
    <w:rsid w:val="00062C43"/>
    <w:rsid w:val="00064281"/>
    <w:rsid w:val="0006491D"/>
    <w:rsid w:val="00067B57"/>
    <w:rsid w:val="00071225"/>
    <w:rsid w:val="0007185A"/>
    <w:rsid w:val="00073811"/>
    <w:rsid w:val="0007452C"/>
    <w:rsid w:val="00075D2E"/>
    <w:rsid w:val="00075D97"/>
    <w:rsid w:val="000776DB"/>
    <w:rsid w:val="000802F0"/>
    <w:rsid w:val="0008071F"/>
    <w:rsid w:val="00080720"/>
    <w:rsid w:val="0008092B"/>
    <w:rsid w:val="000812D5"/>
    <w:rsid w:val="00081CE0"/>
    <w:rsid w:val="000825F2"/>
    <w:rsid w:val="0008359D"/>
    <w:rsid w:val="00083877"/>
    <w:rsid w:val="00083AC5"/>
    <w:rsid w:val="00084119"/>
    <w:rsid w:val="00085BD5"/>
    <w:rsid w:val="00085DDA"/>
    <w:rsid w:val="000868F7"/>
    <w:rsid w:val="00087187"/>
    <w:rsid w:val="000903F9"/>
    <w:rsid w:val="00090982"/>
    <w:rsid w:val="00090B45"/>
    <w:rsid w:val="00090C1C"/>
    <w:rsid w:val="00090E77"/>
    <w:rsid w:val="000911C4"/>
    <w:rsid w:val="00091625"/>
    <w:rsid w:val="000919BD"/>
    <w:rsid w:val="00091DB0"/>
    <w:rsid w:val="000922FA"/>
    <w:rsid w:val="00093539"/>
    <w:rsid w:val="000937F7"/>
    <w:rsid w:val="00093B21"/>
    <w:rsid w:val="000949E7"/>
    <w:rsid w:val="000A0656"/>
    <w:rsid w:val="000A0A7F"/>
    <w:rsid w:val="000A0DE8"/>
    <w:rsid w:val="000A1975"/>
    <w:rsid w:val="000A302D"/>
    <w:rsid w:val="000A606F"/>
    <w:rsid w:val="000A6477"/>
    <w:rsid w:val="000A7823"/>
    <w:rsid w:val="000A7D97"/>
    <w:rsid w:val="000B000B"/>
    <w:rsid w:val="000B05EF"/>
    <w:rsid w:val="000B1FC8"/>
    <w:rsid w:val="000B444B"/>
    <w:rsid w:val="000B4A97"/>
    <w:rsid w:val="000B5595"/>
    <w:rsid w:val="000B56C6"/>
    <w:rsid w:val="000B621A"/>
    <w:rsid w:val="000B63C7"/>
    <w:rsid w:val="000B642A"/>
    <w:rsid w:val="000B6554"/>
    <w:rsid w:val="000B6F1B"/>
    <w:rsid w:val="000C2FDD"/>
    <w:rsid w:val="000C4050"/>
    <w:rsid w:val="000C41DD"/>
    <w:rsid w:val="000C5A1C"/>
    <w:rsid w:val="000C6115"/>
    <w:rsid w:val="000C6629"/>
    <w:rsid w:val="000C6A60"/>
    <w:rsid w:val="000D0612"/>
    <w:rsid w:val="000D06E7"/>
    <w:rsid w:val="000D0B1B"/>
    <w:rsid w:val="000D151E"/>
    <w:rsid w:val="000D21BB"/>
    <w:rsid w:val="000D2CB6"/>
    <w:rsid w:val="000D4887"/>
    <w:rsid w:val="000D4DFC"/>
    <w:rsid w:val="000D4FA4"/>
    <w:rsid w:val="000D7575"/>
    <w:rsid w:val="000D795D"/>
    <w:rsid w:val="000D7E6B"/>
    <w:rsid w:val="000E1C98"/>
    <w:rsid w:val="000E2B2B"/>
    <w:rsid w:val="000E307E"/>
    <w:rsid w:val="000E6DAE"/>
    <w:rsid w:val="000E7246"/>
    <w:rsid w:val="000E72D4"/>
    <w:rsid w:val="000E7F7D"/>
    <w:rsid w:val="000F0B19"/>
    <w:rsid w:val="000F1A44"/>
    <w:rsid w:val="000F2575"/>
    <w:rsid w:val="000F3F1A"/>
    <w:rsid w:val="000F44BA"/>
    <w:rsid w:val="000F4DCE"/>
    <w:rsid w:val="000F5932"/>
    <w:rsid w:val="000F6590"/>
    <w:rsid w:val="0010134F"/>
    <w:rsid w:val="0010156F"/>
    <w:rsid w:val="00101DDF"/>
    <w:rsid w:val="00101FAA"/>
    <w:rsid w:val="0010281E"/>
    <w:rsid w:val="00103141"/>
    <w:rsid w:val="001048E8"/>
    <w:rsid w:val="001060E7"/>
    <w:rsid w:val="00106F2E"/>
    <w:rsid w:val="001070AA"/>
    <w:rsid w:val="001072F0"/>
    <w:rsid w:val="00110F64"/>
    <w:rsid w:val="001116D2"/>
    <w:rsid w:val="00112B53"/>
    <w:rsid w:val="001159C0"/>
    <w:rsid w:val="00115D15"/>
    <w:rsid w:val="00115DD7"/>
    <w:rsid w:val="00120452"/>
    <w:rsid w:val="00120FB9"/>
    <w:rsid w:val="0012162D"/>
    <w:rsid w:val="00121F32"/>
    <w:rsid w:val="00122165"/>
    <w:rsid w:val="0012225F"/>
    <w:rsid w:val="00122C4E"/>
    <w:rsid w:val="00122CFB"/>
    <w:rsid w:val="0012347F"/>
    <w:rsid w:val="0012360E"/>
    <w:rsid w:val="001236AF"/>
    <w:rsid w:val="00123A9D"/>
    <w:rsid w:val="00123B93"/>
    <w:rsid w:val="00124812"/>
    <w:rsid w:val="00124C42"/>
    <w:rsid w:val="0012558E"/>
    <w:rsid w:val="0012571F"/>
    <w:rsid w:val="001258DD"/>
    <w:rsid w:val="0012602E"/>
    <w:rsid w:val="0013366C"/>
    <w:rsid w:val="0013572C"/>
    <w:rsid w:val="001357A4"/>
    <w:rsid w:val="0013629A"/>
    <w:rsid w:val="00136DF2"/>
    <w:rsid w:val="001408F6"/>
    <w:rsid w:val="00143108"/>
    <w:rsid w:val="0014366D"/>
    <w:rsid w:val="00143FA0"/>
    <w:rsid w:val="00144563"/>
    <w:rsid w:val="001448C2"/>
    <w:rsid w:val="0014494E"/>
    <w:rsid w:val="001462A0"/>
    <w:rsid w:val="00146A20"/>
    <w:rsid w:val="0015000F"/>
    <w:rsid w:val="00151852"/>
    <w:rsid w:val="001524CF"/>
    <w:rsid w:val="001526ED"/>
    <w:rsid w:val="00153A8E"/>
    <w:rsid w:val="00154453"/>
    <w:rsid w:val="00154A9A"/>
    <w:rsid w:val="00154EC4"/>
    <w:rsid w:val="001552AC"/>
    <w:rsid w:val="00155668"/>
    <w:rsid w:val="00156292"/>
    <w:rsid w:val="00156468"/>
    <w:rsid w:val="00156A55"/>
    <w:rsid w:val="001618AC"/>
    <w:rsid w:val="001636D8"/>
    <w:rsid w:val="00163795"/>
    <w:rsid w:val="00163E6E"/>
    <w:rsid w:val="00164AAF"/>
    <w:rsid w:val="00164C6F"/>
    <w:rsid w:val="001655F1"/>
    <w:rsid w:val="0016589F"/>
    <w:rsid w:val="00165D09"/>
    <w:rsid w:val="00166E66"/>
    <w:rsid w:val="00166FB5"/>
    <w:rsid w:val="00170356"/>
    <w:rsid w:val="00170B54"/>
    <w:rsid w:val="0017165E"/>
    <w:rsid w:val="00172C9F"/>
    <w:rsid w:val="0017411E"/>
    <w:rsid w:val="0017439E"/>
    <w:rsid w:val="001749AE"/>
    <w:rsid w:val="0017555C"/>
    <w:rsid w:val="001756D8"/>
    <w:rsid w:val="00175C68"/>
    <w:rsid w:val="00176525"/>
    <w:rsid w:val="00177CA8"/>
    <w:rsid w:val="00180F55"/>
    <w:rsid w:val="00182C23"/>
    <w:rsid w:val="00182EC0"/>
    <w:rsid w:val="001830D5"/>
    <w:rsid w:val="001838A0"/>
    <w:rsid w:val="00183EF3"/>
    <w:rsid w:val="00185824"/>
    <w:rsid w:val="0018582B"/>
    <w:rsid w:val="00185EF2"/>
    <w:rsid w:val="001904B4"/>
    <w:rsid w:val="0019095E"/>
    <w:rsid w:val="00192C2A"/>
    <w:rsid w:val="00194158"/>
    <w:rsid w:val="0019442D"/>
    <w:rsid w:val="00194469"/>
    <w:rsid w:val="001947C2"/>
    <w:rsid w:val="00194C6A"/>
    <w:rsid w:val="001952EA"/>
    <w:rsid w:val="00195BE5"/>
    <w:rsid w:val="00196A6D"/>
    <w:rsid w:val="001972CB"/>
    <w:rsid w:val="001A0BA8"/>
    <w:rsid w:val="001A1E44"/>
    <w:rsid w:val="001A218E"/>
    <w:rsid w:val="001A3669"/>
    <w:rsid w:val="001A46F6"/>
    <w:rsid w:val="001A52F2"/>
    <w:rsid w:val="001A53FD"/>
    <w:rsid w:val="001A5AB7"/>
    <w:rsid w:val="001B0229"/>
    <w:rsid w:val="001B0A39"/>
    <w:rsid w:val="001B0C1B"/>
    <w:rsid w:val="001B23AC"/>
    <w:rsid w:val="001B29EF"/>
    <w:rsid w:val="001B3C82"/>
    <w:rsid w:val="001B43BC"/>
    <w:rsid w:val="001B4C8D"/>
    <w:rsid w:val="001B60AB"/>
    <w:rsid w:val="001B63B6"/>
    <w:rsid w:val="001B6B08"/>
    <w:rsid w:val="001B789C"/>
    <w:rsid w:val="001C00B6"/>
    <w:rsid w:val="001C11D1"/>
    <w:rsid w:val="001C30A3"/>
    <w:rsid w:val="001C35A3"/>
    <w:rsid w:val="001C5ACF"/>
    <w:rsid w:val="001C609C"/>
    <w:rsid w:val="001C609D"/>
    <w:rsid w:val="001C61C8"/>
    <w:rsid w:val="001C6D18"/>
    <w:rsid w:val="001C6D88"/>
    <w:rsid w:val="001C70E5"/>
    <w:rsid w:val="001C7432"/>
    <w:rsid w:val="001D1E85"/>
    <w:rsid w:val="001D2FFE"/>
    <w:rsid w:val="001D3E89"/>
    <w:rsid w:val="001D5A81"/>
    <w:rsid w:val="001D5B82"/>
    <w:rsid w:val="001D5DB8"/>
    <w:rsid w:val="001D67B9"/>
    <w:rsid w:val="001D6DD0"/>
    <w:rsid w:val="001D7304"/>
    <w:rsid w:val="001E14CB"/>
    <w:rsid w:val="001E231D"/>
    <w:rsid w:val="001E39C5"/>
    <w:rsid w:val="001E3ED9"/>
    <w:rsid w:val="001E54FE"/>
    <w:rsid w:val="001E601B"/>
    <w:rsid w:val="001E6454"/>
    <w:rsid w:val="001E7564"/>
    <w:rsid w:val="001E75E9"/>
    <w:rsid w:val="001E7AAA"/>
    <w:rsid w:val="001E7DA8"/>
    <w:rsid w:val="001F178B"/>
    <w:rsid w:val="001F2600"/>
    <w:rsid w:val="001F2E5E"/>
    <w:rsid w:val="001F594F"/>
    <w:rsid w:val="001F6E28"/>
    <w:rsid w:val="001F712A"/>
    <w:rsid w:val="001F79EB"/>
    <w:rsid w:val="002000F3"/>
    <w:rsid w:val="002014DD"/>
    <w:rsid w:val="0020193D"/>
    <w:rsid w:val="00202803"/>
    <w:rsid w:val="002034DB"/>
    <w:rsid w:val="00203ACD"/>
    <w:rsid w:val="002050C0"/>
    <w:rsid w:val="002051B7"/>
    <w:rsid w:val="00206474"/>
    <w:rsid w:val="00206D05"/>
    <w:rsid w:val="002074A5"/>
    <w:rsid w:val="00210162"/>
    <w:rsid w:val="00210545"/>
    <w:rsid w:val="00210BA2"/>
    <w:rsid w:val="00212115"/>
    <w:rsid w:val="00212753"/>
    <w:rsid w:val="00212F88"/>
    <w:rsid w:val="00214641"/>
    <w:rsid w:val="00214F70"/>
    <w:rsid w:val="002162D7"/>
    <w:rsid w:val="0021764D"/>
    <w:rsid w:val="002201DA"/>
    <w:rsid w:val="00220562"/>
    <w:rsid w:val="00222819"/>
    <w:rsid w:val="002228FA"/>
    <w:rsid w:val="00223364"/>
    <w:rsid w:val="00223779"/>
    <w:rsid w:val="00223F56"/>
    <w:rsid w:val="0022518C"/>
    <w:rsid w:val="00225970"/>
    <w:rsid w:val="002260E3"/>
    <w:rsid w:val="00227830"/>
    <w:rsid w:val="00230C4A"/>
    <w:rsid w:val="002311D9"/>
    <w:rsid w:val="002316BD"/>
    <w:rsid w:val="00231705"/>
    <w:rsid w:val="00231B4D"/>
    <w:rsid w:val="00231E69"/>
    <w:rsid w:val="0023223C"/>
    <w:rsid w:val="002345B8"/>
    <w:rsid w:val="00234B13"/>
    <w:rsid w:val="00235769"/>
    <w:rsid w:val="00235FCF"/>
    <w:rsid w:val="002368F8"/>
    <w:rsid w:val="00237670"/>
    <w:rsid w:val="00241329"/>
    <w:rsid w:val="00241B81"/>
    <w:rsid w:val="00241F02"/>
    <w:rsid w:val="0024368E"/>
    <w:rsid w:val="00243998"/>
    <w:rsid w:val="00244FDC"/>
    <w:rsid w:val="00245EC6"/>
    <w:rsid w:val="0024670A"/>
    <w:rsid w:val="00246EFC"/>
    <w:rsid w:val="0024703B"/>
    <w:rsid w:val="002528A4"/>
    <w:rsid w:val="00253A4E"/>
    <w:rsid w:val="00254952"/>
    <w:rsid w:val="002565E4"/>
    <w:rsid w:val="00260857"/>
    <w:rsid w:val="00261C0A"/>
    <w:rsid w:val="00261C59"/>
    <w:rsid w:val="00262C89"/>
    <w:rsid w:val="00263476"/>
    <w:rsid w:val="0026670F"/>
    <w:rsid w:val="002668B1"/>
    <w:rsid w:val="0027130D"/>
    <w:rsid w:val="0027174E"/>
    <w:rsid w:val="00271912"/>
    <w:rsid w:val="00271984"/>
    <w:rsid w:val="002723F6"/>
    <w:rsid w:val="00272C67"/>
    <w:rsid w:val="002735D3"/>
    <w:rsid w:val="00273B74"/>
    <w:rsid w:val="00273E7C"/>
    <w:rsid w:val="00274CAF"/>
    <w:rsid w:val="00275127"/>
    <w:rsid w:val="00275DCE"/>
    <w:rsid w:val="00276138"/>
    <w:rsid w:val="002811C1"/>
    <w:rsid w:val="00281778"/>
    <w:rsid w:val="00281F7B"/>
    <w:rsid w:val="00282B98"/>
    <w:rsid w:val="00282FC1"/>
    <w:rsid w:val="00283A17"/>
    <w:rsid w:val="00284C3C"/>
    <w:rsid w:val="00284DC1"/>
    <w:rsid w:val="00284EE3"/>
    <w:rsid w:val="00285A42"/>
    <w:rsid w:val="00285AAD"/>
    <w:rsid w:val="002873FD"/>
    <w:rsid w:val="00287E9C"/>
    <w:rsid w:val="002926FF"/>
    <w:rsid w:val="00293B08"/>
    <w:rsid w:val="00294B1B"/>
    <w:rsid w:val="00294B83"/>
    <w:rsid w:val="002968FE"/>
    <w:rsid w:val="002A0362"/>
    <w:rsid w:val="002A0550"/>
    <w:rsid w:val="002A1967"/>
    <w:rsid w:val="002A680A"/>
    <w:rsid w:val="002B1633"/>
    <w:rsid w:val="002B16B5"/>
    <w:rsid w:val="002B2280"/>
    <w:rsid w:val="002B3020"/>
    <w:rsid w:val="002B3108"/>
    <w:rsid w:val="002B35FF"/>
    <w:rsid w:val="002B546A"/>
    <w:rsid w:val="002B5BFD"/>
    <w:rsid w:val="002B7B78"/>
    <w:rsid w:val="002B7EB0"/>
    <w:rsid w:val="002C05ED"/>
    <w:rsid w:val="002C08D6"/>
    <w:rsid w:val="002C170F"/>
    <w:rsid w:val="002C25A3"/>
    <w:rsid w:val="002C3AE2"/>
    <w:rsid w:val="002C4FD9"/>
    <w:rsid w:val="002C5645"/>
    <w:rsid w:val="002C6384"/>
    <w:rsid w:val="002D16AB"/>
    <w:rsid w:val="002D4A20"/>
    <w:rsid w:val="002D53CE"/>
    <w:rsid w:val="002D689A"/>
    <w:rsid w:val="002E0567"/>
    <w:rsid w:val="002E07B6"/>
    <w:rsid w:val="002E0BA1"/>
    <w:rsid w:val="002E10B8"/>
    <w:rsid w:val="002E2AD9"/>
    <w:rsid w:val="002E2DCD"/>
    <w:rsid w:val="002E5CCB"/>
    <w:rsid w:val="002E614D"/>
    <w:rsid w:val="002E731F"/>
    <w:rsid w:val="002E739C"/>
    <w:rsid w:val="002E7CAB"/>
    <w:rsid w:val="002F0069"/>
    <w:rsid w:val="002F0715"/>
    <w:rsid w:val="002F160F"/>
    <w:rsid w:val="002F2901"/>
    <w:rsid w:val="002F3810"/>
    <w:rsid w:val="002F3BB5"/>
    <w:rsid w:val="002F41EB"/>
    <w:rsid w:val="002F4812"/>
    <w:rsid w:val="002F553B"/>
    <w:rsid w:val="002F5C4D"/>
    <w:rsid w:val="002F622D"/>
    <w:rsid w:val="002F63C5"/>
    <w:rsid w:val="002F642A"/>
    <w:rsid w:val="002F6CF7"/>
    <w:rsid w:val="00302B9A"/>
    <w:rsid w:val="003051EE"/>
    <w:rsid w:val="003055AA"/>
    <w:rsid w:val="00305A5F"/>
    <w:rsid w:val="00305CA6"/>
    <w:rsid w:val="00306AEC"/>
    <w:rsid w:val="003075C2"/>
    <w:rsid w:val="003103FF"/>
    <w:rsid w:val="00311113"/>
    <w:rsid w:val="003123DE"/>
    <w:rsid w:val="00312E12"/>
    <w:rsid w:val="003130BC"/>
    <w:rsid w:val="00313CB2"/>
    <w:rsid w:val="0031597F"/>
    <w:rsid w:val="00316473"/>
    <w:rsid w:val="003165A8"/>
    <w:rsid w:val="00316B20"/>
    <w:rsid w:val="00316D66"/>
    <w:rsid w:val="003210F8"/>
    <w:rsid w:val="00322006"/>
    <w:rsid w:val="0032331A"/>
    <w:rsid w:val="00324BF0"/>
    <w:rsid w:val="00326AFE"/>
    <w:rsid w:val="0032772E"/>
    <w:rsid w:val="00330BF1"/>
    <w:rsid w:val="003316E5"/>
    <w:rsid w:val="003356C2"/>
    <w:rsid w:val="0033738E"/>
    <w:rsid w:val="00337710"/>
    <w:rsid w:val="003378CF"/>
    <w:rsid w:val="003406AF"/>
    <w:rsid w:val="00340F7F"/>
    <w:rsid w:val="00341D59"/>
    <w:rsid w:val="00342B8B"/>
    <w:rsid w:val="00342BEF"/>
    <w:rsid w:val="0034458C"/>
    <w:rsid w:val="00346CE5"/>
    <w:rsid w:val="003506C5"/>
    <w:rsid w:val="0035270A"/>
    <w:rsid w:val="00352AF5"/>
    <w:rsid w:val="00353108"/>
    <w:rsid w:val="00355864"/>
    <w:rsid w:val="00355C4E"/>
    <w:rsid w:val="00355DF4"/>
    <w:rsid w:val="00356752"/>
    <w:rsid w:val="00360052"/>
    <w:rsid w:val="003606D1"/>
    <w:rsid w:val="0036148D"/>
    <w:rsid w:val="003614DF"/>
    <w:rsid w:val="0036430A"/>
    <w:rsid w:val="00364A00"/>
    <w:rsid w:val="00364BF8"/>
    <w:rsid w:val="0036513A"/>
    <w:rsid w:val="00366CF3"/>
    <w:rsid w:val="0036724F"/>
    <w:rsid w:val="00370774"/>
    <w:rsid w:val="003736B6"/>
    <w:rsid w:val="00374727"/>
    <w:rsid w:val="00375677"/>
    <w:rsid w:val="00376449"/>
    <w:rsid w:val="00376494"/>
    <w:rsid w:val="0037766C"/>
    <w:rsid w:val="00377751"/>
    <w:rsid w:val="003808BB"/>
    <w:rsid w:val="003818C6"/>
    <w:rsid w:val="00381CFF"/>
    <w:rsid w:val="00382601"/>
    <w:rsid w:val="003833CF"/>
    <w:rsid w:val="00383525"/>
    <w:rsid w:val="0038358A"/>
    <w:rsid w:val="00386495"/>
    <w:rsid w:val="00386CBC"/>
    <w:rsid w:val="0038768D"/>
    <w:rsid w:val="003876B7"/>
    <w:rsid w:val="00387E6C"/>
    <w:rsid w:val="0039029F"/>
    <w:rsid w:val="00390868"/>
    <w:rsid w:val="0039108A"/>
    <w:rsid w:val="003920C1"/>
    <w:rsid w:val="003924F8"/>
    <w:rsid w:val="0039276D"/>
    <w:rsid w:val="00392799"/>
    <w:rsid w:val="003934E1"/>
    <w:rsid w:val="00393C77"/>
    <w:rsid w:val="003945C9"/>
    <w:rsid w:val="00394A93"/>
    <w:rsid w:val="00394E1F"/>
    <w:rsid w:val="003956DF"/>
    <w:rsid w:val="00396572"/>
    <w:rsid w:val="003968F0"/>
    <w:rsid w:val="00396994"/>
    <w:rsid w:val="00397563"/>
    <w:rsid w:val="003A0801"/>
    <w:rsid w:val="003A2090"/>
    <w:rsid w:val="003A3978"/>
    <w:rsid w:val="003A4B10"/>
    <w:rsid w:val="003A4C6B"/>
    <w:rsid w:val="003A5A46"/>
    <w:rsid w:val="003A713F"/>
    <w:rsid w:val="003B0AFD"/>
    <w:rsid w:val="003B0DA6"/>
    <w:rsid w:val="003B1240"/>
    <w:rsid w:val="003B2FE2"/>
    <w:rsid w:val="003B36DB"/>
    <w:rsid w:val="003B3C30"/>
    <w:rsid w:val="003B4224"/>
    <w:rsid w:val="003B4771"/>
    <w:rsid w:val="003B4D0E"/>
    <w:rsid w:val="003B50C6"/>
    <w:rsid w:val="003B5505"/>
    <w:rsid w:val="003B5B27"/>
    <w:rsid w:val="003B6251"/>
    <w:rsid w:val="003B6FEA"/>
    <w:rsid w:val="003C205B"/>
    <w:rsid w:val="003C3369"/>
    <w:rsid w:val="003C42D7"/>
    <w:rsid w:val="003C53C0"/>
    <w:rsid w:val="003C571C"/>
    <w:rsid w:val="003C5967"/>
    <w:rsid w:val="003C638D"/>
    <w:rsid w:val="003C678C"/>
    <w:rsid w:val="003D1B2D"/>
    <w:rsid w:val="003D5878"/>
    <w:rsid w:val="003D6212"/>
    <w:rsid w:val="003D7C1B"/>
    <w:rsid w:val="003E0563"/>
    <w:rsid w:val="003E0C80"/>
    <w:rsid w:val="003E1720"/>
    <w:rsid w:val="003E18C3"/>
    <w:rsid w:val="003E1C62"/>
    <w:rsid w:val="003E243C"/>
    <w:rsid w:val="003E2961"/>
    <w:rsid w:val="003E4E21"/>
    <w:rsid w:val="003E5D70"/>
    <w:rsid w:val="003E65B3"/>
    <w:rsid w:val="003E6C17"/>
    <w:rsid w:val="003E7A41"/>
    <w:rsid w:val="003F12A6"/>
    <w:rsid w:val="003F3595"/>
    <w:rsid w:val="003F57C4"/>
    <w:rsid w:val="003F6585"/>
    <w:rsid w:val="003F7B2D"/>
    <w:rsid w:val="00402E9E"/>
    <w:rsid w:val="00403619"/>
    <w:rsid w:val="004041B4"/>
    <w:rsid w:val="0040426F"/>
    <w:rsid w:val="00404317"/>
    <w:rsid w:val="00404349"/>
    <w:rsid w:val="00404495"/>
    <w:rsid w:val="00404C8E"/>
    <w:rsid w:val="00404CA1"/>
    <w:rsid w:val="0040504A"/>
    <w:rsid w:val="004066AD"/>
    <w:rsid w:val="00406BD6"/>
    <w:rsid w:val="004106D5"/>
    <w:rsid w:val="004106E6"/>
    <w:rsid w:val="00410847"/>
    <w:rsid w:val="00412BDA"/>
    <w:rsid w:val="00413915"/>
    <w:rsid w:val="00413E4E"/>
    <w:rsid w:val="00413F9F"/>
    <w:rsid w:val="004144E1"/>
    <w:rsid w:val="00414844"/>
    <w:rsid w:val="00414DAA"/>
    <w:rsid w:val="00415D2B"/>
    <w:rsid w:val="004167FE"/>
    <w:rsid w:val="0041704F"/>
    <w:rsid w:val="004172D2"/>
    <w:rsid w:val="0041749B"/>
    <w:rsid w:val="0041795D"/>
    <w:rsid w:val="004204DA"/>
    <w:rsid w:val="00420BA3"/>
    <w:rsid w:val="00421B20"/>
    <w:rsid w:val="00421C44"/>
    <w:rsid w:val="004222EA"/>
    <w:rsid w:val="00424955"/>
    <w:rsid w:val="00424E5C"/>
    <w:rsid w:val="0042509B"/>
    <w:rsid w:val="00425318"/>
    <w:rsid w:val="004263EC"/>
    <w:rsid w:val="00426AAC"/>
    <w:rsid w:val="00426D12"/>
    <w:rsid w:val="00427AB2"/>
    <w:rsid w:val="00431E7C"/>
    <w:rsid w:val="00431F44"/>
    <w:rsid w:val="0043337D"/>
    <w:rsid w:val="00433EE0"/>
    <w:rsid w:val="00434456"/>
    <w:rsid w:val="004352E2"/>
    <w:rsid w:val="004356BD"/>
    <w:rsid w:val="00435748"/>
    <w:rsid w:val="00436856"/>
    <w:rsid w:val="00440132"/>
    <w:rsid w:val="0044029D"/>
    <w:rsid w:val="00440902"/>
    <w:rsid w:val="00440BC5"/>
    <w:rsid w:val="00440DB8"/>
    <w:rsid w:val="00440FE7"/>
    <w:rsid w:val="00442399"/>
    <w:rsid w:val="00443972"/>
    <w:rsid w:val="00445A22"/>
    <w:rsid w:val="00445BCC"/>
    <w:rsid w:val="00453E37"/>
    <w:rsid w:val="00455976"/>
    <w:rsid w:val="00456C3E"/>
    <w:rsid w:val="004573A2"/>
    <w:rsid w:val="00457CB0"/>
    <w:rsid w:val="00460651"/>
    <w:rsid w:val="00460E37"/>
    <w:rsid w:val="00460F7C"/>
    <w:rsid w:val="00461C18"/>
    <w:rsid w:val="00462E21"/>
    <w:rsid w:val="004631AB"/>
    <w:rsid w:val="00466393"/>
    <w:rsid w:val="00466591"/>
    <w:rsid w:val="00467111"/>
    <w:rsid w:val="00471381"/>
    <w:rsid w:val="004715D6"/>
    <w:rsid w:val="0047252F"/>
    <w:rsid w:val="00472DE5"/>
    <w:rsid w:val="0047362E"/>
    <w:rsid w:val="00473684"/>
    <w:rsid w:val="0047368A"/>
    <w:rsid w:val="00473DE4"/>
    <w:rsid w:val="00477056"/>
    <w:rsid w:val="00481310"/>
    <w:rsid w:val="00481CDC"/>
    <w:rsid w:val="00481F63"/>
    <w:rsid w:val="00482C2F"/>
    <w:rsid w:val="00482DE7"/>
    <w:rsid w:val="00483F2B"/>
    <w:rsid w:val="004845FC"/>
    <w:rsid w:val="00485245"/>
    <w:rsid w:val="00485404"/>
    <w:rsid w:val="00485C03"/>
    <w:rsid w:val="00485F35"/>
    <w:rsid w:val="00485FA9"/>
    <w:rsid w:val="0048632D"/>
    <w:rsid w:val="0049082E"/>
    <w:rsid w:val="00492775"/>
    <w:rsid w:val="00493445"/>
    <w:rsid w:val="00494325"/>
    <w:rsid w:val="0049668D"/>
    <w:rsid w:val="00496776"/>
    <w:rsid w:val="00496B76"/>
    <w:rsid w:val="00497A92"/>
    <w:rsid w:val="004A02E2"/>
    <w:rsid w:val="004A09F4"/>
    <w:rsid w:val="004A19E2"/>
    <w:rsid w:val="004A1BDE"/>
    <w:rsid w:val="004A1C6B"/>
    <w:rsid w:val="004A2A1F"/>
    <w:rsid w:val="004A4F29"/>
    <w:rsid w:val="004A69A1"/>
    <w:rsid w:val="004A7C06"/>
    <w:rsid w:val="004A7EA8"/>
    <w:rsid w:val="004B0E19"/>
    <w:rsid w:val="004B15BC"/>
    <w:rsid w:val="004B17BD"/>
    <w:rsid w:val="004B1DB4"/>
    <w:rsid w:val="004B2BBA"/>
    <w:rsid w:val="004B2D7A"/>
    <w:rsid w:val="004B57FD"/>
    <w:rsid w:val="004B62C8"/>
    <w:rsid w:val="004B68DE"/>
    <w:rsid w:val="004B6E41"/>
    <w:rsid w:val="004B7078"/>
    <w:rsid w:val="004B7BD4"/>
    <w:rsid w:val="004C10A6"/>
    <w:rsid w:val="004C1882"/>
    <w:rsid w:val="004C1B37"/>
    <w:rsid w:val="004C567D"/>
    <w:rsid w:val="004C5CBB"/>
    <w:rsid w:val="004C6679"/>
    <w:rsid w:val="004C7208"/>
    <w:rsid w:val="004D0E04"/>
    <w:rsid w:val="004D1A68"/>
    <w:rsid w:val="004D1B57"/>
    <w:rsid w:val="004D1BEA"/>
    <w:rsid w:val="004D2D0A"/>
    <w:rsid w:val="004D34A5"/>
    <w:rsid w:val="004D35A2"/>
    <w:rsid w:val="004D36E8"/>
    <w:rsid w:val="004D4BCB"/>
    <w:rsid w:val="004D56DD"/>
    <w:rsid w:val="004D6ACF"/>
    <w:rsid w:val="004E1E38"/>
    <w:rsid w:val="004E42FD"/>
    <w:rsid w:val="004E5107"/>
    <w:rsid w:val="004E6DD2"/>
    <w:rsid w:val="004E7E72"/>
    <w:rsid w:val="004E7EC8"/>
    <w:rsid w:val="004F0DBA"/>
    <w:rsid w:val="004F0DD0"/>
    <w:rsid w:val="004F1716"/>
    <w:rsid w:val="004F3249"/>
    <w:rsid w:val="004F39C9"/>
    <w:rsid w:val="004F3BD5"/>
    <w:rsid w:val="004F650F"/>
    <w:rsid w:val="004F7631"/>
    <w:rsid w:val="004F7C35"/>
    <w:rsid w:val="00500D9C"/>
    <w:rsid w:val="00501F1C"/>
    <w:rsid w:val="00502831"/>
    <w:rsid w:val="005030E5"/>
    <w:rsid w:val="00503318"/>
    <w:rsid w:val="00503E8B"/>
    <w:rsid w:val="0050440D"/>
    <w:rsid w:val="0050488C"/>
    <w:rsid w:val="00511ECB"/>
    <w:rsid w:val="0051339B"/>
    <w:rsid w:val="00514AF7"/>
    <w:rsid w:val="005160BC"/>
    <w:rsid w:val="0051634E"/>
    <w:rsid w:val="00516533"/>
    <w:rsid w:val="00516A34"/>
    <w:rsid w:val="00517B4D"/>
    <w:rsid w:val="00520CC6"/>
    <w:rsid w:val="00521B2D"/>
    <w:rsid w:val="0052349D"/>
    <w:rsid w:val="00524348"/>
    <w:rsid w:val="00524700"/>
    <w:rsid w:val="00524F65"/>
    <w:rsid w:val="00525B50"/>
    <w:rsid w:val="00525DA0"/>
    <w:rsid w:val="005269CB"/>
    <w:rsid w:val="005269D4"/>
    <w:rsid w:val="00526CCE"/>
    <w:rsid w:val="00527A64"/>
    <w:rsid w:val="00527B75"/>
    <w:rsid w:val="00527E33"/>
    <w:rsid w:val="00530429"/>
    <w:rsid w:val="00531AE7"/>
    <w:rsid w:val="005324B3"/>
    <w:rsid w:val="005325DA"/>
    <w:rsid w:val="0053300C"/>
    <w:rsid w:val="00535CAB"/>
    <w:rsid w:val="00536999"/>
    <w:rsid w:val="00537F7A"/>
    <w:rsid w:val="00540C0A"/>
    <w:rsid w:val="00542002"/>
    <w:rsid w:val="00543130"/>
    <w:rsid w:val="00543524"/>
    <w:rsid w:val="00543E82"/>
    <w:rsid w:val="00547E6B"/>
    <w:rsid w:val="0055059D"/>
    <w:rsid w:val="00551F72"/>
    <w:rsid w:val="0055207F"/>
    <w:rsid w:val="00553405"/>
    <w:rsid w:val="005546A7"/>
    <w:rsid w:val="00555162"/>
    <w:rsid w:val="005576D0"/>
    <w:rsid w:val="0056019E"/>
    <w:rsid w:val="005604C8"/>
    <w:rsid w:val="00560F32"/>
    <w:rsid w:val="00562D82"/>
    <w:rsid w:val="00562EA8"/>
    <w:rsid w:val="00563CBA"/>
    <w:rsid w:val="00564E16"/>
    <w:rsid w:val="00565EBF"/>
    <w:rsid w:val="0056734E"/>
    <w:rsid w:val="0056790B"/>
    <w:rsid w:val="00567A74"/>
    <w:rsid w:val="005700C1"/>
    <w:rsid w:val="00570635"/>
    <w:rsid w:val="00570988"/>
    <w:rsid w:val="00570DDB"/>
    <w:rsid w:val="005717B1"/>
    <w:rsid w:val="00574347"/>
    <w:rsid w:val="0057569B"/>
    <w:rsid w:val="00576052"/>
    <w:rsid w:val="005768A9"/>
    <w:rsid w:val="005777BF"/>
    <w:rsid w:val="00580E4E"/>
    <w:rsid w:val="00582D35"/>
    <w:rsid w:val="005839E2"/>
    <w:rsid w:val="00584547"/>
    <w:rsid w:val="00584723"/>
    <w:rsid w:val="00584C51"/>
    <w:rsid w:val="00584C57"/>
    <w:rsid w:val="00584E37"/>
    <w:rsid w:val="00584FA2"/>
    <w:rsid w:val="005850C0"/>
    <w:rsid w:val="00585B67"/>
    <w:rsid w:val="005900DF"/>
    <w:rsid w:val="00592074"/>
    <w:rsid w:val="005929CF"/>
    <w:rsid w:val="00593B27"/>
    <w:rsid w:val="00594427"/>
    <w:rsid w:val="00596EC6"/>
    <w:rsid w:val="00597414"/>
    <w:rsid w:val="005A06C6"/>
    <w:rsid w:val="005A1A25"/>
    <w:rsid w:val="005A1F23"/>
    <w:rsid w:val="005A1FE8"/>
    <w:rsid w:val="005A239C"/>
    <w:rsid w:val="005A2D6C"/>
    <w:rsid w:val="005A3EFD"/>
    <w:rsid w:val="005A46D4"/>
    <w:rsid w:val="005A5EAF"/>
    <w:rsid w:val="005A5ED7"/>
    <w:rsid w:val="005A79C4"/>
    <w:rsid w:val="005B1C62"/>
    <w:rsid w:val="005B2B10"/>
    <w:rsid w:val="005B31CD"/>
    <w:rsid w:val="005B4886"/>
    <w:rsid w:val="005B4972"/>
    <w:rsid w:val="005B71F7"/>
    <w:rsid w:val="005B741A"/>
    <w:rsid w:val="005B7C43"/>
    <w:rsid w:val="005C0EDE"/>
    <w:rsid w:val="005C18A3"/>
    <w:rsid w:val="005C1D4C"/>
    <w:rsid w:val="005D06DF"/>
    <w:rsid w:val="005D0940"/>
    <w:rsid w:val="005D184B"/>
    <w:rsid w:val="005D1B3C"/>
    <w:rsid w:val="005D23A6"/>
    <w:rsid w:val="005D622A"/>
    <w:rsid w:val="005D6480"/>
    <w:rsid w:val="005D6C21"/>
    <w:rsid w:val="005D6CD8"/>
    <w:rsid w:val="005D73E5"/>
    <w:rsid w:val="005D75D9"/>
    <w:rsid w:val="005D782E"/>
    <w:rsid w:val="005D7DA5"/>
    <w:rsid w:val="005E06DE"/>
    <w:rsid w:val="005E12B5"/>
    <w:rsid w:val="005E20D7"/>
    <w:rsid w:val="005E2248"/>
    <w:rsid w:val="005E49A9"/>
    <w:rsid w:val="005E7A81"/>
    <w:rsid w:val="005E7BEB"/>
    <w:rsid w:val="005E7DCD"/>
    <w:rsid w:val="005F01BF"/>
    <w:rsid w:val="005F087F"/>
    <w:rsid w:val="005F1F16"/>
    <w:rsid w:val="005F2717"/>
    <w:rsid w:val="005F297C"/>
    <w:rsid w:val="005F3429"/>
    <w:rsid w:val="005F5ECA"/>
    <w:rsid w:val="005F5F1A"/>
    <w:rsid w:val="00601334"/>
    <w:rsid w:val="006014CA"/>
    <w:rsid w:val="00601FF2"/>
    <w:rsid w:val="00602D71"/>
    <w:rsid w:val="00602FBE"/>
    <w:rsid w:val="00604CDD"/>
    <w:rsid w:val="00610471"/>
    <w:rsid w:val="006119A2"/>
    <w:rsid w:val="006127E0"/>
    <w:rsid w:val="00613845"/>
    <w:rsid w:val="006153BF"/>
    <w:rsid w:val="00615731"/>
    <w:rsid w:val="00615812"/>
    <w:rsid w:val="0061681F"/>
    <w:rsid w:val="00617684"/>
    <w:rsid w:val="006177F9"/>
    <w:rsid w:val="00617885"/>
    <w:rsid w:val="00617B64"/>
    <w:rsid w:val="00617BFC"/>
    <w:rsid w:val="00620419"/>
    <w:rsid w:val="006234B6"/>
    <w:rsid w:val="00623818"/>
    <w:rsid w:val="00624AE1"/>
    <w:rsid w:val="00624CFD"/>
    <w:rsid w:val="00624DD7"/>
    <w:rsid w:val="0062501F"/>
    <w:rsid w:val="006250EF"/>
    <w:rsid w:val="0062611E"/>
    <w:rsid w:val="00627943"/>
    <w:rsid w:val="00630320"/>
    <w:rsid w:val="00633A05"/>
    <w:rsid w:val="00634803"/>
    <w:rsid w:val="00637FBD"/>
    <w:rsid w:val="006400AF"/>
    <w:rsid w:val="00641AA8"/>
    <w:rsid w:val="006431E8"/>
    <w:rsid w:val="00643985"/>
    <w:rsid w:val="0064442F"/>
    <w:rsid w:val="00645AAE"/>
    <w:rsid w:val="00645DE2"/>
    <w:rsid w:val="00646DD5"/>
    <w:rsid w:val="006472A3"/>
    <w:rsid w:val="00647355"/>
    <w:rsid w:val="006500A1"/>
    <w:rsid w:val="006503AF"/>
    <w:rsid w:val="0065089B"/>
    <w:rsid w:val="00650919"/>
    <w:rsid w:val="006512FD"/>
    <w:rsid w:val="0065298F"/>
    <w:rsid w:val="00654024"/>
    <w:rsid w:val="0065419B"/>
    <w:rsid w:val="0065441E"/>
    <w:rsid w:val="006550A0"/>
    <w:rsid w:val="00655A9E"/>
    <w:rsid w:val="00656D75"/>
    <w:rsid w:val="00661888"/>
    <w:rsid w:val="00661DF8"/>
    <w:rsid w:val="00662C49"/>
    <w:rsid w:val="00663182"/>
    <w:rsid w:val="00663F70"/>
    <w:rsid w:val="0066412B"/>
    <w:rsid w:val="006642DD"/>
    <w:rsid w:val="0066581F"/>
    <w:rsid w:val="0066668E"/>
    <w:rsid w:val="006671FB"/>
    <w:rsid w:val="0067291D"/>
    <w:rsid w:val="00672AF4"/>
    <w:rsid w:val="006734E7"/>
    <w:rsid w:val="00675D65"/>
    <w:rsid w:val="00676530"/>
    <w:rsid w:val="006778E0"/>
    <w:rsid w:val="006778FD"/>
    <w:rsid w:val="00680E48"/>
    <w:rsid w:val="00681286"/>
    <w:rsid w:val="00681D79"/>
    <w:rsid w:val="006828BF"/>
    <w:rsid w:val="00683363"/>
    <w:rsid w:val="006844BC"/>
    <w:rsid w:val="006845DE"/>
    <w:rsid w:val="00686EFF"/>
    <w:rsid w:val="00686F26"/>
    <w:rsid w:val="0068774F"/>
    <w:rsid w:val="00687CD5"/>
    <w:rsid w:val="00687F61"/>
    <w:rsid w:val="00693B1F"/>
    <w:rsid w:val="00694E71"/>
    <w:rsid w:val="00696927"/>
    <w:rsid w:val="006A0F9F"/>
    <w:rsid w:val="006A1840"/>
    <w:rsid w:val="006A1CCF"/>
    <w:rsid w:val="006A2875"/>
    <w:rsid w:val="006A3359"/>
    <w:rsid w:val="006A3808"/>
    <w:rsid w:val="006A4757"/>
    <w:rsid w:val="006A517B"/>
    <w:rsid w:val="006A60CC"/>
    <w:rsid w:val="006A6D3E"/>
    <w:rsid w:val="006A79D8"/>
    <w:rsid w:val="006B1592"/>
    <w:rsid w:val="006B1C84"/>
    <w:rsid w:val="006B26A3"/>
    <w:rsid w:val="006B48BD"/>
    <w:rsid w:val="006B524A"/>
    <w:rsid w:val="006B7948"/>
    <w:rsid w:val="006C129B"/>
    <w:rsid w:val="006C1587"/>
    <w:rsid w:val="006C170A"/>
    <w:rsid w:val="006C1798"/>
    <w:rsid w:val="006C279A"/>
    <w:rsid w:val="006C2DC1"/>
    <w:rsid w:val="006C3A1F"/>
    <w:rsid w:val="006C47B3"/>
    <w:rsid w:val="006C4EEA"/>
    <w:rsid w:val="006C4F0C"/>
    <w:rsid w:val="006C54D9"/>
    <w:rsid w:val="006C63C4"/>
    <w:rsid w:val="006D0ECE"/>
    <w:rsid w:val="006D144C"/>
    <w:rsid w:val="006D1BDD"/>
    <w:rsid w:val="006D296B"/>
    <w:rsid w:val="006D31CE"/>
    <w:rsid w:val="006D3703"/>
    <w:rsid w:val="006D3939"/>
    <w:rsid w:val="006D5D86"/>
    <w:rsid w:val="006D6577"/>
    <w:rsid w:val="006E1756"/>
    <w:rsid w:val="006E19E5"/>
    <w:rsid w:val="006E1CFE"/>
    <w:rsid w:val="006E1F67"/>
    <w:rsid w:val="006E22EC"/>
    <w:rsid w:val="006E2C33"/>
    <w:rsid w:val="006E3655"/>
    <w:rsid w:val="006E4684"/>
    <w:rsid w:val="006E4EA2"/>
    <w:rsid w:val="006E52A9"/>
    <w:rsid w:val="006E6E35"/>
    <w:rsid w:val="006E756F"/>
    <w:rsid w:val="006E7AD5"/>
    <w:rsid w:val="006F1E43"/>
    <w:rsid w:val="006F27A6"/>
    <w:rsid w:val="006F2956"/>
    <w:rsid w:val="006F2A7A"/>
    <w:rsid w:val="006F33B5"/>
    <w:rsid w:val="006F3708"/>
    <w:rsid w:val="006F388C"/>
    <w:rsid w:val="006F46C0"/>
    <w:rsid w:val="006F48BC"/>
    <w:rsid w:val="006F48DF"/>
    <w:rsid w:val="006F7F8D"/>
    <w:rsid w:val="0070066A"/>
    <w:rsid w:val="0070071F"/>
    <w:rsid w:val="00700936"/>
    <w:rsid w:val="0070137D"/>
    <w:rsid w:val="0070225C"/>
    <w:rsid w:val="00703192"/>
    <w:rsid w:val="007051BD"/>
    <w:rsid w:val="00705287"/>
    <w:rsid w:val="00706388"/>
    <w:rsid w:val="00706C6E"/>
    <w:rsid w:val="00707600"/>
    <w:rsid w:val="007077B3"/>
    <w:rsid w:val="007106CB"/>
    <w:rsid w:val="00710A84"/>
    <w:rsid w:val="00710B9C"/>
    <w:rsid w:val="0071111A"/>
    <w:rsid w:val="0071165F"/>
    <w:rsid w:val="007135A4"/>
    <w:rsid w:val="00714919"/>
    <w:rsid w:val="00714C70"/>
    <w:rsid w:val="00715E2D"/>
    <w:rsid w:val="00716A8C"/>
    <w:rsid w:val="0071786D"/>
    <w:rsid w:val="00722B28"/>
    <w:rsid w:val="00722FCB"/>
    <w:rsid w:val="00723704"/>
    <w:rsid w:val="00724F98"/>
    <w:rsid w:val="00725ECD"/>
    <w:rsid w:val="0072601C"/>
    <w:rsid w:val="00726BAF"/>
    <w:rsid w:val="00726C36"/>
    <w:rsid w:val="007271DF"/>
    <w:rsid w:val="00727949"/>
    <w:rsid w:val="00727AFD"/>
    <w:rsid w:val="00732461"/>
    <w:rsid w:val="00732648"/>
    <w:rsid w:val="007344DF"/>
    <w:rsid w:val="00734D46"/>
    <w:rsid w:val="00735CFB"/>
    <w:rsid w:val="00735FEB"/>
    <w:rsid w:val="0073704E"/>
    <w:rsid w:val="00737203"/>
    <w:rsid w:val="007376BF"/>
    <w:rsid w:val="00740537"/>
    <w:rsid w:val="00740871"/>
    <w:rsid w:val="00741DAC"/>
    <w:rsid w:val="00742618"/>
    <w:rsid w:val="00742F63"/>
    <w:rsid w:val="007430BD"/>
    <w:rsid w:val="00745487"/>
    <w:rsid w:val="0074580D"/>
    <w:rsid w:val="00746059"/>
    <w:rsid w:val="007476BB"/>
    <w:rsid w:val="00747DCB"/>
    <w:rsid w:val="007530C7"/>
    <w:rsid w:val="00753713"/>
    <w:rsid w:val="00753B30"/>
    <w:rsid w:val="00754329"/>
    <w:rsid w:val="00754929"/>
    <w:rsid w:val="0075576D"/>
    <w:rsid w:val="00755C4F"/>
    <w:rsid w:val="00757BB1"/>
    <w:rsid w:val="00757EBB"/>
    <w:rsid w:val="00760031"/>
    <w:rsid w:val="00762553"/>
    <w:rsid w:val="00762848"/>
    <w:rsid w:val="00763710"/>
    <w:rsid w:val="00764DA3"/>
    <w:rsid w:val="0076521D"/>
    <w:rsid w:val="00766570"/>
    <w:rsid w:val="007665A2"/>
    <w:rsid w:val="00770F33"/>
    <w:rsid w:val="00771EAD"/>
    <w:rsid w:val="0077265D"/>
    <w:rsid w:val="00772AF7"/>
    <w:rsid w:val="00773A7B"/>
    <w:rsid w:val="00774ACE"/>
    <w:rsid w:val="00776651"/>
    <w:rsid w:val="00777A78"/>
    <w:rsid w:val="00777A90"/>
    <w:rsid w:val="00777FBB"/>
    <w:rsid w:val="0078070C"/>
    <w:rsid w:val="007807E6"/>
    <w:rsid w:val="0078133D"/>
    <w:rsid w:val="00781BE2"/>
    <w:rsid w:val="00781FB4"/>
    <w:rsid w:val="007827EC"/>
    <w:rsid w:val="00783895"/>
    <w:rsid w:val="00785AFF"/>
    <w:rsid w:val="00785D24"/>
    <w:rsid w:val="0078639F"/>
    <w:rsid w:val="00786B30"/>
    <w:rsid w:val="00786CD5"/>
    <w:rsid w:val="00790564"/>
    <w:rsid w:val="007907BB"/>
    <w:rsid w:val="00790BB7"/>
    <w:rsid w:val="0079182D"/>
    <w:rsid w:val="00791DBE"/>
    <w:rsid w:val="00793084"/>
    <w:rsid w:val="00793514"/>
    <w:rsid w:val="00793EF9"/>
    <w:rsid w:val="007943AF"/>
    <w:rsid w:val="00794B5A"/>
    <w:rsid w:val="0079534E"/>
    <w:rsid w:val="007953AB"/>
    <w:rsid w:val="00797888"/>
    <w:rsid w:val="00797B33"/>
    <w:rsid w:val="007A05CA"/>
    <w:rsid w:val="007A05D2"/>
    <w:rsid w:val="007A05E1"/>
    <w:rsid w:val="007A0D2A"/>
    <w:rsid w:val="007A17CB"/>
    <w:rsid w:val="007A2C8F"/>
    <w:rsid w:val="007A3480"/>
    <w:rsid w:val="007A3DAF"/>
    <w:rsid w:val="007A3FF7"/>
    <w:rsid w:val="007A5AAF"/>
    <w:rsid w:val="007A66E1"/>
    <w:rsid w:val="007B2FB2"/>
    <w:rsid w:val="007B3E89"/>
    <w:rsid w:val="007B4B10"/>
    <w:rsid w:val="007C18CA"/>
    <w:rsid w:val="007C3703"/>
    <w:rsid w:val="007C4CEE"/>
    <w:rsid w:val="007C5D4E"/>
    <w:rsid w:val="007C606B"/>
    <w:rsid w:val="007C7370"/>
    <w:rsid w:val="007C7BAA"/>
    <w:rsid w:val="007D0867"/>
    <w:rsid w:val="007D1049"/>
    <w:rsid w:val="007D184D"/>
    <w:rsid w:val="007D2EDF"/>
    <w:rsid w:val="007D3323"/>
    <w:rsid w:val="007D342E"/>
    <w:rsid w:val="007D42C4"/>
    <w:rsid w:val="007D43E0"/>
    <w:rsid w:val="007D4DAC"/>
    <w:rsid w:val="007D4F63"/>
    <w:rsid w:val="007D6AAE"/>
    <w:rsid w:val="007D7D00"/>
    <w:rsid w:val="007E02D4"/>
    <w:rsid w:val="007E0ADB"/>
    <w:rsid w:val="007E167B"/>
    <w:rsid w:val="007E1CD3"/>
    <w:rsid w:val="007E2DAC"/>
    <w:rsid w:val="007E2EAF"/>
    <w:rsid w:val="007E3CEB"/>
    <w:rsid w:val="007E456A"/>
    <w:rsid w:val="007E48C3"/>
    <w:rsid w:val="007E5F21"/>
    <w:rsid w:val="007E6252"/>
    <w:rsid w:val="007E62DF"/>
    <w:rsid w:val="007E7B11"/>
    <w:rsid w:val="007E7D4B"/>
    <w:rsid w:val="007F0C43"/>
    <w:rsid w:val="007F0D44"/>
    <w:rsid w:val="007F1119"/>
    <w:rsid w:val="007F12B9"/>
    <w:rsid w:val="007F189A"/>
    <w:rsid w:val="007F2CC4"/>
    <w:rsid w:val="007F4EF6"/>
    <w:rsid w:val="007F54B7"/>
    <w:rsid w:val="007F55A2"/>
    <w:rsid w:val="007F673F"/>
    <w:rsid w:val="007F6BEF"/>
    <w:rsid w:val="007F79DF"/>
    <w:rsid w:val="00800982"/>
    <w:rsid w:val="00800E1E"/>
    <w:rsid w:val="00802613"/>
    <w:rsid w:val="00802EE3"/>
    <w:rsid w:val="00803729"/>
    <w:rsid w:val="00804685"/>
    <w:rsid w:val="00804784"/>
    <w:rsid w:val="00806A01"/>
    <w:rsid w:val="008071C0"/>
    <w:rsid w:val="008071EB"/>
    <w:rsid w:val="008119DF"/>
    <w:rsid w:val="008120AE"/>
    <w:rsid w:val="00812728"/>
    <w:rsid w:val="00812C1C"/>
    <w:rsid w:val="00812D82"/>
    <w:rsid w:val="008139FC"/>
    <w:rsid w:val="00813A67"/>
    <w:rsid w:val="00813B50"/>
    <w:rsid w:val="008146CC"/>
    <w:rsid w:val="00815BC4"/>
    <w:rsid w:val="00815D18"/>
    <w:rsid w:val="008173B4"/>
    <w:rsid w:val="00820706"/>
    <w:rsid w:val="00820D09"/>
    <w:rsid w:val="00820D4B"/>
    <w:rsid w:val="008212B5"/>
    <w:rsid w:val="0082475B"/>
    <w:rsid w:val="008247CF"/>
    <w:rsid w:val="0082528B"/>
    <w:rsid w:val="00826411"/>
    <w:rsid w:val="008264B2"/>
    <w:rsid w:val="00826F79"/>
    <w:rsid w:val="00830F2B"/>
    <w:rsid w:val="00831807"/>
    <w:rsid w:val="00831B03"/>
    <w:rsid w:val="008324C7"/>
    <w:rsid w:val="00833FB1"/>
    <w:rsid w:val="0083433F"/>
    <w:rsid w:val="008348C9"/>
    <w:rsid w:val="00835360"/>
    <w:rsid w:val="008356A6"/>
    <w:rsid w:val="00835745"/>
    <w:rsid w:val="00836301"/>
    <w:rsid w:val="00837578"/>
    <w:rsid w:val="00840EEF"/>
    <w:rsid w:val="008411A4"/>
    <w:rsid w:val="00841C20"/>
    <w:rsid w:val="00842640"/>
    <w:rsid w:val="00842727"/>
    <w:rsid w:val="00842F04"/>
    <w:rsid w:val="00843AB0"/>
    <w:rsid w:val="00845DC1"/>
    <w:rsid w:val="008461BA"/>
    <w:rsid w:val="008500CC"/>
    <w:rsid w:val="008527E9"/>
    <w:rsid w:val="008528D6"/>
    <w:rsid w:val="00852D25"/>
    <w:rsid w:val="0085318D"/>
    <w:rsid w:val="00855350"/>
    <w:rsid w:val="00855D08"/>
    <w:rsid w:val="00861252"/>
    <w:rsid w:val="00861304"/>
    <w:rsid w:val="0086210B"/>
    <w:rsid w:val="00862834"/>
    <w:rsid w:val="00863D5D"/>
    <w:rsid w:val="00863F19"/>
    <w:rsid w:val="00864D49"/>
    <w:rsid w:val="00866D28"/>
    <w:rsid w:val="00867D70"/>
    <w:rsid w:val="00870173"/>
    <w:rsid w:val="00870B02"/>
    <w:rsid w:val="008740FF"/>
    <w:rsid w:val="008746E0"/>
    <w:rsid w:val="00875716"/>
    <w:rsid w:val="00876251"/>
    <w:rsid w:val="00877103"/>
    <w:rsid w:val="008804B3"/>
    <w:rsid w:val="00880C30"/>
    <w:rsid w:val="008821F3"/>
    <w:rsid w:val="00882445"/>
    <w:rsid w:val="00882C13"/>
    <w:rsid w:val="0088304B"/>
    <w:rsid w:val="008848B3"/>
    <w:rsid w:val="00885E8D"/>
    <w:rsid w:val="00886231"/>
    <w:rsid w:val="008874D0"/>
    <w:rsid w:val="00891440"/>
    <w:rsid w:val="00891AD1"/>
    <w:rsid w:val="00893A42"/>
    <w:rsid w:val="008968A6"/>
    <w:rsid w:val="008A03B3"/>
    <w:rsid w:val="008A03CF"/>
    <w:rsid w:val="008A03D7"/>
    <w:rsid w:val="008A15DD"/>
    <w:rsid w:val="008A52E4"/>
    <w:rsid w:val="008B23DE"/>
    <w:rsid w:val="008B6176"/>
    <w:rsid w:val="008B6D42"/>
    <w:rsid w:val="008B6FA0"/>
    <w:rsid w:val="008C0EA7"/>
    <w:rsid w:val="008C263F"/>
    <w:rsid w:val="008C688A"/>
    <w:rsid w:val="008C79A7"/>
    <w:rsid w:val="008C7B2C"/>
    <w:rsid w:val="008C7E9C"/>
    <w:rsid w:val="008D0125"/>
    <w:rsid w:val="008D060A"/>
    <w:rsid w:val="008D0D6E"/>
    <w:rsid w:val="008D10E2"/>
    <w:rsid w:val="008D1170"/>
    <w:rsid w:val="008D1A47"/>
    <w:rsid w:val="008D29F3"/>
    <w:rsid w:val="008D639F"/>
    <w:rsid w:val="008D66FC"/>
    <w:rsid w:val="008D7807"/>
    <w:rsid w:val="008E2356"/>
    <w:rsid w:val="008E3725"/>
    <w:rsid w:val="008E378A"/>
    <w:rsid w:val="008E4687"/>
    <w:rsid w:val="008E5A6D"/>
    <w:rsid w:val="008E636E"/>
    <w:rsid w:val="008E7F8C"/>
    <w:rsid w:val="008F0122"/>
    <w:rsid w:val="008F023B"/>
    <w:rsid w:val="008F037C"/>
    <w:rsid w:val="008F1085"/>
    <w:rsid w:val="008F1439"/>
    <w:rsid w:val="008F1D26"/>
    <w:rsid w:val="008F1D75"/>
    <w:rsid w:val="008F2318"/>
    <w:rsid w:val="008F2585"/>
    <w:rsid w:val="008F28E2"/>
    <w:rsid w:val="008F44F3"/>
    <w:rsid w:val="008F45A6"/>
    <w:rsid w:val="008F50E8"/>
    <w:rsid w:val="008F714A"/>
    <w:rsid w:val="008F75C8"/>
    <w:rsid w:val="0090011F"/>
    <w:rsid w:val="00900577"/>
    <w:rsid w:val="00902154"/>
    <w:rsid w:val="00902603"/>
    <w:rsid w:val="009041A7"/>
    <w:rsid w:val="00904472"/>
    <w:rsid w:val="009057DF"/>
    <w:rsid w:val="00905B3A"/>
    <w:rsid w:val="0090677F"/>
    <w:rsid w:val="00910BAA"/>
    <w:rsid w:val="009115CA"/>
    <w:rsid w:val="00911F7C"/>
    <w:rsid w:val="00911F9E"/>
    <w:rsid w:val="00912051"/>
    <w:rsid w:val="009127E6"/>
    <w:rsid w:val="009139C7"/>
    <w:rsid w:val="00915350"/>
    <w:rsid w:val="00915458"/>
    <w:rsid w:val="00915F11"/>
    <w:rsid w:val="00916090"/>
    <w:rsid w:val="009164C0"/>
    <w:rsid w:val="00916EFC"/>
    <w:rsid w:val="00917C98"/>
    <w:rsid w:val="00923088"/>
    <w:rsid w:val="009233B5"/>
    <w:rsid w:val="009246D9"/>
    <w:rsid w:val="00925B0C"/>
    <w:rsid w:val="0092680E"/>
    <w:rsid w:val="00926F99"/>
    <w:rsid w:val="0092743B"/>
    <w:rsid w:val="00927D47"/>
    <w:rsid w:val="009300D2"/>
    <w:rsid w:val="00930666"/>
    <w:rsid w:val="00930E55"/>
    <w:rsid w:val="00931105"/>
    <w:rsid w:val="0093134A"/>
    <w:rsid w:val="0093144F"/>
    <w:rsid w:val="00932010"/>
    <w:rsid w:val="0093248E"/>
    <w:rsid w:val="009344A6"/>
    <w:rsid w:val="00934C2D"/>
    <w:rsid w:val="00934D6F"/>
    <w:rsid w:val="00934EDA"/>
    <w:rsid w:val="00935CC8"/>
    <w:rsid w:val="00935E78"/>
    <w:rsid w:val="00940675"/>
    <w:rsid w:val="0094091A"/>
    <w:rsid w:val="00940C3B"/>
    <w:rsid w:val="00941B5D"/>
    <w:rsid w:val="009424AF"/>
    <w:rsid w:val="00943F0A"/>
    <w:rsid w:val="00944419"/>
    <w:rsid w:val="00944CCE"/>
    <w:rsid w:val="00945DBD"/>
    <w:rsid w:val="00945DEA"/>
    <w:rsid w:val="009464B9"/>
    <w:rsid w:val="00946E93"/>
    <w:rsid w:val="00947883"/>
    <w:rsid w:val="009515F8"/>
    <w:rsid w:val="00951D51"/>
    <w:rsid w:val="00951D82"/>
    <w:rsid w:val="00952354"/>
    <w:rsid w:val="009527CB"/>
    <w:rsid w:val="0095333C"/>
    <w:rsid w:val="00954179"/>
    <w:rsid w:val="00954934"/>
    <w:rsid w:val="00954F74"/>
    <w:rsid w:val="00957B83"/>
    <w:rsid w:val="00961209"/>
    <w:rsid w:val="00961722"/>
    <w:rsid w:val="00961B0D"/>
    <w:rsid w:val="00961F79"/>
    <w:rsid w:val="00962EAC"/>
    <w:rsid w:val="00963BE3"/>
    <w:rsid w:val="00964EDF"/>
    <w:rsid w:val="00965429"/>
    <w:rsid w:val="00965616"/>
    <w:rsid w:val="00965B39"/>
    <w:rsid w:val="00965D3E"/>
    <w:rsid w:val="00966135"/>
    <w:rsid w:val="00967FD5"/>
    <w:rsid w:val="00970EC6"/>
    <w:rsid w:val="00970EDE"/>
    <w:rsid w:val="009713F9"/>
    <w:rsid w:val="00971B1D"/>
    <w:rsid w:val="00971E85"/>
    <w:rsid w:val="00972812"/>
    <w:rsid w:val="00973317"/>
    <w:rsid w:val="009734F3"/>
    <w:rsid w:val="009741A1"/>
    <w:rsid w:val="00974284"/>
    <w:rsid w:val="009753C6"/>
    <w:rsid w:val="00975483"/>
    <w:rsid w:val="0097562B"/>
    <w:rsid w:val="00976F66"/>
    <w:rsid w:val="00977D3B"/>
    <w:rsid w:val="00980380"/>
    <w:rsid w:val="00981DBC"/>
    <w:rsid w:val="009823AB"/>
    <w:rsid w:val="00983653"/>
    <w:rsid w:val="0098585B"/>
    <w:rsid w:val="00986B65"/>
    <w:rsid w:val="00986CAC"/>
    <w:rsid w:val="0099011D"/>
    <w:rsid w:val="00990355"/>
    <w:rsid w:val="009905C6"/>
    <w:rsid w:val="009913C5"/>
    <w:rsid w:val="00991C2C"/>
    <w:rsid w:val="00992F8B"/>
    <w:rsid w:val="00993A69"/>
    <w:rsid w:val="00993D5B"/>
    <w:rsid w:val="0099589B"/>
    <w:rsid w:val="009964C7"/>
    <w:rsid w:val="0099656C"/>
    <w:rsid w:val="009970EC"/>
    <w:rsid w:val="00997AB9"/>
    <w:rsid w:val="009A1DCA"/>
    <w:rsid w:val="009A3602"/>
    <w:rsid w:val="009A395E"/>
    <w:rsid w:val="009A4DD5"/>
    <w:rsid w:val="009A6200"/>
    <w:rsid w:val="009B01DA"/>
    <w:rsid w:val="009B22F2"/>
    <w:rsid w:val="009B24D4"/>
    <w:rsid w:val="009B2DFC"/>
    <w:rsid w:val="009B4781"/>
    <w:rsid w:val="009B6B1E"/>
    <w:rsid w:val="009B6C1C"/>
    <w:rsid w:val="009C090E"/>
    <w:rsid w:val="009C11B3"/>
    <w:rsid w:val="009C432D"/>
    <w:rsid w:val="009C4403"/>
    <w:rsid w:val="009C48CC"/>
    <w:rsid w:val="009C4BE2"/>
    <w:rsid w:val="009C584F"/>
    <w:rsid w:val="009C6C91"/>
    <w:rsid w:val="009C702C"/>
    <w:rsid w:val="009C73E1"/>
    <w:rsid w:val="009C75CB"/>
    <w:rsid w:val="009C7F37"/>
    <w:rsid w:val="009D42EA"/>
    <w:rsid w:val="009D4856"/>
    <w:rsid w:val="009D4DBE"/>
    <w:rsid w:val="009D5908"/>
    <w:rsid w:val="009D5B51"/>
    <w:rsid w:val="009D5F3F"/>
    <w:rsid w:val="009D6F5C"/>
    <w:rsid w:val="009D7655"/>
    <w:rsid w:val="009D797E"/>
    <w:rsid w:val="009E16DF"/>
    <w:rsid w:val="009E2B71"/>
    <w:rsid w:val="009E2C2B"/>
    <w:rsid w:val="009E2C7A"/>
    <w:rsid w:val="009E418E"/>
    <w:rsid w:val="009E56C0"/>
    <w:rsid w:val="009E652B"/>
    <w:rsid w:val="009E7956"/>
    <w:rsid w:val="009E7C2D"/>
    <w:rsid w:val="009F1A24"/>
    <w:rsid w:val="009F1AB7"/>
    <w:rsid w:val="009F2A45"/>
    <w:rsid w:val="009F2EC4"/>
    <w:rsid w:val="009F463D"/>
    <w:rsid w:val="009F472E"/>
    <w:rsid w:val="009F5BC6"/>
    <w:rsid w:val="009F5F97"/>
    <w:rsid w:val="009F718D"/>
    <w:rsid w:val="00A0135B"/>
    <w:rsid w:val="00A034A7"/>
    <w:rsid w:val="00A050AE"/>
    <w:rsid w:val="00A05AB4"/>
    <w:rsid w:val="00A06595"/>
    <w:rsid w:val="00A11AB7"/>
    <w:rsid w:val="00A11D7E"/>
    <w:rsid w:val="00A12722"/>
    <w:rsid w:val="00A12C22"/>
    <w:rsid w:val="00A144DD"/>
    <w:rsid w:val="00A14FB9"/>
    <w:rsid w:val="00A150F1"/>
    <w:rsid w:val="00A16887"/>
    <w:rsid w:val="00A16BA8"/>
    <w:rsid w:val="00A16F6F"/>
    <w:rsid w:val="00A21242"/>
    <w:rsid w:val="00A2159C"/>
    <w:rsid w:val="00A22946"/>
    <w:rsid w:val="00A22B91"/>
    <w:rsid w:val="00A23818"/>
    <w:rsid w:val="00A238EE"/>
    <w:rsid w:val="00A23F8C"/>
    <w:rsid w:val="00A24345"/>
    <w:rsid w:val="00A24DC3"/>
    <w:rsid w:val="00A25735"/>
    <w:rsid w:val="00A276F6"/>
    <w:rsid w:val="00A27EEB"/>
    <w:rsid w:val="00A31D80"/>
    <w:rsid w:val="00A32A15"/>
    <w:rsid w:val="00A33640"/>
    <w:rsid w:val="00A34ECD"/>
    <w:rsid w:val="00A357B3"/>
    <w:rsid w:val="00A35B19"/>
    <w:rsid w:val="00A36E12"/>
    <w:rsid w:val="00A3789B"/>
    <w:rsid w:val="00A40A0D"/>
    <w:rsid w:val="00A4258B"/>
    <w:rsid w:val="00A4442D"/>
    <w:rsid w:val="00A444EF"/>
    <w:rsid w:val="00A45A73"/>
    <w:rsid w:val="00A47DB6"/>
    <w:rsid w:val="00A50487"/>
    <w:rsid w:val="00A51A8D"/>
    <w:rsid w:val="00A51DB8"/>
    <w:rsid w:val="00A53DB3"/>
    <w:rsid w:val="00A54493"/>
    <w:rsid w:val="00A545DA"/>
    <w:rsid w:val="00A5588B"/>
    <w:rsid w:val="00A56184"/>
    <w:rsid w:val="00A57C7B"/>
    <w:rsid w:val="00A6011A"/>
    <w:rsid w:val="00A608F0"/>
    <w:rsid w:val="00A60EA8"/>
    <w:rsid w:val="00A62B21"/>
    <w:rsid w:val="00A62D54"/>
    <w:rsid w:val="00A63395"/>
    <w:rsid w:val="00A637B8"/>
    <w:rsid w:val="00A666E1"/>
    <w:rsid w:val="00A7247F"/>
    <w:rsid w:val="00A72C1F"/>
    <w:rsid w:val="00A739C8"/>
    <w:rsid w:val="00A74EC7"/>
    <w:rsid w:val="00A753FE"/>
    <w:rsid w:val="00A77419"/>
    <w:rsid w:val="00A777FB"/>
    <w:rsid w:val="00A8012C"/>
    <w:rsid w:val="00A80C59"/>
    <w:rsid w:val="00A80C72"/>
    <w:rsid w:val="00A80DA2"/>
    <w:rsid w:val="00A8303D"/>
    <w:rsid w:val="00A83857"/>
    <w:rsid w:val="00A8570A"/>
    <w:rsid w:val="00A85E2B"/>
    <w:rsid w:val="00A86040"/>
    <w:rsid w:val="00A86803"/>
    <w:rsid w:val="00A86AF9"/>
    <w:rsid w:val="00A8702A"/>
    <w:rsid w:val="00A877D4"/>
    <w:rsid w:val="00A87B37"/>
    <w:rsid w:val="00A9064D"/>
    <w:rsid w:val="00A9075B"/>
    <w:rsid w:val="00A90899"/>
    <w:rsid w:val="00A91F06"/>
    <w:rsid w:val="00A92455"/>
    <w:rsid w:val="00A92480"/>
    <w:rsid w:val="00A931BD"/>
    <w:rsid w:val="00A93BEB"/>
    <w:rsid w:val="00A93DC0"/>
    <w:rsid w:val="00A94FE2"/>
    <w:rsid w:val="00A96A5E"/>
    <w:rsid w:val="00A96CEA"/>
    <w:rsid w:val="00AA09D6"/>
    <w:rsid w:val="00AA1E7E"/>
    <w:rsid w:val="00AA2855"/>
    <w:rsid w:val="00AA3B10"/>
    <w:rsid w:val="00AA3B55"/>
    <w:rsid w:val="00AA501B"/>
    <w:rsid w:val="00AA659A"/>
    <w:rsid w:val="00AA6DAE"/>
    <w:rsid w:val="00AA709C"/>
    <w:rsid w:val="00AA7D2D"/>
    <w:rsid w:val="00AB1134"/>
    <w:rsid w:val="00AB2045"/>
    <w:rsid w:val="00AB3AE0"/>
    <w:rsid w:val="00AB4337"/>
    <w:rsid w:val="00AB55F9"/>
    <w:rsid w:val="00AB664B"/>
    <w:rsid w:val="00AB732C"/>
    <w:rsid w:val="00AC0DE9"/>
    <w:rsid w:val="00AC4CC6"/>
    <w:rsid w:val="00AC4FEF"/>
    <w:rsid w:val="00AC61C8"/>
    <w:rsid w:val="00AC6CC8"/>
    <w:rsid w:val="00AC6F7B"/>
    <w:rsid w:val="00AC7541"/>
    <w:rsid w:val="00AD00B5"/>
    <w:rsid w:val="00AD1950"/>
    <w:rsid w:val="00AD197E"/>
    <w:rsid w:val="00AD3A07"/>
    <w:rsid w:val="00AD3ABF"/>
    <w:rsid w:val="00AD3C6D"/>
    <w:rsid w:val="00AD4329"/>
    <w:rsid w:val="00AE038B"/>
    <w:rsid w:val="00AE093E"/>
    <w:rsid w:val="00AE1274"/>
    <w:rsid w:val="00AE1E4A"/>
    <w:rsid w:val="00AE2C75"/>
    <w:rsid w:val="00AE33C0"/>
    <w:rsid w:val="00AE4E92"/>
    <w:rsid w:val="00AE78B9"/>
    <w:rsid w:val="00AF19DD"/>
    <w:rsid w:val="00AF2BD8"/>
    <w:rsid w:val="00AF370D"/>
    <w:rsid w:val="00AF4DAC"/>
    <w:rsid w:val="00AF60EE"/>
    <w:rsid w:val="00AF6ADC"/>
    <w:rsid w:val="00AF6E7E"/>
    <w:rsid w:val="00AF7061"/>
    <w:rsid w:val="00AF7B5D"/>
    <w:rsid w:val="00B004A2"/>
    <w:rsid w:val="00B00B01"/>
    <w:rsid w:val="00B00EC4"/>
    <w:rsid w:val="00B014F0"/>
    <w:rsid w:val="00B015EC"/>
    <w:rsid w:val="00B01E7D"/>
    <w:rsid w:val="00B01EDC"/>
    <w:rsid w:val="00B02192"/>
    <w:rsid w:val="00B03318"/>
    <w:rsid w:val="00B03ACF"/>
    <w:rsid w:val="00B04348"/>
    <w:rsid w:val="00B0450E"/>
    <w:rsid w:val="00B058AF"/>
    <w:rsid w:val="00B05B98"/>
    <w:rsid w:val="00B06FF7"/>
    <w:rsid w:val="00B07467"/>
    <w:rsid w:val="00B0749B"/>
    <w:rsid w:val="00B10E6F"/>
    <w:rsid w:val="00B11106"/>
    <w:rsid w:val="00B132E5"/>
    <w:rsid w:val="00B13ADB"/>
    <w:rsid w:val="00B161DD"/>
    <w:rsid w:val="00B1628A"/>
    <w:rsid w:val="00B166B1"/>
    <w:rsid w:val="00B16F00"/>
    <w:rsid w:val="00B17A88"/>
    <w:rsid w:val="00B202B6"/>
    <w:rsid w:val="00B2141A"/>
    <w:rsid w:val="00B21E50"/>
    <w:rsid w:val="00B2229D"/>
    <w:rsid w:val="00B25587"/>
    <w:rsid w:val="00B27D53"/>
    <w:rsid w:val="00B308E0"/>
    <w:rsid w:val="00B31C82"/>
    <w:rsid w:val="00B31CEE"/>
    <w:rsid w:val="00B33007"/>
    <w:rsid w:val="00B3300E"/>
    <w:rsid w:val="00B33FBB"/>
    <w:rsid w:val="00B341FB"/>
    <w:rsid w:val="00B35974"/>
    <w:rsid w:val="00B36D78"/>
    <w:rsid w:val="00B370D9"/>
    <w:rsid w:val="00B37D8E"/>
    <w:rsid w:val="00B4158E"/>
    <w:rsid w:val="00B43567"/>
    <w:rsid w:val="00B43A46"/>
    <w:rsid w:val="00B45C7F"/>
    <w:rsid w:val="00B45FAE"/>
    <w:rsid w:val="00B46B2C"/>
    <w:rsid w:val="00B472EC"/>
    <w:rsid w:val="00B5004F"/>
    <w:rsid w:val="00B51688"/>
    <w:rsid w:val="00B546B8"/>
    <w:rsid w:val="00B60440"/>
    <w:rsid w:val="00B60AE0"/>
    <w:rsid w:val="00B60C02"/>
    <w:rsid w:val="00B61930"/>
    <w:rsid w:val="00B61F89"/>
    <w:rsid w:val="00B622F0"/>
    <w:rsid w:val="00B6249B"/>
    <w:rsid w:val="00B62918"/>
    <w:rsid w:val="00B62B79"/>
    <w:rsid w:val="00B631CE"/>
    <w:rsid w:val="00B63A12"/>
    <w:rsid w:val="00B63B89"/>
    <w:rsid w:val="00B65587"/>
    <w:rsid w:val="00B66A15"/>
    <w:rsid w:val="00B67168"/>
    <w:rsid w:val="00B673F1"/>
    <w:rsid w:val="00B67F3E"/>
    <w:rsid w:val="00B70005"/>
    <w:rsid w:val="00B7138B"/>
    <w:rsid w:val="00B713C4"/>
    <w:rsid w:val="00B730AB"/>
    <w:rsid w:val="00B73EA0"/>
    <w:rsid w:val="00B73F5F"/>
    <w:rsid w:val="00B749EB"/>
    <w:rsid w:val="00B75584"/>
    <w:rsid w:val="00B763F1"/>
    <w:rsid w:val="00B764C1"/>
    <w:rsid w:val="00B77CD9"/>
    <w:rsid w:val="00B77CEE"/>
    <w:rsid w:val="00B803FE"/>
    <w:rsid w:val="00B814E5"/>
    <w:rsid w:val="00B83575"/>
    <w:rsid w:val="00B8362F"/>
    <w:rsid w:val="00B83BEC"/>
    <w:rsid w:val="00B86879"/>
    <w:rsid w:val="00B87035"/>
    <w:rsid w:val="00B90549"/>
    <w:rsid w:val="00B9273D"/>
    <w:rsid w:val="00B937E4"/>
    <w:rsid w:val="00B94357"/>
    <w:rsid w:val="00B9565E"/>
    <w:rsid w:val="00BA008A"/>
    <w:rsid w:val="00BA0ED4"/>
    <w:rsid w:val="00BA20CC"/>
    <w:rsid w:val="00BA2D1B"/>
    <w:rsid w:val="00BA40B5"/>
    <w:rsid w:val="00BA438C"/>
    <w:rsid w:val="00BA4ED8"/>
    <w:rsid w:val="00BA4F1B"/>
    <w:rsid w:val="00BA59F8"/>
    <w:rsid w:val="00BA60D6"/>
    <w:rsid w:val="00BA696A"/>
    <w:rsid w:val="00BA73A5"/>
    <w:rsid w:val="00BA7FC3"/>
    <w:rsid w:val="00BA7FEC"/>
    <w:rsid w:val="00BB0046"/>
    <w:rsid w:val="00BB023A"/>
    <w:rsid w:val="00BB0703"/>
    <w:rsid w:val="00BB1323"/>
    <w:rsid w:val="00BB2169"/>
    <w:rsid w:val="00BB46F7"/>
    <w:rsid w:val="00BB4A41"/>
    <w:rsid w:val="00BB6CBB"/>
    <w:rsid w:val="00BC05FC"/>
    <w:rsid w:val="00BC0968"/>
    <w:rsid w:val="00BC1A70"/>
    <w:rsid w:val="00BC1F10"/>
    <w:rsid w:val="00BC23D5"/>
    <w:rsid w:val="00BC2794"/>
    <w:rsid w:val="00BC319F"/>
    <w:rsid w:val="00BC349E"/>
    <w:rsid w:val="00BC4432"/>
    <w:rsid w:val="00BC4705"/>
    <w:rsid w:val="00BC4BF6"/>
    <w:rsid w:val="00BC4E3C"/>
    <w:rsid w:val="00BC5E2B"/>
    <w:rsid w:val="00BC65CB"/>
    <w:rsid w:val="00BD1024"/>
    <w:rsid w:val="00BD2E5E"/>
    <w:rsid w:val="00BD442A"/>
    <w:rsid w:val="00BD4906"/>
    <w:rsid w:val="00BD6E0A"/>
    <w:rsid w:val="00BD7098"/>
    <w:rsid w:val="00BE08AE"/>
    <w:rsid w:val="00BE2195"/>
    <w:rsid w:val="00BE297C"/>
    <w:rsid w:val="00BE3ED9"/>
    <w:rsid w:val="00BE419B"/>
    <w:rsid w:val="00BE5683"/>
    <w:rsid w:val="00BE65A7"/>
    <w:rsid w:val="00BE6ADE"/>
    <w:rsid w:val="00BE6B2F"/>
    <w:rsid w:val="00BF0A17"/>
    <w:rsid w:val="00BF0B04"/>
    <w:rsid w:val="00BF275A"/>
    <w:rsid w:val="00BF286B"/>
    <w:rsid w:val="00BF2FFA"/>
    <w:rsid w:val="00BF30EA"/>
    <w:rsid w:val="00BF3C0C"/>
    <w:rsid w:val="00BF44E9"/>
    <w:rsid w:val="00BF4544"/>
    <w:rsid w:val="00BF4586"/>
    <w:rsid w:val="00BF5133"/>
    <w:rsid w:val="00C01602"/>
    <w:rsid w:val="00C01985"/>
    <w:rsid w:val="00C01E32"/>
    <w:rsid w:val="00C02850"/>
    <w:rsid w:val="00C039E3"/>
    <w:rsid w:val="00C04603"/>
    <w:rsid w:val="00C07CA1"/>
    <w:rsid w:val="00C10A9A"/>
    <w:rsid w:val="00C10E28"/>
    <w:rsid w:val="00C10FD9"/>
    <w:rsid w:val="00C1134C"/>
    <w:rsid w:val="00C11550"/>
    <w:rsid w:val="00C11992"/>
    <w:rsid w:val="00C12C99"/>
    <w:rsid w:val="00C14A0C"/>
    <w:rsid w:val="00C16E30"/>
    <w:rsid w:val="00C174C0"/>
    <w:rsid w:val="00C179CD"/>
    <w:rsid w:val="00C17E96"/>
    <w:rsid w:val="00C208BF"/>
    <w:rsid w:val="00C2102C"/>
    <w:rsid w:val="00C2140E"/>
    <w:rsid w:val="00C21466"/>
    <w:rsid w:val="00C21B67"/>
    <w:rsid w:val="00C21D05"/>
    <w:rsid w:val="00C22986"/>
    <w:rsid w:val="00C237B1"/>
    <w:rsid w:val="00C23FF5"/>
    <w:rsid w:val="00C24E01"/>
    <w:rsid w:val="00C2629F"/>
    <w:rsid w:val="00C268D4"/>
    <w:rsid w:val="00C276B4"/>
    <w:rsid w:val="00C27F26"/>
    <w:rsid w:val="00C308E5"/>
    <w:rsid w:val="00C309CF"/>
    <w:rsid w:val="00C31AB3"/>
    <w:rsid w:val="00C31D76"/>
    <w:rsid w:val="00C333E5"/>
    <w:rsid w:val="00C33873"/>
    <w:rsid w:val="00C34019"/>
    <w:rsid w:val="00C359BE"/>
    <w:rsid w:val="00C360F1"/>
    <w:rsid w:val="00C3636E"/>
    <w:rsid w:val="00C37BD2"/>
    <w:rsid w:val="00C37CD9"/>
    <w:rsid w:val="00C4098E"/>
    <w:rsid w:val="00C41BE7"/>
    <w:rsid w:val="00C43B67"/>
    <w:rsid w:val="00C45FE0"/>
    <w:rsid w:val="00C47243"/>
    <w:rsid w:val="00C500B5"/>
    <w:rsid w:val="00C51EBB"/>
    <w:rsid w:val="00C521FF"/>
    <w:rsid w:val="00C522A7"/>
    <w:rsid w:val="00C526BC"/>
    <w:rsid w:val="00C53516"/>
    <w:rsid w:val="00C53F7A"/>
    <w:rsid w:val="00C540A3"/>
    <w:rsid w:val="00C544DE"/>
    <w:rsid w:val="00C557E1"/>
    <w:rsid w:val="00C55A45"/>
    <w:rsid w:val="00C55BB5"/>
    <w:rsid w:val="00C55C4A"/>
    <w:rsid w:val="00C5691A"/>
    <w:rsid w:val="00C60D6D"/>
    <w:rsid w:val="00C61D98"/>
    <w:rsid w:val="00C63C26"/>
    <w:rsid w:val="00C659E1"/>
    <w:rsid w:val="00C6742E"/>
    <w:rsid w:val="00C726E3"/>
    <w:rsid w:val="00C72C18"/>
    <w:rsid w:val="00C756EC"/>
    <w:rsid w:val="00C759EF"/>
    <w:rsid w:val="00C76312"/>
    <w:rsid w:val="00C76952"/>
    <w:rsid w:val="00C778DD"/>
    <w:rsid w:val="00C77A43"/>
    <w:rsid w:val="00C82294"/>
    <w:rsid w:val="00C82BF0"/>
    <w:rsid w:val="00C83737"/>
    <w:rsid w:val="00C85CC4"/>
    <w:rsid w:val="00C86EA7"/>
    <w:rsid w:val="00C87F47"/>
    <w:rsid w:val="00C91360"/>
    <w:rsid w:val="00C914A3"/>
    <w:rsid w:val="00C929E7"/>
    <w:rsid w:val="00C9401A"/>
    <w:rsid w:val="00C949D2"/>
    <w:rsid w:val="00C95C08"/>
    <w:rsid w:val="00C96024"/>
    <w:rsid w:val="00C96074"/>
    <w:rsid w:val="00C97163"/>
    <w:rsid w:val="00C97E9B"/>
    <w:rsid w:val="00CA115A"/>
    <w:rsid w:val="00CA1C1A"/>
    <w:rsid w:val="00CA2678"/>
    <w:rsid w:val="00CA2779"/>
    <w:rsid w:val="00CA3127"/>
    <w:rsid w:val="00CA31B7"/>
    <w:rsid w:val="00CA3DB9"/>
    <w:rsid w:val="00CA57FC"/>
    <w:rsid w:val="00CA6ADB"/>
    <w:rsid w:val="00CB0053"/>
    <w:rsid w:val="00CB02CA"/>
    <w:rsid w:val="00CB0D57"/>
    <w:rsid w:val="00CB127A"/>
    <w:rsid w:val="00CB1420"/>
    <w:rsid w:val="00CB2060"/>
    <w:rsid w:val="00CB206A"/>
    <w:rsid w:val="00CB3C91"/>
    <w:rsid w:val="00CB4ED2"/>
    <w:rsid w:val="00CB51D3"/>
    <w:rsid w:val="00CB58F8"/>
    <w:rsid w:val="00CB6199"/>
    <w:rsid w:val="00CB65AA"/>
    <w:rsid w:val="00CB6B81"/>
    <w:rsid w:val="00CB7457"/>
    <w:rsid w:val="00CB7C5D"/>
    <w:rsid w:val="00CB7EF4"/>
    <w:rsid w:val="00CC08A4"/>
    <w:rsid w:val="00CC2B40"/>
    <w:rsid w:val="00CC2DDA"/>
    <w:rsid w:val="00CC31C0"/>
    <w:rsid w:val="00CC48A5"/>
    <w:rsid w:val="00CC4CE2"/>
    <w:rsid w:val="00CC597D"/>
    <w:rsid w:val="00CC69A4"/>
    <w:rsid w:val="00CC7696"/>
    <w:rsid w:val="00CC7967"/>
    <w:rsid w:val="00CC7C7B"/>
    <w:rsid w:val="00CD047B"/>
    <w:rsid w:val="00CD0840"/>
    <w:rsid w:val="00CD0C29"/>
    <w:rsid w:val="00CD14EB"/>
    <w:rsid w:val="00CD2D6E"/>
    <w:rsid w:val="00CD3F94"/>
    <w:rsid w:val="00CD467F"/>
    <w:rsid w:val="00CD59B3"/>
    <w:rsid w:val="00CD6D5B"/>
    <w:rsid w:val="00CD78A8"/>
    <w:rsid w:val="00CD78D7"/>
    <w:rsid w:val="00CE1841"/>
    <w:rsid w:val="00CE56E7"/>
    <w:rsid w:val="00CE72DD"/>
    <w:rsid w:val="00CF2204"/>
    <w:rsid w:val="00CF2EC3"/>
    <w:rsid w:val="00CF3F20"/>
    <w:rsid w:val="00CF4FDC"/>
    <w:rsid w:val="00CF53DC"/>
    <w:rsid w:val="00CF5D94"/>
    <w:rsid w:val="00CF6C6B"/>
    <w:rsid w:val="00CF724A"/>
    <w:rsid w:val="00CF72A8"/>
    <w:rsid w:val="00D0181A"/>
    <w:rsid w:val="00D031F1"/>
    <w:rsid w:val="00D03B31"/>
    <w:rsid w:val="00D04C5C"/>
    <w:rsid w:val="00D05805"/>
    <w:rsid w:val="00D05D6B"/>
    <w:rsid w:val="00D0786A"/>
    <w:rsid w:val="00D10821"/>
    <w:rsid w:val="00D13172"/>
    <w:rsid w:val="00D1386E"/>
    <w:rsid w:val="00D14EF5"/>
    <w:rsid w:val="00D15052"/>
    <w:rsid w:val="00D159CA"/>
    <w:rsid w:val="00D15AC7"/>
    <w:rsid w:val="00D163CB"/>
    <w:rsid w:val="00D1772B"/>
    <w:rsid w:val="00D227FF"/>
    <w:rsid w:val="00D22B8C"/>
    <w:rsid w:val="00D22BC4"/>
    <w:rsid w:val="00D23CD2"/>
    <w:rsid w:val="00D25413"/>
    <w:rsid w:val="00D26653"/>
    <w:rsid w:val="00D26B96"/>
    <w:rsid w:val="00D27DF1"/>
    <w:rsid w:val="00D31DCE"/>
    <w:rsid w:val="00D32398"/>
    <w:rsid w:val="00D32C3D"/>
    <w:rsid w:val="00D336A9"/>
    <w:rsid w:val="00D3387E"/>
    <w:rsid w:val="00D34F92"/>
    <w:rsid w:val="00D37A71"/>
    <w:rsid w:val="00D41C69"/>
    <w:rsid w:val="00D428E6"/>
    <w:rsid w:val="00D42CBE"/>
    <w:rsid w:val="00D433C0"/>
    <w:rsid w:val="00D45920"/>
    <w:rsid w:val="00D45E77"/>
    <w:rsid w:val="00D4628E"/>
    <w:rsid w:val="00D46474"/>
    <w:rsid w:val="00D46E1C"/>
    <w:rsid w:val="00D50CDD"/>
    <w:rsid w:val="00D50DA0"/>
    <w:rsid w:val="00D51A33"/>
    <w:rsid w:val="00D53F3A"/>
    <w:rsid w:val="00D56E28"/>
    <w:rsid w:val="00D607A8"/>
    <w:rsid w:val="00D60B95"/>
    <w:rsid w:val="00D61C85"/>
    <w:rsid w:val="00D63251"/>
    <w:rsid w:val="00D63820"/>
    <w:rsid w:val="00D67394"/>
    <w:rsid w:val="00D70694"/>
    <w:rsid w:val="00D7237A"/>
    <w:rsid w:val="00D72CA4"/>
    <w:rsid w:val="00D72CAA"/>
    <w:rsid w:val="00D7309A"/>
    <w:rsid w:val="00D73158"/>
    <w:rsid w:val="00D732E1"/>
    <w:rsid w:val="00D737B5"/>
    <w:rsid w:val="00D75C68"/>
    <w:rsid w:val="00D762F0"/>
    <w:rsid w:val="00D76B9A"/>
    <w:rsid w:val="00D77BC6"/>
    <w:rsid w:val="00D807A1"/>
    <w:rsid w:val="00D82CC5"/>
    <w:rsid w:val="00D837DE"/>
    <w:rsid w:val="00D837FC"/>
    <w:rsid w:val="00D84D67"/>
    <w:rsid w:val="00D857B7"/>
    <w:rsid w:val="00D8584E"/>
    <w:rsid w:val="00D8641B"/>
    <w:rsid w:val="00D871B7"/>
    <w:rsid w:val="00D90D64"/>
    <w:rsid w:val="00D91339"/>
    <w:rsid w:val="00D91528"/>
    <w:rsid w:val="00D922BC"/>
    <w:rsid w:val="00D931C6"/>
    <w:rsid w:val="00D95DBE"/>
    <w:rsid w:val="00D96FE8"/>
    <w:rsid w:val="00D97A82"/>
    <w:rsid w:val="00DA072D"/>
    <w:rsid w:val="00DA0EE5"/>
    <w:rsid w:val="00DA224E"/>
    <w:rsid w:val="00DA3644"/>
    <w:rsid w:val="00DA6868"/>
    <w:rsid w:val="00DB00A9"/>
    <w:rsid w:val="00DB0AD6"/>
    <w:rsid w:val="00DB1153"/>
    <w:rsid w:val="00DB2862"/>
    <w:rsid w:val="00DB2AE9"/>
    <w:rsid w:val="00DB36A2"/>
    <w:rsid w:val="00DB44C3"/>
    <w:rsid w:val="00DB4DBE"/>
    <w:rsid w:val="00DB577E"/>
    <w:rsid w:val="00DB5F8F"/>
    <w:rsid w:val="00DB61FD"/>
    <w:rsid w:val="00DB6A8D"/>
    <w:rsid w:val="00DB75E7"/>
    <w:rsid w:val="00DB79EB"/>
    <w:rsid w:val="00DC0CE3"/>
    <w:rsid w:val="00DC1E4D"/>
    <w:rsid w:val="00DC2BC5"/>
    <w:rsid w:val="00DC406B"/>
    <w:rsid w:val="00DC50F6"/>
    <w:rsid w:val="00DC597B"/>
    <w:rsid w:val="00DC5A5F"/>
    <w:rsid w:val="00DC692B"/>
    <w:rsid w:val="00DC6DD9"/>
    <w:rsid w:val="00DC7ACF"/>
    <w:rsid w:val="00DD091C"/>
    <w:rsid w:val="00DD0AB7"/>
    <w:rsid w:val="00DD0EF1"/>
    <w:rsid w:val="00DD3023"/>
    <w:rsid w:val="00DD33B9"/>
    <w:rsid w:val="00DD3CDF"/>
    <w:rsid w:val="00DD4DB0"/>
    <w:rsid w:val="00DE068C"/>
    <w:rsid w:val="00DE0733"/>
    <w:rsid w:val="00DE0A10"/>
    <w:rsid w:val="00DE0B7E"/>
    <w:rsid w:val="00DE0F1A"/>
    <w:rsid w:val="00DE330E"/>
    <w:rsid w:val="00DE462A"/>
    <w:rsid w:val="00DE4730"/>
    <w:rsid w:val="00DE5768"/>
    <w:rsid w:val="00DE6216"/>
    <w:rsid w:val="00DE682F"/>
    <w:rsid w:val="00DE7F35"/>
    <w:rsid w:val="00DF0098"/>
    <w:rsid w:val="00DF00CE"/>
    <w:rsid w:val="00DF0240"/>
    <w:rsid w:val="00DF0C99"/>
    <w:rsid w:val="00DF16D5"/>
    <w:rsid w:val="00DF1CC6"/>
    <w:rsid w:val="00DF1CFF"/>
    <w:rsid w:val="00DF3197"/>
    <w:rsid w:val="00DF33B5"/>
    <w:rsid w:val="00DF38AA"/>
    <w:rsid w:val="00DF3E22"/>
    <w:rsid w:val="00DF5352"/>
    <w:rsid w:val="00DF5793"/>
    <w:rsid w:val="00DF6524"/>
    <w:rsid w:val="00DF6887"/>
    <w:rsid w:val="00DF7A51"/>
    <w:rsid w:val="00E001D9"/>
    <w:rsid w:val="00E01F73"/>
    <w:rsid w:val="00E021E5"/>
    <w:rsid w:val="00E02E09"/>
    <w:rsid w:val="00E03A28"/>
    <w:rsid w:val="00E043F6"/>
    <w:rsid w:val="00E04BDE"/>
    <w:rsid w:val="00E04E8E"/>
    <w:rsid w:val="00E068E1"/>
    <w:rsid w:val="00E07780"/>
    <w:rsid w:val="00E10842"/>
    <w:rsid w:val="00E11A1B"/>
    <w:rsid w:val="00E11E05"/>
    <w:rsid w:val="00E13F1A"/>
    <w:rsid w:val="00E142D7"/>
    <w:rsid w:val="00E1647F"/>
    <w:rsid w:val="00E16E7A"/>
    <w:rsid w:val="00E17C22"/>
    <w:rsid w:val="00E24161"/>
    <w:rsid w:val="00E25337"/>
    <w:rsid w:val="00E25DEB"/>
    <w:rsid w:val="00E27CBD"/>
    <w:rsid w:val="00E27F73"/>
    <w:rsid w:val="00E3022F"/>
    <w:rsid w:val="00E30CE4"/>
    <w:rsid w:val="00E32A6B"/>
    <w:rsid w:val="00E32A92"/>
    <w:rsid w:val="00E34219"/>
    <w:rsid w:val="00E3423C"/>
    <w:rsid w:val="00E343A0"/>
    <w:rsid w:val="00E34D28"/>
    <w:rsid w:val="00E359CA"/>
    <w:rsid w:val="00E35EFF"/>
    <w:rsid w:val="00E37111"/>
    <w:rsid w:val="00E374A1"/>
    <w:rsid w:val="00E40ABA"/>
    <w:rsid w:val="00E4102A"/>
    <w:rsid w:val="00E418B1"/>
    <w:rsid w:val="00E41B95"/>
    <w:rsid w:val="00E44D38"/>
    <w:rsid w:val="00E44E19"/>
    <w:rsid w:val="00E451CD"/>
    <w:rsid w:val="00E462B4"/>
    <w:rsid w:val="00E47643"/>
    <w:rsid w:val="00E47BAC"/>
    <w:rsid w:val="00E5065E"/>
    <w:rsid w:val="00E512B2"/>
    <w:rsid w:val="00E5156A"/>
    <w:rsid w:val="00E52CF3"/>
    <w:rsid w:val="00E52FFE"/>
    <w:rsid w:val="00E53686"/>
    <w:rsid w:val="00E536B4"/>
    <w:rsid w:val="00E54520"/>
    <w:rsid w:val="00E55861"/>
    <w:rsid w:val="00E5627A"/>
    <w:rsid w:val="00E56456"/>
    <w:rsid w:val="00E56728"/>
    <w:rsid w:val="00E573BA"/>
    <w:rsid w:val="00E57B40"/>
    <w:rsid w:val="00E6286F"/>
    <w:rsid w:val="00E6295D"/>
    <w:rsid w:val="00E62A2E"/>
    <w:rsid w:val="00E62C78"/>
    <w:rsid w:val="00E63676"/>
    <w:rsid w:val="00E63ADD"/>
    <w:rsid w:val="00E64249"/>
    <w:rsid w:val="00E645E0"/>
    <w:rsid w:val="00E64815"/>
    <w:rsid w:val="00E64FBE"/>
    <w:rsid w:val="00E65687"/>
    <w:rsid w:val="00E66441"/>
    <w:rsid w:val="00E66469"/>
    <w:rsid w:val="00E66D06"/>
    <w:rsid w:val="00E70136"/>
    <w:rsid w:val="00E73863"/>
    <w:rsid w:val="00E73E22"/>
    <w:rsid w:val="00E74921"/>
    <w:rsid w:val="00E74CCA"/>
    <w:rsid w:val="00E74F8B"/>
    <w:rsid w:val="00E75668"/>
    <w:rsid w:val="00E7576C"/>
    <w:rsid w:val="00E76815"/>
    <w:rsid w:val="00E76B9A"/>
    <w:rsid w:val="00E811C2"/>
    <w:rsid w:val="00E81BBB"/>
    <w:rsid w:val="00E860C3"/>
    <w:rsid w:val="00E86610"/>
    <w:rsid w:val="00E87FD2"/>
    <w:rsid w:val="00E9033B"/>
    <w:rsid w:val="00E91A46"/>
    <w:rsid w:val="00E92C42"/>
    <w:rsid w:val="00E92CEC"/>
    <w:rsid w:val="00E93E0C"/>
    <w:rsid w:val="00E9483F"/>
    <w:rsid w:val="00E96065"/>
    <w:rsid w:val="00E9661C"/>
    <w:rsid w:val="00E96AB5"/>
    <w:rsid w:val="00E96F89"/>
    <w:rsid w:val="00EA02BE"/>
    <w:rsid w:val="00EA16F0"/>
    <w:rsid w:val="00EA1991"/>
    <w:rsid w:val="00EA3701"/>
    <w:rsid w:val="00EA47E8"/>
    <w:rsid w:val="00EA4DCB"/>
    <w:rsid w:val="00EA4FAB"/>
    <w:rsid w:val="00EA4FE5"/>
    <w:rsid w:val="00EA595D"/>
    <w:rsid w:val="00EA5FEC"/>
    <w:rsid w:val="00EA6048"/>
    <w:rsid w:val="00EA7307"/>
    <w:rsid w:val="00EA7E48"/>
    <w:rsid w:val="00EB0BAB"/>
    <w:rsid w:val="00EB0BAC"/>
    <w:rsid w:val="00EB0F61"/>
    <w:rsid w:val="00EB2003"/>
    <w:rsid w:val="00EB22D9"/>
    <w:rsid w:val="00EB336B"/>
    <w:rsid w:val="00EB4DEE"/>
    <w:rsid w:val="00EB549D"/>
    <w:rsid w:val="00EB57AB"/>
    <w:rsid w:val="00EB587C"/>
    <w:rsid w:val="00EB689B"/>
    <w:rsid w:val="00EB71EE"/>
    <w:rsid w:val="00EB7C8C"/>
    <w:rsid w:val="00EC03FE"/>
    <w:rsid w:val="00EC067F"/>
    <w:rsid w:val="00EC115B"/>
    <w:rsid w:val="00EC1FBA"/>
    <w:rsid w:val="00EC27D4"/>
    <w:rsid w:val="00EC32D2"/>
    <w:rsid w:val="00EC429A"/>
    <w:rsid w:val="00EC4756"/>
    <w:rsid w:val="00EC4B67"/>
    <w:rsid w:val="00EC4C83"/>
    <w:rsid w:val="00ED00BC"/>
    <w:rsid w:val="00ED00E9"/>
    <w:rsid w:val="00ED03D4"/>
    <w:rsid w:val="00ED0973"/>
    <w:rsid w:val="00ED0E5F"/>
    <w:rsid w:val="00ED1719"/>
    <w:rsid w:val="00ED18BD"/>
    <w:rsid w:val="00ED306D"/>
    <w:rsid w:val="00ED35FA"/>
    <w:rsid w:val="00ED45E2"/>
    <w:rsid w:val="00ED4C8B"/>
    <w:rsid w:val="00ED5A2C"/>
    <w:rsid w:val="00ED5C6D"/>
    <w:rsid w:val="00ED6676"/>
    <w:rsid w:val="00ED768D"/>
    <w:rsid w:val="00EE0375"/>
    <w:rsid w:val="00EE1020"/>
    <w:rsid w:val="00EE2DEF"/>
    <w:rsid w:val="00EE3257"/>
    <w:rsid w:val="00EE33F9"/>
    <w:rsid w:val="00EE4071"/>
    <w:rsid w:val="00EE46CD"/>
    <w:rsid w:val="00EE50AF"/>
    <w:rsid w:val="00EE648E"/>
    <w:rsid w:val="00EE6CC4"/>
    <w:rsid w:val="00EE7F5E"/>
    <w:rsid w:val="00EF0BF3"/>
    <w:rsid w:val="00EF1046"/>
    <w:rsid w:val="00EF1A13"/>
    <w:rsid w:val="00EF230A"/>
    <w:rsid w:val="00EF2356"/>
    <w:rsid w:val="00EF2927"/>
    <w:rsid w:val="00EF2D85"/>
    <w:rsid w:val="00EF2FBD"/>
    <w:rsid w:val="00EF33A1"/>
    <w:rsid w:val="00EF3A82"/>
    <w:rsid w:val="00EF47FB"/>
    <w:rsid w:val="00EF4D69"/>
    <w:rsid w:val="00EF6461"/>
    <w:rsid w:val="00EF70BE"/>
    <w:rsid w:val="00F008B3"/>
    <w:rsid w:val="00F01084"/>
    <w:rsid w:val="00F015B7"/>
    <w:rsid w:val="00F029CB"/>
    <w:rsid w:val="00F02CF9"/>
    <w:rsid w:val="00F02D71"/>
    <w:rsid w:val="00F03149"/>
    <w:rsid w:val="00F0418E"/>
    <w:rsid w:val="00F0432F"/>
    <w:rsid w:val="00F0434E"/>
    <w:rsid w:val="00F04B25"/>
    <w:rsid w:val="00F05C08"/>
    <w:rsid w:val="00F06796"/>
    <w:rsid w:val="00F103F9"/>
    <w:rsid w:val="00F1136F"/>
    <w:rsid w:val="00F12F3F"/>
    <w:rsid w:val="00F13088"/>
    <w:rsid w:val="00F14932"/>
    <w:rsid w:val="00F14B94"/>
    <w:rsid w:val="00F164C4"/>
    <w:rsid w:val="00F20FF0"/>
    <w:rsid w:val="00F215BA"/>
    <w:rsid w:val="00F228FC"/>
    <w:rsid w:val="00F23600"/>
    <w:rsid w:val="00F2546A"/>
    <w:rsid w:val="00F27494"/>
    <w:rsid w:val="00F27615"/>
    <w:rsid w:val="00F27858"/>
    <w:rsid w:val="00F27B19"/>
    <w:rsid w:val="00F300E2"/>
    <w:rsid w:val="00F303D0"/>
    <w:rsid w:val="00F305F6"/>
    <w:rsid w:val="00F30E92"/>
    <w:rsid w:val="00F3167F"/>
    <w:rsid w:val="00F32C7C"/>
    <w:rsid w:val="00F337E0"/>
    <w:rsid w:val="00F337E8"/>
    <w:rsid w:val="00F337F9"/>
    <w:rsid w:val="00F369DE"/>
    <w:rsid w:val="00F37957"/>
    <w:rsid w:val="00F3799E"/>
    <w:rsid w:val="00F4067D"/>
    <w:rsid w:val="00F4090B"/>
    <w:rsid w:val="00F40C35"/>
    <w:rsid w:val="00F42BF5"/>
    <w:rsid w:val="00F449D9"/>
    <w:rsid w:val="00F45973"/>
    <w:rsid w:val="00F45FC2"/>
    <w:rsid w:val="00F46889"/>
    <w:rsid w:val="00F475CB"/>
    <w:rsid w:val="00F500D3"/>
    <w:rsid w:val="00F511AF"/>
    <w:rsid w:val="00F5141B"/>
    <w:rsid w:val="00F51810"/>
    <w:rsid w:val="00F52295"/>
    <w:rsid w:val="00F52F98"/>
    <w:rsid w:val="00F542B0"/>
    <w:rsid w:val="00F55704"/>
    <w:rsid w:val="00F56BD4"/>
    <w:rsid w:val="00F57E0C"/>
    <w:rsid w:val="00F60608"/>
    <w:rsid w:val="00F60859"/>
    <w:rsid w:val="00F60D7E"/>
    <w:rsid w:val="00F618C6"/>
    <w:rsid w:val="00F62316"/>
    <w:rsid w:val="00F639F7"/>
    <w:rsid w:val="00F63ABE"/>
    <w:rsid w:val="00F64240"/>
    <w:rsid w:val="00F66CB4"/>
    <w:rsid w:val="00F67042"/>
    <w:rsid w:val="00F71B37"/>
    <w:rsid w:val="00F71D64"/>
    <w:rsid w:val="00F72500"/>
    <w:rsid w:val="00F72E63"/>
    <w:rsid w:val="00F72FE4"/>
    <w:rsid w:val="00F73926"/>
    <w:rsid w:val="00F744C0"/>
    <w:rsid w:val="00F749DC"/>
    <w:rsid w:val="00F753FC"/>
    <w:rsid w:val="00F76243"/>
    <w:rsid w:val="00F7657B"/>
    <w:rsid w:val="00F76837"/>
    <w:rsid w:val="00F76A1E"/>
    <w:rsid w:val="00F771FB"/>
    <w:rsid w:val="00F80410"/>
    <w:rsid w:val="00F80605"/>
    <w:rsid w:val="00F82A1C"/>
    <w:rsid w:val="00F84D58"/>
    <w:rsid w:val="00F87181"/>
    <w:rsid w:val="00F903B9"/>
    <w:rsid w:val="00F90A76"/>
    <w:rsid w:val="00F91622"/>
    <w:rsid w:val="00F92CD1"/>
    <w:rsid w:val="00F92F3A"/>
    <w:rsid w:val="00F934BD"/>
    <w:rsid w:val="00F948D1"/>
    <w:rsid w:val="00F94E1B"/>
    <w:rsid w:val="00F958C9"/>
    <w:rsid w:val="00F963EB"/>
    <w:rsid w:val="00F9657F"/>
    <w:rsid w:val="00F97ACF"/>
    <w:rsid w:val="00FA08E0"/>
    <w:rsid w:val="00FA1693"/>
    <w:rsid w:val="00FA5171"/>
    <w:rsid w:val="00FA5226"/>
    <w:rsid w:val="00FA5C40"/>
    <w:rsid w:val="00FA5C58"/>
    <w:rsid w:val="00FA62BC"/>
    <w:rsid w:val="00FA6CFA"/>
    <w:rsid w:val="00FA7B26"/>
    <w:rsid w:val="00FB0533"/>
    <w:rsid w:val="00FB0C9B"/>
    <w:rsid w:val="00FB2193"/>
    <w:rsid w:val="00FB34FF"/>
    <w:rsid w:val="00FB3517"/>
    <w:rsid w:val="00FB37E9"/>
    <w:rsid w:val="00FB3810"/>
    <w:rsid w:val="00FB5808"/>
    <w:rsid w:val="00FB594B"/>
    <w:rsid w:val="00FC0BD9"/>
    <w:rsid w:val="00FC12F7"/>
    <w:rsid w:val="00FC17DB"/>
    <w:rsid w:val="00FC2EC5"/>
    <w:rsid w:val="00FC3D55"/>
    <w:rsid w:val="00FC3DD1"/>
    <w:rsid w:val="00FC4484"/>
    <w:rsid w:val="00FC4C9C"/>
    <w:rsid w:val="00FC4CD2"/>
    <w:rsid w:val="00FC4CF7"/>
    <w:rsid w:val="00FC65F2"/>
    <w:rsid w:val="00FC666C"/>
    <w:rsid w:val="00FC6DCA"/>
    <w:rsid w:val="00FC784A"/>
    <w:rsid w:val="00FD09BA"/>
    <w:rsid w:val="00FD1489"/>
    <w:rsid w:val="00FD1624"/>
    <w:rsid w:val="00FD1690"/>
    <w:rsid w:val="00FD20AD"/>
    <w:rsid w:val="00FD2375"/>
    <w:rsid w:val="00FD2B0B"/>
    <w:rsid w:val="00FD2CA8"/>
    <w:rsid w:val="00FD4338"/>
    <w:rsid w:val="00FD6D5B"/>
    <w:rsid w:val="00FD79BF"/>
    <w:rsid w:val="00FE1489"/>
    <w:rsid w:val="00FE16C6"/>
    <w:rsid w:val="00FE16F1"/>
    <w:rsid w:val="00FE5AEC"/>
    <w:rsid w:val="00FE5B27"/>
    <w:rsid w:val="00FE5CC7"/>
    <w:rsid w:val="00FE63C7"/>
    <w:rsid w:val="00FE6C4E"/>
    <w:rsid w:val="00FE6CDC"/>
    <w:rsid w:val="00FE735C"/>
    <w:rsid w:val="00FE7656"/>
    <w:rsid w:val="00FF013D"/>
    <w:rsid w:val="00FF033F"/>
    <w:rsid w:val="00FF0467"/>
    <w:rsid w:val="00FF0C78"/>
    <w:rsid w:val="00FF13D9"/>
    <w:rsid w:val="00FF160E"/>
    <w:rsid w:val="00FF2101"/>
    <w:rsid w:val="00FF265D"/>
    <w:rsid w:val="00FF32A2"/>
    <w:rsid w:val="00FF3689"/>
    <w:rsid w:val="00FF4134"/>
    <w:rsid w:val="00FF62DA"/>
    <w:rsid w:val="00FF69E1"/>
    <w:rsid w:val="00FF6D3C"/>
    <w:rsid w:val="00FF7DC6"/>
    <w:rsid w:val="731A9F3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C91E9"/>
  <w15:docId w15:val="{BB46CF93-C812-5B4E-B10D-42CF44A7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4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41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EA16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D3ABF"/>
    <w:pPr>
      <w:spacing w:after="0" w:line="240" w:lineRule="auto"/>
    </w:pPr>
    <w:rPr>
      <w:sz w:val="20"/>
      <w:szCs w:val="20"/>
    </w:rPr>
  </w:style>
  <w:style w:type="character" w:customStyle="1" w:styleId="VoetnoottekstChar">
    <w:name w:val="Voetnoottekst Char"/>
    <w:basedOn w:val="DefaultParagraphFont"/>
    <w:link w:val="Voetnoottekst"/>
    <w:uiPriority w:val="99"/>
    <w:rsid w:val="00AD3ABF"/>
    <w:rPr>
      <w:sz w:val="20"/>
      <w:szCs w:val="20"/>
    </w:rPr>
  </w:style>
  <w:style w:type="character" w:styleId="Voetnootmarkering">
    <w:name w:val="footnote reference"/>
    <w:basedOn w:val="DefaultParagraphFont"/>
    <w:uiPriority w:val="99"/>
    <w:unhideWhenUsed/>
    <w:rsid w:val="00AD3ABF"/>
    <w:rPr>
      <w:vertAlign w:val="superscript"/>
    </w:rPr>
  </w:style>
  <w:style w:type="character" w:styleId="Hyperlink">
    <w:name w:val="Hyperlink"/>
    <w:basedOn w:val="DefaultParagraphFont"/>
    <w:uiPriority w:val="99"/>
    <w:unhideWhenUsed/>
    <w:rsid w:val="00AD3ABF"/>
    <w:rPr>
      <w:color w:val="0000FF" w:themeColor="hyperlink"/>
      <w:u w:val="single"/>
    </w:rPr>
  </w:style>
  <w:style w:type="paragraph" w:styleId="Geenafstand">
    <w:name w:val="No Spacing"/>
    <w:uiPriority w:val="1"/>
    <w:qFormat/>
    <w:rsid w:val="00A05AB4"/>
    <w:pPr>
      <w:spacing w:after="0" w:line="240" w:lineRule="auto"/>
    </w:pPr>
  </w:style>
  <w:style w:type="character" w:customStyle="1" w:styleId="Kop1Char">
    <w:name w:val="Kop 1 Char"/>
    <w:basedOn w:val="DefaultParagraphFont"/>
    <w:link w:val="Kop1"/>
    <w:uiPriority w:val="9"/>
    <w:rsid w:val="00D14EF5"/>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24670A"/>
    <w:pPr>
      <w:spacing w:after="0" w:line="240" w:lineRule="auto"/>
    </w:pPr>
    <w:rPr>
      <w:rFonts w:ascii="Segoe UI" w:hAnsi="Segoe UI" w:cs="Segoe UI"/>
      <w:sz w:val="18"/>
      <w:szCs w:val="18"/>
    </w:rPr>
  </w:style>
  <w:style w:type="character" w:customStyle="1" w:styleId="BallontekstChar">
    <w:name w:val="Ballontekst Char"/>
    <w:basedOn w:val="DefaultParagraphFont"/>
    <w:link w:val="Ballontekst"/>
    <w:uiPriority w:val="99"/>
    <w:semiHidden/>
    <w:rsid w:val="0024670A"/>
    <w:rPr>
      <w:rFonts w:ascii="Segoe UI" w:hAnsi="Segoe UI" w:cs="Segoe UI"/>
      <w:sz w:val="18"/>
      <w:szCs w:val="18"/>
    </w:rPr>
  </w:style>
  <w:style w:type="character" w:customStyle="1" w:styleId="Kop2Char">
    <w:name w:val="Kop 2 Char"/>
    <w:basedOn w:val="DefaultParagraphFont"/>
    <w:link w:val="Kop2"/>
    <w:uiPriority w:val="9"/>
    <w:rsid w:val="00F0418E"/>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622F0"/>
    <w:rPr>
      <w:color w:val="800080" w:themeColor="followedHyperlink"/>
      <w:u w:val="single"/>
    </w:rPr>
  </w:style>
  <w:style w:type="character" w:customStyle="1" w:styleId="apple-converted-space">
    <w:name w:val="apple-converted-space"/>
    <w:basedOn w:val="DefaultParagraphFont"/>
    <w:rsid w:val="00B01E7D"/>
  </w:style>
  <w:style w:type="character" w:customStyle="1" w:styleId="separator">
    <w:name w:val="separator"/>
    <w:basedOn w:val="DefaultParagraphFont"/>
    <w:rsid w:val="00B01E7D"/>
  </w:style>
  <w:style w:type="character" w:styleId="Zwaar">
    <w:name w:val="Strong"/>
    <w:basedOn w:val="DefaultParagraphFont"/>
    <w:uiPriority w:val="22"/>
    <w:qFormat/>
    <w:rsid w:val="005D7DA5"/>
    <w:rPr>
      <w:b/>
      <w:bCs/>
    </w:rPr>
  </w:style>
  <w:style w:type="paragraph" w:styleId="Eindnoottekst">
    <w:name w:val="endnote text"/>
    <w:basedOn w:val="Standaard"/>
    <w:link w:val="EindnoottekstChar"/>
    <w:uiPriority w:val="99"/>
    <w:semiHidden/>
    <w:unhideWhenUsed/>
    <w:rsid w:val="0079534E"/>
    <w:pPr>
      <w:spacing w:after="0" w:line="240" w:lineRule="auto"/>
    </w:pPr>
    <w:rPr>
      <w:sz w:val="20"/>
      <w:szCs w:val="20"/>
    </w:rPr>
  </w:style>
  <w:style w:type="character" w:customStyle="1" w:styleId="EindnoottekstChar">
    <w:name w:val="Eindnoottekst Char"/>
    <w:basedOn w:val="DefaultParagraphFont"/>
    <w:link w:val="Eindnoottekst"/>
    <w:uiPriority w:val="99"/>
    <w:semiHidden/>
    <w:rsid w:val="0079534E"/>
    <w:rPr>
      <w:sz w:val="20"/>
      <w:szCs w:val="20"/>
    </w:rPr>
  </w:style>
  <w:style w:type="character" w:styleId="Eindnootmarkering">
    <w:name w:val="endnote reference"/>
    <w:basedOn w:val="DefaultParagraphFont"/>
    <w:uiPriority w:val="99"/>
    <w:semiHidden/>
    <w:unhideWhenUsed/>
    <w:rsid w:val="0079534E"/>
    <w:rPr>
      <w:vertAlign w:val="superscript"/>
    </w:rPr>
  </w:style>
  <w:style w:type="paragraph" w:styleId="Koptekst">
    <w:name w:val="header"/>
    <w:basedOn w:val="Standaard"/>
    <w:link w:val="KoptekstChar"/>
    <w:uiPriority w:val="99"/>
    <w:unhideWhenUsed/>
    <w:rsid w:val="0079534E"/>
    <w:pPr>
      <w:tabs>
        <w:tab w:val="center" w:pos="4536"/>
        <w:tab w:val="right" w:pos="9072"/>
      </w:tabs>
      <w:spacing w:after="0" w:line="240" w:lineRule="auto"/>
    </w:pPr>
  </w:style>
  <w:style w:type="character" w:customStyle="1" w:styleId="KoptekstChar">
    <w:name w:val="Koptekst Char"/>
    <w:basedOn w:val="DefaultParagraphFont"/>
    <w:link w:val="Koptekst"/>
    <w:uiPriority w:val="99"/>
    <w:rsid w:val="0079534E"/>
  </w:style>
  <w:style w:type="paragraph" w:styleId="Voettekst">
    <w:name w:val="footer"/>
    <w:basedOn w:val="Standaard"/>
    <w:link w:val="VoettekstChar"/>
    <w:uiPriority w:val="99"/>
    <w:unhideWhenUsed/>
    <w:rsid w:val="0079534E"/>
    <w:pPr>
      <w:tabs>
        <w:tab w:val="center" w:pos="4536"/>
        <w:tab w:val="right" w:pos="9072"/>
      </w:tabs>
      <w:spacing w:after="0" w:line="240" w:lineRule="auto"/>
    </w:pPr>
  </w:style>
  <w:style w:type="character" w:customStyle="1" w:styleId="VoettekstChar">
    <w:name w:val="Voettekst Char"/>
    <w:basedOn w:val="DefaultParagraphFont"/>
    <w:link w:val="Voettekst"/>
    <w:uiPriority w:val="99"/>
    <w:rsid w:val="0079534E"/>
  </w:style>
  <w:style w:type="character" w:styleId="Verwijzingopmerking">
    <w:name w:val="annotation reference"/>
    <w:basedOn w:val="DefaultParagraphFont"/>
    <w:uiPriority w:val="99"/>
    <w:semiHidden/>
    <w:unhideWhenUsed/>
    <w:rsid w:val="00341D59"/>
    <w:rPr>
      <w:sz w:val="18"/>
      <w:szCs w:val="18"/>
    </w:rPr>
  </w:style>
  <w:style w:type="paragraph" w:styleId="Tekstopmerking">
    <w:name w:val="annotation text"/>
    <w:basedOn w:val="Standaard"/>
    <w:link w:val="TekstopmerkingChar"/>
    <w:uiPriority w:val="99"/>
    <w:semiHidden/>
    <w:unhideWhenUsed/>
    <w:rsid w:val="00341D59"/>
    <w:pPr>
      <w:spacing w:line="240" w:lineRule="auto"/>
    </w:pPr>
    <w:rPr>
      <w:sz w:val="24"/>
      <w:szCs w:val="24"/>
    </w:rPr>
  </w:style>
  <w:style w:type="character" w:customStyle="1" w:styleId="TekstopmerkingChar">
    <w:name w:val="Tekst opmerking Char"/>
    <w:basedOn w:val="DefaultParagraphFont"/>
    <w:link w:val="Tekstopmerking"/>
    <w:uiPriority w:val="99"/>
    <w:semiHidden/>
    <w:rsid w:val="00341D59"/>
    <w:rPr>
      <w:sz w:val="24"/>
      <w:szCs w:val="24"/>
    </w:rPr>
  </w:style>
  <w:style w:type="paragraph" w:styleId="CommentSubject">
    <w:name w:val="annotation subject"/>
    <w:basedOn w:val="Tekstopmerking"/>
    <w:next w:val="Tekstopmerking"/>
    <w:link w:val="CommentSubjectChar"/>
    <w:uiPriority w:val="99"/>
    <w:semiHidden/>
    <w:unhideWhenUsed/>
    <w:rsid w:val="00341D59"/>
    <w:rPr>
      <w:b/>
      <w:bCs/>
      <w:sz w:val="20"/>
      <w:szCs w:val="20"/>
    </w:rPr>
  </w:style>
  <w:style w:type="character" w:customStyle="1" w:styleId="CommentSubjectChar">
    <w:name w:val="Comment Subject Char"/>
    <w:basedOn w:val="TekstopmerkingChar"/>
    <w:link w:val="CommentSubject"/>
    <w:uiPriority w:val="99"/>
    <w:semiHidden/>
    <w:rsid w:val="00341D59"/>
    <w:rPr>
      <w:b/>
      <w:bCs/>
      <w:sz w:val="20"/>
      <w:szCs w:val="20"/>
    </w:rPr>
  </w:style>
  <w:style w:type="paragraph" w:styleId="Lijstalinea">
    <w:name w:val="List Paragraph"/>
    <w:basedOn w:val="Standaard"/>
    <w:uiPriority w:val="34"/>
    <w:qFormat/>
    <w:rsid w:val="00BA2D1B"/>
    <w:pPr>
      <w:ind w:left="720"/>
      <w:contextualSpacing/>
    </w:pPr>
  </w:style>
  <w:style w:type="character" w:customStyle="1" w:styleId="Kop3Char">
    <w:name w:val="Kop 3 Char"/>
    <w:basedOn w:val="DefaultParagraphFont"/>
    <w:link w:val="Kop3"/>
    <w:uiPriority w:val="9"/>
    <w:rsid w:val="00EA16F0"/>
    <w:rPr>
      <w:rFonts w:asciiTheme="majorHAnsi" w:eastAsiaTheme="majorEastAsia" w:hAnsiTheme="majorHAnsi" w:cstheme="majorBidi"/>
      <w:b/>
      <w:bCs/>
      <w:color w:val="4F81BD" w:themeColor="accent1"/>
    </w:rPr>
  </w:style>
  <w:style w:type="character" w:styleId="Vermelding">
    <w:name w:val="Mention"/>
    <w:basedOn w:val="DefaultParagraphFont"/>
    <w:uiPriority w:val="99"/>
    <w:semiHidden/>
    <w:unhideWhenUsed/>
    <w:rsid w:val="009C7F3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1663">
      <w:bodyDiv w:val="1"/>
      <w:marLeft w:val="0"/>
      <w:marRight w:val="0"/>
      <w:marTop w:val="0"/>
      <w:marBottom w:val="0"/>
      <w:divBdr>
        <w:top w:val="none" w:sz="0" w:space="0" w:color="auto"/>
        <w:left w:val="none" w:sz="0" w:space="0" w:color="auto"/>
        <w:bottom w:val="none" w:sz="0" w:space="0" w:color="auto"/>
        <w:right w:val="none" w:sz="0" w:space="0" w:color="auto"/>
      </w:divBdr>
    </w:div>
    <w:div w:id="1339118697">
      <w:bodyDiv w:val="1"/>
      <w:marLeft w:val="0"/>
      <w:marRight w:val="0"/>
      <w:marTop w:val="0"/>
      <w:marBottom w:val="0"/>
      <w:divBdr>
        <w:top w:val="none" w:sz="0" w:space="0" w:color="auto"/>
        <w:left w:val="none" w:sz="0" w:space="0" w:color="auto"/>
        <w:bottom w:val="none" w:sz="0" w:space="0" w:color="auto"/>
        <w:right w:val="none" w:sz="0" w:space="0" w:color="auto"/>
      </w:divBdr>
    </w:div>
    <w:div w:id="1765687581">
      <w:bodyDiv w:val="1"/>
      <w:marLeft w:val="0"/>
      <w:marRight w:val="0"/>
      <w:marTop w:val="0"/>
      <w:marBottom w:val="0"/>
      <w:divBdr>
        <w:top w:val="none" w:sz="0" w:space="0" w:color="auto"/>
        <w:left w:val="none" w:sz="0" w:space="0" w:color="auto"/>
        <w:bottom w:val="none" w:sz="0" w:space="0" w:color="auto"/>
        <w:right w:val="none" w:sz="0" w:space="0" w:color="auto"/>
      </w:divBdr>
    </w:div>
    <w:div w:id="1854682395">
      <w:bodyDiv w:val="1"/>
      <w:marLeft w:val="0"/>
      <w:marRight w:val="0"/>
      <w:marTop w:val="0"/>
      <w:marBottom w:val="0"/>
      <w:divBdr>
        <w:top w:val="none" w:sz="0" w:space="0" w:color="auto"/>
        <w:left w:val="none" w:sz="0" w:space="0" w:color="auto"/>
        <w:bottom w:val="none" w:sz="0" w:space="0" w:color="auto"/>
        <w:right w:val="none" w:sz="0" w:space="0" w:color="auto"/>
      </w:divBdr>
    </w:div>
    <w:div w:id="19882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conomist.com/news/finance-and-economics/21623756-governments-are-souring-treaties-protect-foreign-investors-arbitration" TargetMode="External"/><Relationship Id="rId13" Type="http://schemas.openxmlformats.org/officeDocument/2006/relationships/hyperlink" Target="https://www.theguardian.com/global-development/2016/jul/28/who-really-won-legal-battle-philip-morris-uruguay-cigarette-adverts" TargetMode="External"/><Relationship Id="rId18" Type="http://schemas.openxmlformats.org/officeDocument/2006/relationships/hyperlink" Target="http://www.consilium.europa.eu/uedocs/cms_data/docs/pressdata/en/foraff/117328.pdf" TargetMode="External"/><Relationship Id="rId26" Type="http://schemas.openxmlformats.org/officeDocument/2006/relationships/hyperlink" Target="http://www.degruyter.com/viewbooktoc/product/169189" TargetMode="External"/><Relationship Id="rId3" Type="http://schemas.openxmlformats.org/officeDocument/2006/relationships/hyperlink" Target="http://ec.europa.eu/transparency/regdoc/rep/1/2016/EN/1-2016-470-EN-F1-1.PDF" TargetMode="External"/><Relationship Id="rId21" Type="http://schemas.openxmlformats.org/officeDocument/2006/relationships/hyperlink" Target="http://eur-lex.europa.eu/legal-content/EN/TXT/?uri=OJ:C:2013:321E:TOC" TargetMode="External"/><Relationship Id="rId7" Type="http://schemas.openxmlformats.org/officeDocument/2006/relationships/hyperlink" Target="http://www.europarl.europa.eu/sides/getDoc.do?pubRef=-%2f%2fEP%2f%2fTEXT%2bWQ%2bE-2016-007422%2b0%2bDOC%2bXML%2bV0%2f%2fEN&amp;language=EN" TargetMode="External"/><Relationship Id="rId12" Type="http://schemas.openxmlformats.org/officeDocument/2006/relationships/hyperlink" Target="http://www.keystone-xl.com/wp-content/uploads/2016/01/TransCanada-Notice-of-Intent-January-6-2016.pdf" TargetMode="External"/><Relationship Id="rId17" Type="http://schemas.openxmlformats.org/officeDocument/2006/relationships/hyperlink" Target="http://www.europarl.europa.eu/sides/getDoc.do?type=TA&amp;reference=P7-TA-2011-0141&amp;language=EN" TargetMode="External"/><Relationship Id="rId25" Type="http://schemas.openxmlformats.org/officeDocument/2006/relationships/hyperlink" Target="http://www.gesetze-im-internet.de/englisch_gg/englisch_gg.html" TargetMode="External"/><Relationship Id="rId2" Type="http://schemas.openxmlformats.org/officeDocument/2006/relationships/hyperlink" Target="https://groenlinks.nl/sites/default/files/downloads/newsarticle/PG_EN.pdf" TargetMode="External"/><Relationship Id="rId16" Type="http://schemas.openxmlformats.org/officeDocument/2006/relationships/hyperlink" Target="http://eur-lex.europa.eu/legal-content/EN/ALL/?uri=CELEX:52010DC0543" TargetMode="External"/><Relationship Id="rId20" Type="http://schemas.openxmlformats.org/officeDocument/2006/relationships/hyperlink" Target="http://www.europarl.europa.eu/sides/getAllAnswers.do?reference=E-2012-011275&amp;language=EN" TargetMode="External"/><Relationship Id="rId29" Type="http://schemas.openxmlformats.org/officeDocument/2006/relationships/hyperlink" Target="http://dfat.gov.au/trade/topics/pages/isds.aspx" TargetMode="External"/><Relationship Id="rId1" Type="http://schemas.openxmlformats.org/officeDocument/2006/relationships/hyperlink" Target="file:///C:\Users\Wybe\OneDrive\Documents\www.ser.nl\~\media\files\internet\talen\engels\2016\ttip.ashx" TargetMode="External"/><Relationship Id="rId6" Type="http://schemas.openxmlformats.org/officeDocument/2006/relationships/hyperlink" Target="https://fd.nl/economie-politiek/1171394/wallonie-zegt-nee-tegen-ceta" TargetMode="External"/><Relationship Id="rId11" Type="http://schemas.openxmlformats.org/officeDocument/2006/relationships/hyperlink" Target="http://investmentpolicyhub.unctad.org/Download/TreatyFile/3329" TargetMode="External"/><Relationship Id="rId24" Type="http://schemas.openxmlformats.org/officeDocument/2006/relationships/hyperlink" Target="http://trade.ec.europa.eu/doclib/docs/2015/november/tradoc_153955.pdf" TargetMode="External"/><Relationship Id="rId5" Type="http://schemas.openxmlformats.org/officeDocument/2006/relationships/hyperlink" Target="http://www.europarl.europa.eu/sides/getAllAnswers.do?reference=E-2014-007127&amp;language=EN" TargetMode="External"/><Relationship Id="rId15" Type="http://schemas.openxmlformats.org/officeDocument/2006/relationships/hyperlink" Target="http://papers.ssrn.com/sol3/papers.cfm?abstract_id=2663504" TargetMode="External"/><Relationship Id="rId23" Type="http://schemas.openxmlformats.org/officeDocument/2006/relationships/hyperlink" Target="http://www.europarl.europa.eu/sides/getDoc.do?pubRef=-//EP//TEXT+TA+P8-TA-2015-0252+0+DOC+XML+V0//EN" TargetMode="External"/><Relationship Id="rId28" Type="http://schemas.openxmlformats.org/officeDocument/2006/relationships/hyperlink" Target="http://blogs.usyd.edu.au/japaneselaw/2011_Gillard%20Govt%20Trade%20Policy%20Statement.pdf" TargetMode="External"/><Relationship Id="rId10" Type="http://schemas.openxmlformats.org/officeDocument/2006/relationships/hyperlink" Target="http://www.iisd.org/pdf/2006/investment_pakistan_germany.pdf" TargetMode="External"/><Relationship Id="rId19" Type="http://schemas.openxmlformats.org/officeDocument/2006/relationships/hyperlink" Target="http://trade.ec.europa.eu/doclib/docs/2011/september/tradoc_148201.pdf" TargetMode="External"/><Relationship Id="rId4" Type="http://schemas.openxmlformats.org/officeDocument/2006/relationships/hyperlink" Target="https://www.scribd.com/document/325493614/Draft-Council-Decision-on-the-Provisional-Application-of-CETA" TargetMode="External"/><Relationship Id="rId9" Type="http://schemas.openxmlformats.org/officeDocument/2006/relationships/hyperlink" Target="https://www.vlaamsparlement.be/commissies/commissievergaderingen/1058503/verslag/1059820" TargetMode="External"/><Relationship Id="rId14" Type="http://schemas.openxmlformats.org/officeDocument/2006/relationships/hyperlink" Target="https://www.pcacases.com/web/sendAttach/1711" TargetMode="External"/><Relationship Id="rId22" Type="http://schemas.openxmlformats.org/officeDocument/2006/relationships/hyperlink" Target="http://data.consilium.europa.eu/doc/document/ST-11103-2013-DCL-1/en/pdf" TargetMode="External"/><Relationship Id="rId27" Type="http://schemas.openxmlformats.org/officeDocument/2006/relationships/hyperlink" Target="http://www.state.gov/documents/organization/226815.pdf" TargetMode="External"/><Relationship Id="rId30" Type="http://schemas.openxmlformats.org/officeDocument/2006/relationships/hyperlink" Target="http://www.politico.eu/article/eu-faces-tough-sell-on-ttip-compromise-malmstroem-fro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9BB8-C688-7A4F-B496-74F94E23E2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29</Pages>
  <Words>10452</Words>
  <Characters>57490</Characters>
  <Application>Microsoft Office Word</Application>
  <DocSecurity>0</DocSecurity>
  <Lines>479</Lines>
  <Paragraphs>135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Wybe</dc:creator>
  <cp:lastModifiedBy>W.Th. Douma</cp:lastModifiedBy>
  <cp:revision>529</cp:revision>
  <cp:lastPrinted>2015-09-18T11:44:00Z</cp:lastPrinted>
  <dcterms:created xsi:type="dcterms:W3CDTF">2017-04-26T19:51:00Z</dcterms:created>
  <dcterms:modified xsi:type="dcterms:W3CDTF">2017-04-29T08:49:00Z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61402880-d5f9-3684-ba90-f7845d26ca6f</vt:lpwstr>
  </property>
</Properties>
</file>