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84408" w14:textId="7720D30B" w:rsidR="00AA1CCD" w:rsidRPr="00722378" w:rsidRDefault="00DB5765" w:rsidP="00AA1CCD">
      <w:pPr>
        <w:pStyle w:val="Default"/>
        <w:spacing w:line="360" w:lineRule="auto"/>
        <w:jc w:val="center"/>
        <w:rPr>
          <w:rFonts w:asciiTheme="majorHAnsi" w:hAnsiTheme="majorHAnsi"/>
          <w:b/>
          <w:bCs/>
          <w:smallCaps/>
          <w:sz w:val="32"/>
          <w:szCs w:val="32"/>
        </w:rPr>
      </w:pPr>
      <w:r>
        <w:rPr>
          <w:rFonts w:asciiTheme="majorHAnsi" w:hAnsiTheme="majorHAnsi"/>
          <w:b/>
          <w:bCs/>
          <w:smallCaps/>
          <w:sz w:val="32"/>
          <w:szCs w:val="32"/>
        </w:rPr>
        <w:t>The EU Rule of Law Crisis to the next level:</w:t>
      </w:r>
      <w:r>
        <w:rPr>
          <w:rFonts w:asciiTheme="majorHAnsi" w:hAnsiTheme="majorHAnsi"/>
          <w:b/>
          <w:bCs/>
          <w:smallCaps/>
          <w:sz w:val="32"/>
          <w:szCs w:val="32"/>
        </w:rPr>
        <w:br/>
        <w:t>A Proliferation of Institutional Constructions</w:t>
      </w:r>
    </w:p>
    <w:p w14:paraId="20969C68" w14:textId="77777777" w:rsidR="00AA1CCD" w:rsidRPr="00722378" w:rsidRDefault="00AA1CCD" w:rsidP="00AA1CCD">
      <w:pPr>
        <w:pStyle w:val="Default"/>
        <w:spacing w:line="360" w:lineRule="auto"/>
        <w:jc w:val="center"/>
        <w:rPr>
          <w:rFonts w:asciiTheme="majorHAnsi" w:hAnsiTheme="majorHAnsi"/>
          <w:sz w:val="32"/>
          <w:szCs w:val="32"/>
        </w:rPr>
      </w:pPr>
    </w:p>
    <w:p w14:paraId="4CFB0FC9" w14:textId="77777777" w:rsidR="00AA1CCD" w:rsidRPr="00722378" w:rsidRDefault="00AA1CCD" w:rsidP="00AA1CCD">
      <w:pPr>
        <w:pStyle w:val="Default"/>
        <w:spacing w:line="360" w:lineRule="auto"/>
        <w:rPr>
          <w:rFonts w:asciiTheme="majorHAnsi" w:hAnsiTheme="majorHAnsi"/>
          <w:b/>
          <w:sz w:val="22"/>
          <w:szCs w:val="23"/>
        </w:rPr>
      </w:pPr>
      <w:r w:rsidRPr="00722378">
        <w:rPr>
          <w:rFonts w:asciiTheme="majorHAnsi" w:hAnsiTheme="majorHAnsi"/>
          <w:b/>
          <w:sz w:val="22"/>
          <w:szCs w:val="23"/>
        </w:rPr>
        <w:t xml:space="preserve">Femke Gremmelprez </w:t>
      </w:r>
    </w:p>
    <w:p w14:paraId="56995FDE" w14:textId="77777777" w:rsidR="00AA1CCD" w:rsidRPr="00722378" w:rsidRDefault="00AA1CCD" w:rsidP="00AA1CCD">
      <w:pPr>
        <w:pStyle w:val="Default"/>
        <w:spacing w:line="360" w:lineRule="auto"/>
        <w:rPr>
          <w:rFonts w:asciiTheme="majorHAnsi" w:hAnsiTheme="majorHAnsi"/>
          <w:sz w:val="22"/>
          <w:szCs w:val="23"/>
        </w:rPr>
      </w:pPr>
      <w:r w:rsidRPr="00722378">
        <w:rPr>
          <w:rFonts w:asciiTheme="majorHAnsi" w:hAnsiTheme="majorHAnsi"/>
          <w:i/>
          <w:iCs/>
          <w:sz w:val="22"/>
          <w:szCs w:val="23"/>
        </w:rPr>
        <w:t xml:space="preserve">PhD researcher and academic assistant </w:t>
      </w:r>
    </w:p>
    <w:p w14:paraId="54FFBD49" w14:textId="77777777" w:rsidR="00AA1CCD" w:rsidRPr="00722378" w:rsidRDefault="00AA1CCD" w:rsidP="00AA1CCD">
      <w:pPr>
        <w:pStyle w:val="Default"/>
        <w:spacing w:line="360" w:lineRule="auto"/>
        <w:rPr>
          <w:rFonts w:asciiTheme="majorHAnsi" w:hAnsiTheme="majorHAnsi"/>
          <w:sz w:val="22"/>
          <w:szCs w:val="23"/>
        </w:rPr>
      </w:pPr>
      <w:r w:rsidRPr="00722378">
        <w:rPr>
          <w:rFonts w:asciiTheme="majorHAnsi" w:hAnsiTheme="majorHAnsi"/>
          <w:i/>
          <w:iCs/>
          <w:sz w:val="22"/>
          <w:szCs w:val="23"/>
        </w:rPr>
        <w:t xml:space="preserve">Ghent European Law Institute – Ghent University </w:t>
      </w:r>
    </w:p>
    <w:p w14:paraId="720D7A19" w14:textId="77777777" w:rsidR="00AA1CCD" w:rsidRPr="00722378" w:rsidRDefault="00AA1CCD" w:rsidP="00AA1CCD">
      <w:pPr>
        <w:pStyle w:val="Default"/>
        <w:spacing w:line="360" w:lineRule="auto"/>
        <w:rPr>
          <w:rFonts w:asciiTheme="majorHAnsi" w:hAnsiTheme="majorHAnsi"/>
          <w:sz w:val="22"/>
          <w:szCs w:val="23"/>
        </w:rPr>
      </w:pPr>
      <w:r w:rsidRPr="00722378">
        <w:rPr>
          <w:rFonts w:asciiTheme="majorHAnsi" w:hAnsiTheme="majorHAnsi"/>
          <w:i/>
          <w:iCs/>
          <w:sz w:val="22"/>
          <w:szCs w:val="23"/>
        </w:rPr>
        <w:t xml:space="preserve">Ghent Belgium </w:t>
      </w:r>
    </w:p>
    <w:p w14:paraId="0A121675" w14:textId="41917A9C" w:rsidR="00AA1CCD" w:rsidRDefault="00E046A8" w:rsidP="00AA1CCD">
      <w:pPr>
        <w:pStyle w:val="Default"/>
        <w:spacing w:line="360" w:lineRule="auto"/>
        <w:rPr>
          <w:rFonts w:asciiTheme="majorHAnsi" w:hAnsiTheme="majorHAnsi"/>
          <w:sz w:val="22"/>
          <w:szCs w:val="23"/>
        </w:rPr>
      </w:pPr>
      <w:hyperlink r:id="rId9" w:history="1">
        <w:r w:rsidR="00DB5765" w:rsidRPr="00D1351A">
          <w:rPr>
            <w:rStyle w:val="Hyperlink"/>
            <w:rFonts w:asciiTheme="majorHAnsi" w:hAnsiTheme="majorHAnsi"/>
            <w:sz w:val="22"/>
            <w:szCs w:val="23"/>
          </w:rPr>
          <w:t>Femke.Gremmelprez@UGent.be</w:t>
        </w:r>
      </w:hyperlink>
    </w:p>
    <w:p w14:paraId="72F44644" w14:textId="77777777" w:rsidR="00AA1CCD" w:rsidRPr="00722378" w:rsidRDefault="00AA1CCD" w:rsidP="00AA1CCD">
      <w:pPr>
        <w:rPr>
          <w:rFonts w:cs="Times New Roman"/>
          <w:bCs/>
          <w:iCs/>
          <w:szCs w:val="23"/>
        </w:rPr>
      </w:pPr>
    </w:p>
    <w:p w14:paraId="20388EA6" w14:textId="77777777" w:rsidR="00AA1CCD" w:rsidRPr="00722378" w:rsidRDefault="00AA1CCD" w:rsidP="00AA1CCD">
      <w:pPr>
        <w:jc w:val="center"/>
        <w:rPr>
          <w:rFonts w:cs="Times New Roman"/>
          <w:bCs/>
          <w:iCs/>
          <w:szCs w:val="23"/>
        </w:rPr>
      </w:pPr>
      <w:r w:rsidRPr="00722378">
        <w:rPr>
          <w:rFonts w:cs="Times New Roman"/>
          <w:bCs/>
          <w:iCs/>
          <w:szCs w:val="23"/>
        </w:rPr>
        <w:t>***Work in progress – Comments are welcome***</w:t>
      </w:r>
    </w:p>
    <w:p w14:paraId="0C241F20" w14:textId="2F15549F" w:rsidR="00DB5765" w:rsidRPr="00AB0966" w:rsidRDefault="00DB5765" w:rsidP="00DB5765">
      <w:pPr>
        <w:rPr>
          <w:rFonts w:cs="Times New Roman"/>
          <w:i/>
          <w:iCs/>
          <w:szCs w:val="23"/>
        </w:rPr>
      </w:pPr>
      <w:r>
        <w:rPr>
          <w:rFonts w:cs="Times New Roman"/>
          <w:b/>
          <w:bCs/>
          <w:i/>
          <w:iCs/>
          <w:szCs w:val="23"/>
        </w:rPr>
        <w:t xml:space="preserve">Abstract: </w:t>
      </w:r>
      <w:r w:rsidRPr="00AB0966">
        <w:rPr>
          <w:rFonts w:cs="Times New Roman"/>
          <w:iCs/>
          <w:szCs w:val="23"/>
        </w:rPr>
        <w:t xml:space="preserve">The EU is founded on the rule of law as enshrined in Article 2 TEU. Nevertheless, recent developments within certain Member States demonstrate that not all Member States are able to keep up with the high standards of the rule of law during their membership. The EU has already several specific tools at its disposal to govern the rule of law in its Member States, such as the Cooperation and Verification Mechanism for Romania and Bulgaria, Article 7 TEU and the original infringement procedure of Article 258 TFEU. Albeit the fact that various mechanisms exist, new rule of law crises – such as the one in Hungary and recently in Poland – emerged. This suggests that the existing EU legal framework to govern the rule of law has certain limitations and to a certain extent shortcomings, not enabling the EU to govern effectively the rule of law in its Member States. Due to this ineffective and inadequate rule of law governing by the EU, new rule of law mechanisms have been instigated by each new rule of law crisis. The Hungarian crisis starting in 2012 after the Fidesz Party became the new leading party in the Hungarian government ultimately led to the establishment of the EU Framework to strengthen the rule of law in 2014 by the European Commission. As a reaction, the Council of Ministers in turn created its own Rule of Law Dialogue. The recent Polish Constitutional crisis on the other hand reopened the discussion about the ineffectiveness of the existing rule of law governing mechanisms. Consequently, the European Parliament initiated a EU Mechanism on Democracy, the Rule of Law and Fundamental Right. Hence, each new national rule of law crisis contributes to a proliferation of new mechanisms. The aim of this paper, therefore, is to assess these new rule of law mechanisms in the light of the </w:t>
      </w:r>
      <w:r w:rsidR="00FF09F7">
        <w:rPr>
          <w:rFonts w:cs="Times New Roman"/>
          <w:iCs/>
          <w:szCs w:val="23"/>
        </w:rPr>
        <w:t>most recent rule of law crisis in Poland</w:t>
      </w:r>
      <w:r w:rsidRPr="00AB0966">
        <w:rPr>
          <w:rFonts w:cs="Times New Roman"/>
          <w:iCs/>
          <w:szCs w:val="23"/>
        </w:rPr>
        <w:t>.</w:t>
      </w:r>
    </w:p>
    <w:p w14:paraId="34C5382B" w14:textId="77777777" w:rsidR="00AA1CCD" w:rsidRPr="00722378" w:rsidRDefault="00AA1CCD" w:rsidP="00AA1CCD">
      <w:pPr>
        <w:rPr>
          <w:rFonts w:cs="Times New Roman"/>
          <w:bCs/>
          <w:iCs/>
          <w:szCs w:val="23"/>
        </w:rPr>
      </w:pPr>
    </w:p>
    <w:p w14:paraId="1D826DEA" w14:textId="77777777" w:rsidR="00DD64E3" w:rsidRPr="00722378" w:rsidRDefault="00DD64E3" w:rsidP="005B3745">
      <w:pPr>
        <w:pStyle w:val="Doorlopendetekst"/>
        <w:rPr>
          <w:rFonts w:asciiTheme="majorHAnsi" w:hAnsiTheme="majorHAnsi"/>
          <w:i/>
        </w:rPr>
      </w:pPr>
    </w:p>
    <w:p w14:paraId="2FBF7370" w14:textId="77777777" w:rsidR="00B94BDC" w:rsidRPr="00722378" w:rsidRDefault="00B94BDC">
      <w:pPr>
        <w:tabs>
          <w:tab w:val="clear" w:pos="425"/>
        </w:tabs>
        <w:spacing w:after="160" w:line="259" w:lineRule="auto"/>
        <w:jc w:val="left"/>
        <w:rPr>
          <w:i/>
        </w:rPr>
        <w:sectPr w:rsidR="00B94BDC" w:rsidRPr="00722378">
          <w:footerReference w:type="even" r:id="rId10"/>
          <w:footerReference w:type="default" r:id="rId11"/>
          <w:pgSz w:w="11906" w:h="16838"/>
          <w:pgMar w:top="1417" w:right="1417" w:bottom="1417" w:left="1417" w:header="708" w:footer="708" w:gutter="0"/>
          <w:cols w:space="708"/>
          <w:docGrid w:linePitch="360"/>
        </w:sectPr>
      </w:pPr>
    </w:p>
    <w:sdt>
      <w:sdtPr>
        <w:rPr>
          <w:rFonts w:ascii="Times New Roman" w:eastAsiaTheme="minorEastAsia" w:hAnsi="Times New Roman" w:cstheme="minorBidi"/>
          <w:color w:val="auto"/>
          <w:sz w:val="24"/>
          <w:szCs w:val="22"/>
          <w:lang w:val="nl-NL" w:eastAsia="nl-NL"/>
        </w:rPr>
        <w:id w:val="637230863"/>
        <w:docPartObj>
          <w:docPartGallery w:val="Table of Contents"/>
          <w:docPartUnique/>
        </w:docPartObj>
      </w:sdtPr>
      <w:sdtEndPr>
        <w:rPr>
          <w:rFonts w:asciiTheme="majorHAnsi" w:hAnsiTheme="majorHAnsi"/>
          <w:b/>
          <w:bCs/>
          <w:sz w:val="22"/>
        </w:rPr>
      </w:sdtEndPr>
      <w:sdtContent>
        <w:p w14:paraId="5EBC69D3" w14:textId="77777777" w:rsidR="00EB1EA4" w:rsidRPr="00B35252" w:rsidRDefault="00EB1EA4" w:rsidP="00601458">
          <w:pPr>
            <w:pStyle w:val="Kopvaninhoudsopgave"/>
            <w:rPr>
              <w:lang w:val="nl-NL"/>
            </w:rPr>
          </w:pPr>
          <w:r w:rsidRPr="00B35252">
            <w:rPr>
              <w:lang w:val="nl-NL"/>
            </w:rPr>
            <w:t>Table of conte</w:t>
          </w:r>
          <w:bookmarkStart w:id="0" w:name="_GoBack"/>
          <w:bookmarkEnd w:id="0"/>
          <w:r w:rsidRPr="00B35252">
            <w:rPr>
              <w:lang w:val="nl-NL"/>
            </w:rPr>
            <w:t>nt</w:t>
          </w:r>
        </w:p>
        <w:p w14:paraId="7D34B132" w14:textId="77777777" w:rsidR="00EB1EA4" w:rsidRPr="00B35252" w:rsidRDefault="00EB1EA4" w:rsidP="00EB1EA4">
          <w:pPr>
            <w:rPr>
              <w:lang w:val="nl-NL" w:eastAsia="en-GB"/>
            </w:rPr>
          </w:pPr>
        </w:p>
        <w:p w14:paraId="55CBF9BD" w14:textId="77777777" w:rsidR="0091679B" w:rsidRDefault="006534CA">
          <w:pPr>
            <w:pStyle w:val="Inhopg1"/>
            <w:tabs>
              <w:tab w:val="left" w:pos="351"/>
              <w:tab w:val="right" w:leader="dot" w:pos="9062"/>
            </w:tabs>
            <w:rPr>
              <w:rFonts w:asciiTheme="minorHAnsi" w:hAnsiTheme="minorHAnsi"/>
              <w:noProof/>
              <w:sz w:val="24"/>
              <w:szCs w:val="24"/>
              <w:lang w:val="nl-BE" w:eastAsia="ja-JP"/>
            </w:rPr>
          </w:pPr>
          <w:r>
            <w:fldChar w:fldCharType="begin"/>
          </w:r>
          <w:r>
            <w:instrText xml:space="preserve"> TOC \o "1-4" \h \z \u </w:instrText>
          </w:r>
          <w:r>
            <w:fldChar w:fldCharType="separate"/>
          </w:r>
          <w:r w:rsidR="0091679B" w:rsidRPr="00B31C6C">
            <w:rPr>
              <w:noProof/>
              <w:color w:val="000000"/>
            </w:rPr>
            <w:t>I.</w:t>
          </w:r>
          <w:r w:rsidR="0091679B">
            <w:rPr>
              <w:rFonts w:asciiTheme="minorHAnsi" w:hAnsiTheme="minorHAnsi"/>
              <w:noProof/>
              <w:sz w:val="24"/>
              <w:szCs w:val="24"/>
              <w:lang w:val="nl-BE" w:eastAsia="ja-JP"/>
            </w:rPr>
            <w:tab/>
          </w:r>
          <w:r w:rsidR="0091679B">
            <w:rPr>
              <w:noProof/>
            </w:rPr>
            <w:t>Introduction</w:t>
          </w:r>
          <w:r w:rsidR="0091679B">
            <w:rPr>
              <w:noProof/>
            </w:rPr>
            <w:tab/>
          </w:r>
          <w:r w:rsidR="0091679B">
            <w:rPr>
              <w:noProof/>
            </w:rPr>
            <w:fldChar w:fldCharType="begin"/>
          </w:r>
          <w:r w:rsidR="0091679B">
            <w:rPr>
              <w:noProof/>
            </w:rPr>
            <w:instrText xml:space="preserve"> PAGEREF _Toc354987639 \h </w:instrText>
          </w:r>
          <w:r w:rsidR="0091679B">
            <w:rPr>
              <w:noProof/>
            </w:rPr>
          </w:r>
          <w:r w:rsidR="0091679B">
            <w:rPr>
              <w:noProof/>
            </w:rPr>
            <w:fldChar w:fldCharType="separate"/>
          </w:r>
          <w:r w:rsidR="0091679B">
            <w:rPr>
              <w:noProof/>
            </w:rPr>
            <w:t>3</w:t>
          </w:r>
          <w:r w:rsidR="0091679B">
            <w:rPr>
              <w:noProof/>
            </w:rPr>
            <w:fldChar w:fldCharType="end"/>
          </w:r>
        </w:p>
        <w:p w14:paraId="0D38AE9D" w14:textId="77777777" w:rsidR="0091679B" w:rsidRDefault="0091679B">
          <w:pPr>
            <w:pStyle w:val="Inhopg1"/>
            <w:tabs>
              <w:tab w:val="left" w:pos="406"/>
              <w:tab w:val="right" w:leader="dot" w:pos="9062"/>
            </w:tabs>
            <w:rPr>
              <w:rFonts w:asciiTheme="minorHAnsi" w:hAnsiTheme="minorHAnsi"/>
              <w:noProof/>
              <w:sz w:val="24"/>
              <w:szCs w:val="24"/>
              <w:lang w:val="nl-BE" w:eastAsia="ja-JP"/>
            </w:rPr>
          </w:pPr>
          <w:r w:rsidRPr="00B31C6C">
            <w:rPr>
              <w:noProof/>
              <w:color w:val="000000"/>
            </w:rPr>
            <w:t>II.</w:t>
          </w:r>
          <w:r>
            <w:rPr>
              <w:rFonts w:asciiTheme="minorHAnsi" w:hAnsiTheme="minorHAnsi"/>
              <w:noProof/>
              <w:sz w:val="24"/>
              <w:szCs w:val="24"/>
              <w:lang w:val="nl-BE" w:eastAsia="ja-JP"/>
            </w:rPr>
            <w:tab/>
          </w:r>
          <w:r>
            <w:rPr>
              <w:noProof/>
            </w:rPr>
            <w:t>The proliferation of institutional creations in times of crisis</w:t>
          </w:r>
          <w:r>
            <w:rPr>
              <w:noProof/>
            </w:rPr>
            <w:tab/>
          </w:r>
          <w:r>
            <w:rPr>
              <w:noProof/>
            </w:rPr>
            <w:fldChar w:fldCharType="begin"/>
          </w:r>
          <w:r>
            <w:rPr>
              <w:noProof/>
            </w:rPr>
            <w:instrText xml:space="preserve"> PAGEREF _Toc354987640 \h </w:instrText>
          </w:r>
          <w:r>
            <w:rPr>
              <w:noProof/>
            </w:rPr>
          </w:r>
          <w:r>
            <w:rPr>
              <w:noProof/>
            </w:rPr>
            <w:fldChar w:fldCharType="separate"/>
          </w:r>
          <w:r>
            <w:rPr>
              <w:noProof/>
            </w:rPr>
            <w:t>5</w:t>
          </w:r>
          <w:r>
            <w:rPr>
              <w:noProof/>
            </w:rPr>
            <w:fldChar w:fldCharType="end"/>
          </w:r>
        </w:p>
        <w:p w14:paraId="528F868A" w14:textId="77777777" w:rsidR="0091679B" w:rsidRDefault="0091679B">
          <w:pPr>
            <w:pStyle w:val="Inhopg2"/>
            <w:tabs>
              <w:tab w:val="left" w:pos="652"/>
            </w:tabs>
            <w:rPr>
              <w:rFonts w:asciiTheme="minorHAnsi" w:hAnsiTheme="minorHAnsi"/>
              <w:noProof/>
              <w:sz w:val="24"/>
              <w:szCs w:val="24"/>
              <w:lang w:val="nl-BE" w:eastAsia="ja-JP"/>
            </w:rPr>
          </w:pPr>
          <w:r>
            <w:rPr>
              <w:noProof/>
            </w:rPr>
            <w:t>a)</w:t>
          </w:r>
          <w:r>
            <w:rPr>
              <w:rFonts w:asciiTheme="minorHAnsi" w:hAnsiTheme="minorHAnsi"/>
              <w:noProof/>
              <w:sz w:val="24"/>
              <w:szCs w:val="24"/>
              <w:lang w:val="nl-BE" w:eastAsia="ja-JP"/>
            </w:rPr>
            <w:tab/>
          </w:r>
          <w:r>
            <w:rPr>
              <w:noProof/>
            </w:rPr>
            <w:t>Abstention before prevention: the Commission's EU Rule of Law Framework</w:t>
          </w:r>
          <w:r>
            <w:rPr>
              <w:noProof/>
            </w:rPr>
            <w:tab/>
          </w:r>
          <w:r>
            <w:rPr>
              <w:noProof/>
            </w:rPr>
            <w:fldChar w:fldCharType="begin"/>
          </w:r>
          <w:r>
            <w:rPr>
              <w:noProof/>
            </w:rPr>
            <w:instrText xml:space="preserve"> PAGEREF _Toc354987641 \h </w:instrText>
          </w:r>
          <w:r>
            <w:rPr>
              <w:noProof/>
            </w:rPr>
          </w:r>
          <w:r>
            <w:rPr>
              <w:noProof/>
            </w:rPr>
            <w:fldChar w:fldCharType="separate"/>
          </w:r>
          <w:r>
            <w:rPr>
              <w:noProof/>
            </w:rPr>
            <w:t>5</w:t>
          </w:r>
          <w:r>
            <w:rPr>
              <w:noProof/>
            </w:rPr>
            <w:fldChar w:fldCharType="end"/>
          </w:r>
        </w:p>
        <w:p w14:paraId="67293D3D" w14:textId="77777777" w:rsidR="0091679B" w:rsidRDefault="0091679B">
          <w:pPr>
            <w:pStyle w:val="Inhopg3"/>
            <w:tabs>
              <w:tab w:val="left" w:pos="887"/>
              <w:tab w:val="right" w:leader="dot" w:pos="9062"/>
            </w:tabs>
            <w:rPr>
              <w:rFonts w:asciiTheme="minorHAnsi" w:hAnsiTheme="minorHAnsi"/>
              <w:noProof/>
              <w:sz w:val="24"/>
              <w:szCs w:val="24"/>
              <w:lang w:val="nl-BE" w:eastAsia="ja-JP"/>
            </w:rPr>
          </w:pPr>
          <w:r>
            <w:rPr>
              <w:noProof/>
            </w:rPr>
            <w:t>1.</w:t>
          </w:r>
          <w:r>
            <w:rPr>
              <w:rFonts w:asciiTheme="minorHAnsi" w:hAnsiTheme="minorHAnsi"/>
              <w:noProof/>
              <w:sz w:val="24"/>
              <w:szCs w:val="24"/>
              <w:lang w:val="nl-BE" w:eastAsia="ja-JP"/>
            </w:rPr>
            <w:tab/>
          </w:r>
          <w:r>
            <w:rPr>
              <w:noProof/>
            </w:rPr>
            <w:t>Introduction</w:t>
          </w:r>
          <w:r>
            <w:rPr>
              <w:noProof/>
            </w:rPr>
            <w:tab/>
          </w:r>
          <w:r>
            <w:rPr>
              <w:noProof/>
            </w:rPr>
            <w:fldChar w:fldCharType="begin"/>
          </w:r>
          <w:r>
            <w:rPr>
              <w:noProof/>
            </w:rPr>
            <w:instrText xml:space="preserve"> PAGEREF _Toc354987642 \h </w:instrText>
          </w:r>
          <w:r>
            <w:rPr>
              <w:noProof/>
            </w:rPr>
          </w:r>
          <w:r>
            <w:rPr>
              <w:noProof/>
            </w:rPr>
            <w:fldChar w:fldCharType="separate"/>
          </w:r>
          <w:r>
            <w:rPr>
              <w:noProof/>
            </w:rPr>
            <w:t>5</w:t>
          </w:r>
          <w:r>
            <w:rPr>
              <w:noProof/>
            </w:rPr>
            <w:fldChar w:fldCharType="end"/>
          </w:r>
        </w:p>
        <w:p w14:paraId="341F3696" w14:textId="77777777" w:rsidR="0091679B" w:rsidRDefault="0091679B">
          <w:pPr>
            <w:pStyle w:val="Inhopg3"/>
            <w:tabs>
              <w:tab w:val="left" w:pos="887"/>
              <w:tab w:val="right" w:leader="dot" w:pos="9062"/>
            </w:tabs>
            <w:rPr>
              <w:rFonts w:asciiTheme="minorHAnsi" w:hAnsiTheme="minorHAnsi"/>
              <w:noProof/>
              <w:sz w:val="24"/>
              <w:szCs w:val="24"/>
              <w:lang w:val="nl-BE" w:eastAsia="ja-JP"/>
            </w:rPr>
          </w:pPr>
          <w:r>
            <w:rPr>
              <w:noProof/>
            </w:rPr>
            <w:t>2.</w:t>
          </w:r>
          <w:r>
            <w:rPr>
              <w:rFonts w:asciiTheme="minorHAnsi" w:hAnsiTheme="minorHAnsi"/>
              <w:noProof/>
              <w:sz w:val="24"/>
              <w:szCs w:val="24"/>
              <w:lang w:val="nl-BE" w:eastAsia="ja-JP"/>
            </w:rPr>
            <w:tab/>
          </w:r>
          <w:r>
            <w:rPr>
              <w:noProof/>
            </w:rPr>
            <w:t>Theoretical setting of the new Rule of Law Framework</w:t>
          </w:r>
          <w:r>
            <w:rPr>
              <w:noProof/>
            </w:rPr>
            <w:tab/>
          </w:r>
          <w:r>
            <w:rPr>
              <w:noProof/>
            </w:rPr>
            <w:fldChar w:fldCharType="begin"/>
          </w:r>
          <w:r>
            <w:rPr>
              <w:noProof/>
            </w:rPr>
            <w:instrText xml:space="preserve"> PAGEREF _Toc354987643 \h </w:instrText>
          </w:r>
          <w:r>
            <w:rPr>
              <w:noProof/>
            </w:rPr>
          </w:r>
          <w:r>
            <w:rPr>
              <w:noProof/>
            </w:rPr>
            <w:fldChar w:fldCharType="separate"/>
          </w:r>
          <w:r>
            <w:rPr>
              <w:noProof/>
            </w:rPr>
            <w:t>7</w:t>
          </w:r>
          <w:r>
            <w:rPr>
              <w:noProof/>
            </w:rPr>
            <w:fldChar w:fldCharType="end"/>
          </w:r>
        </w:p>
        <w:p w14:paraId="2C7DE1C6" w14:textId="77777777" w:rsidR="0091679B" w:rsidRDefault="0091679B">
          <w:pPr>
            <w:pStyle w:val="Inhopg4"/>
            <w:tabs>
              <w:tab w:val="right" w:leader="dot" w:pos="9062"/>
            </w:tabs>
            <w:rPr>
              <w:rFonts w:asciiTheme="minorHAnsi" w:hAnsiTheme="minorHAnsi"/>
              <w:noProof/>
              <w:sz w:val="24"/>
              <w:szCs w:val="24"/>
              <w:lang w:val="nl-BE" w:eastAsia="ja-JP"/>
            </w:rPr>
          </w:pPr>
          <w:r>
            <w:rPr>
              <w:noProof/>
            </w:rPr>
            <w:t>First stage: Commission Assessment</w:t>
          </w:r>
          <w:r>
            <w:rPr>
              <w:noProof/>
            </w:rPr>
            <w:tab/>
          </w:r>
          <w:r>
            <w:rPr>
              <w:noProof/>
            </w:rPr>
            <w:fldChar w:fldCharType="begin"/>
          </w:r>
          <w:r>
            <w:rPr>
              <w:noProof/>
            </w:rPr>
            <w:instrText xml:space="preserve"> PAGEREF _Toc354987644 \h </w:instrText>
          </w:r>
          <w:r>
            <w:rPr>
              <w:noProof/>
            </w:rPr>
          </w:r>
          <w:r>
            <w:rPr>
              <w:noProof/>
            </w:rPr>
            <w:fldChar w:fldCharType="separate"/>
          </w:r>
          <w:r>
            <w:rPr>
              <w:noProof/>
            </w:rPr>
            <w:t>7</w:t>
          </w:r>
          <w:r>
            <w:rPr>
              <w:noProof/>
            </w:rPr>
            <w:fldChar w:fldCharType="end"/>
          </w:r>
        </w:p>
        <w:p w14:paraId="744B3521" w14:textId="77777777" w:rsidR="0091679B" w:rsidRDefault="0091679B">
          <w:pPr>
            <w:pStyle w:val="Inhopg4"/>
            <w:tabs>
              <w:tab w:val="right" w:leader="dot" w:pos="9062"/>
            </w:tabs>
            <w:rPr>
              <w:rFonts w:asciiTheme="minorHAnsi" w:hAnsiTheme="minorHAnsi"/>
              <w:noProof/>
              <w:sz w:val="24"/>
              <w:szCs w:val="24"/>
              <w:lang w:val="nl-BE" w:eastAsia="ja-JP"/>
            </w:rPr>
          </w:pPr>
          <w:r>
            <w:rPr>
              <w:noProof/>
            </w:rPr>
            <w:t>Second stage: Commission Recommendation</w:t>
          </w:r>
          <w:r>
            <w:rPr>
              <w:noProof/>
            </w:rPr>
            <w:tab/>
          </w:r>
          <w:r>
            <w:rPr>
              <w:noProof/>
            </w:rPr>
            <w:fldChar w:fldCharType="begin"/>
          </w:r>
          <w:r>
            <w:rPr>
              <w:noProof/>
            </w:rPr>
            <w:instrText xml:space="preserve"> PAGEREF _Toc354987645 \h </w:instrText>
          </w:r>
          <w:r>
            <w:rPr>
              <w:noProof/>
            </w:rPr>
          </w:r>
          <w:r>
            <w:rPr>
              <w:noProof/>
            </w:rPr>
            <w:fldChar w:fldCharType="separate"/>
          </w:r>
          <w:r>
            <w:rPr>
              <w:noProof/>
            </w:rPr>
            <w:t>10</w:t>
          </w:r>
          <w:r>
            <w:rPr>
              <w:noProof/>
            </w:rPr>
            <w:fldChar w:fldCharType="end"/>
          </w:r>
        </w:p>
        <w:p w14:paraId="044228C8" w14:textId="77777777" w:rsidR="0091679B" w:rsidRDefault="0091679B">
          <w:pPr>
            <w:pStyle w:val="Inhopg4"/>
            <w:tabs>
              <w:tab w:val="right" w:leader="dot" w:pos="9062"/>
            </w:tabs>
            <w:rPr>
              <w:rFonts w:asciiTheme="minorHAnsi" w:hAnsiTheme="minorHAnsi"/>
              <w:noProof/>
              <w:sz w:val="24"/>
              <w:szCs w:val="24"/>
              <w:lang w:val="nl-BE" w:eastAsia="ja-JP"/>
            </w:rPr>
          </w:pPr>
          <w:r>
            <w:rPr>
              <w:noProof/>
            </w:rPr>
            <w:t>Third stage: Follow-up to the Commission Recommendation</w:t>
          </w:r>
          <w:r>
            <w:rPr>
              <w:noProof/>
            </w:rPr>
            <w:tab/>
          </w:r>
          <w:r>
            <w:rPr>
              <w:noProof/>
            </w:rPr>
            <w:fldChar w:fldCharType="begin"/>
          </w:r>
          <w:r>
            <w:rPr>
              <w:noProof/>
            </w:rPr>
            <w:instrText xml:space="preserve"> PAGEREF _Toc354987646 \h </w:instrText>
          </w:r>
          <w:r>
            <w:rPr>
              <w:noProof/>
            </w:rPr>
          </w:r>
          <w:r>
            <w:rPr>
              <w:noProof/>
            </w:rPr>
            <w:fldChar w:fldCharType="separate"/>
          </w:r>
          <w:r>
            <w:rPr>
              <w:noProof/>
            </w:rPr>
            <w:t>11</w:t>
          </w:r>
          <w:r>
            <w:rPr>
              <w:noProof/>
            </w:rPr>
            <w:fldChar w:fldCharType="end"/>
          </w:r>
        </w:p>
        <w:p w14:paraId="79232272" w14:textId="77777777" w:rsidR="0091679B" w:rsidRDefault="0091679B">
          <w:pPr>
            <w:pStyle w:val="Inhopg4"/>
            <w:tabs>
              <w:tab w:val="right" w:leader="dot" w:pos="9062"/>
            </w:tabs>
            <w:rPr>
              <w:rFonts w:asciiTheme="minorHAnsi" w:hAnsiTheme="minorHAnsi"/>
              <w:noProof/>
              <w:sz w:val="24"/>
              <w:szCs w:val="24"/>
              <w:lang w:val="nl-BE" w:eastAsia="ja-JP"/>
            </w:rPr>
          </w:pPr>
          <w:r>
            <w:rPr>
              <w:noProof/>
            </w:rPr>
            <w:t>Caveats on the Rule of Law Framework?</w:t>
          </w:r>
          <w:r>
            <w:rPr>
              <w:noProof/>
            </w:rPr>
            <w:tab/>
          </w:r>
          <w:r>
            <w:rPr>
              <w:noProof/>
            </w:rPr>
            <w:fldChar w:fldCharType="begin"/>
          </w:r>
          <w:r>
            <w:rPr>
              <w:noProof/>
            </w:rPr>
            <w:instrText xml:space="preserve"> PAGEREF _Toc354987647 \h </w:instrText>
          </w:r>
          <w:r>
            <w:rPr>
              <w:noProof/>
            </w:rPr>
          </w:r>
          <w:r>
            <w:rPr>
              <w:noProof/>
            </w:rPr>
            <w:fldChar w:fldCharType="separate"/>
          </w:r>
          <w:r>
            <w:rPr>
              <w:noProof/>
            </w:rPr>
            <w:t>11</w:t>
          </w:r>
          <w:r>
            <w:rPr>
              <w:noProof/>
            </w:rPr>
            <w:fldChar w:fldCharType="end"/>
          </w:r>
        </w:p>
        <w:p w14:paraId="53ED6C8B" w14:textId="77777777" w:rsidR="0091679B" w:rsidRDefault="0091679B">
          <w:pPr>
            <w:pStyle w:val="Inhopg3"/>
            <w:tabs>
              <w:tab w:val="left" w:pos="887"/>
              <w:tab w:val="right" w:leader="dot" w:pos="9062"/>
            </w:tabs>
            <w:rPr>
              <w:rFonts w:asciiTheme="minorHAnsi" w:hAnsiTheme="minorHAnsi"/>
              <w:noProof/>
              <w:sz w:val="24"/>
              <w:szCs w:val="24"/>
              <w:lang w:val="nl-BE" w:eastAsia="ja-JP"/>
            </w:rPr>
          </w:pPr>
          <w:r>
            <w:rPr>
              <w:noProof/>
            </w:rPr>
            <w:t>3.</w:t>
          </w:r>
          <w:r>
            <w:rPr>
              <w:rFonts w:asciiTheme="minorHAnsi" w:hAnsiTheme="minorHAnsi"/>
              <w:noProof/>
              <w:sz w:val="24"/>
              <w:szCs w:val="24"/>
              <w:lang w:val="nl-BE" w:eastAsia="ja-JP"/>
            </w:rPr>
            <w:tab/>
          </w:r>
          <w:r>
            <w:rPr>
              <w:noProof/>
            </w:rPr>
            <w:t>Putting theory into practise: first application of the Rule of Law Framework in the rule of law crisis of Poland</w:t>
          </w:r>
          <w:r>
            <w:rPr>
              <w:noProof/>
            </w:rPr>
            <w:tab/>
          </w:r>
          <w:r>
            <w:rPr>
              <w:noProof/>
            </w:rPr>
            <w:fldChar w:fldCharType="begin"/>
          </w:r>
          <w:r>
            <w:rPr>
              <w:noProof/>
            </w:rPr>
            <w:instrText xml:space="preserve"> PAGEREF _Toc354987648 \h </w:instrText>
          </w:r>
          <w:r>
            <w:rPr>
              <w:noProof/>
            </w:rPr>
          </w:r>
          <w:r>
            <w:rPr>
              <w:noProof/>
            </w:rPr>
            <w:fldChar w:fldCharType="separate"/>
          </w:r>
          <w:r>
            <w:rPr>
              <w:noProof/>
            </w:rPr>
            <w:t>13</w:t>
          </w:r>
          <w:r>
            <w:rPr>
              <w:noProof/>
            </w:rPr>
            <w:fldChar w:fldCharType="end"/>
          </w:r>
        </w:p>
        <w:p w14:paraId="5669F785" w14:textId="77777777" w:rsidR="0091679B" w:rsidRDefault="0091679B">
          <w:pPr>
            <w:pStyle w:val="Inhopg4"/>
            <w:tabs>
              <w:tab w:val="right" w:leader="dot" w:pos="9062"/>
            </w:tabs>
            <w:rPr>
              <w:rFonts w:asciiTheme="minorHAnsi" w:hAnsiTheme="minorHAnsi"/>
              <w:noProof/>
              <w:sz w:val="24"/>
              <w:szCs w:val="24"/>
              <w:lang w:val="nl-BE" w:eastAsia="ja-JP"/>
            </w:rPr>
          </w:pPr>
          <w:r>
            <w:rPr>
              <w:noProof/>
            </w:rPr>
            <w:t>The run-up to the activation of the Rule of Law Framework</w:t>
          </w:r>
          <w:r>
            <w:rPr>
              <w:noProof/>
            </w:rPr>
            <w:tab/>
          </w:r>
          <w:r>
            <w:rPr>
              <w:noProof/>
            </w:rPr>
            <w:fldChar w:fldCharType="begin"/>
          </w:r>
          <w:r>
            <w:rPr>
              <w:noProof/>
            </w:rPr>
            <w:instrText xml:space="preserve"> PAGEREF _Toc354987649 \h </w:instrText>
          </w:r>
          <w:r>
            <w:rPr>
              <w:noProof/>
            </w:rPr>
          </w:r>
          <w:r>
            <w:rPr>
              <w:noProof/>
            </w:rPr>
            <w:fldChar w:fldCharType="separate"/>
          </w:r>
          <w:r>
            <w:rPr>
              <w:noProof/>
            </w:rPr>
            <w:t>13</w:t>
          </w:r>
          <w:r>
            <w:rPr>
              <w:noProof/>
            </w:rPr>
            <w:fldChar w:fldCharType="end"/>
          </w:r>
        </w:p>
        <w:p w14:paraId="3A49A027" w14:textId="77777777" w:rsidR="0091679B" w:rsidRDefault="0091679B">
          <w:pPr>
            <w:pStyle w:val="Inhopg4"/>
            <w:tabs>
              <w:tab w:val="right" w:leader="dot" w:pos="9062"/>
            </w:tabs>
            <w:rPr>
              <w:rFonts w:asciiTheme="minorHAnsi" w:hAnsiTheme="minorHAnsi"/>
              <w:noProof/>
              <w:sz w:val="24"/>
              <w:szCs w:val="24"/>
              <w:lang w:val="nl-BE" w:eastAsia="ja-JP"/>
            </w:rPr>
          </w:pPr>
          <w:r>
            <w:rPr>
              <w:noProof/>
            </w:rPr>
            <w:t>First stage: Commission Assessment</w:t>
          </w:r>
          <w:r>
            <w:rPr>
              <w:noProof/>
            </w:rPr>
            <w:tab/>
          </w:r>
          <w:r>
            <w:rPr>
              <w:noProof/>
            </w:rPr>
            <w:fldChar w:fldCharType="begin"/>
          </w:r>
          <w:r>
            <w:rPr>
              <w:noProof/>
            </w:rPr>
            <w:instrText xml:space="preserve"> PAGEREF _Toc354987650 \h </w:instrText>
          </w:r>
          <w:r>
            <w:rPr>
              <w:noProof/>
            </w:rPr>
          </w:r>
          <w:r>
            <w:rPr>
              <w:noProof/>
            </w:rPr>
            <w:fldChar w:fldCharType="separate"/>
          </w:r>
          <w:r>
            <w:rPr>
              <w:noProof/>
            </w:rPr>
            <w:t>14</w:t>
          </w:r>
          <w:r>
            <w:rPr>
              <w:noProof/>
            </w:rPr>
            <w:fldChar w:fldCharType="end"/>
          </w:r>
        </w:p>
        <w:p w14:paraId="3591D528" w14:textId="77777777" w:rsidR="0091679B" w:rsidRDefault="0091679B">
          <w:pPr>
            <w:pStyle w:val="Inhopg4"/>
            <w:tabs>
              <w:tab w:val="right" w:leader="dot" w:pos="9062"/>
            </w:tabs>
            <w:rPr>
              <w:rFonts w:asciiTheme="minorHAnsi" w:hAnsiTheme="minorHAnsi"/>
              <w:noProof/>
              <w:sz w:val="24"/>
              <w:szCs w:val="24"/>
              <w:lang w:val="nl-BE" w:eastAsia="ja-JP"/>
            </w:rPr>
          </w:pPr>
          <w:r>
            <w:rPr>
              <w:noProof/>
            </w:rPr>
            <w:t>Second stage: Commission Recommendation</w:t>
          </w:r>
          <w:r>
            <w:rPr>
              <w:noProof/>
            </w:rPr>
            <w:tab/>
          </w:r>
          <w:r>
            <w:rPr>
              <w:noProof/>
            </w:rPr>
            <w:fldChar w:fldCharType="begin"/>
          </w:r>
          <w:r>
            <w:rPr>
              <w:noProof/>
            </w:rPr>
            <w:instrText xml:space="preserve"> PAGEREF _Toc354987651 \h </w:instrText>
          </w:r>
          <w:r>
            <w:rPr>
              <w:noProof/>
            </w:rPr>
          </w:r>
          <w:r>
            <w:rPr>
              <w:noProof/>
            </w:rPr>
            <w:fldChar w:fldCharType="separate"/>
          </w:r>
          <w:r>
            <w:rPr>
              <w:noProof/>
            </w:rPr>
            <w:t>16</w:t>
          </w:r>
          <w:r>
            <w:rPr>
              <w:noProof/>
            </w:rPr>
            <w:fldChar w:fldCharType="end"/>
          </w:r>
        </w:p>
        <w:p w14:paraId="36AB22F8" w14:textId="77777777" w:rsidR="0091679B" w:rsidRDefault="0091679B">
          <w:pPr>
            <w:pStyle w:val="Inhopg4"/>
            <w:tabs>
              <w:tab w:val="right" w:leader="dot" w:pos="9062"/>
            </w:tabs>
            <w:rPr>
              <w:rFonts w:asciiTheme="minorHAnsi" w:hAnsiTheme="minorHAnsi"/>
              <w:noProof/>
              <w:sz w:val="24"/>
              <w:szCs w:val="24"/>
              <w:lang w:val="nl-BE" w:eastAsia="ja-JP"/>
            </w:rPr>
          </w:pPr>
          <w:r>
            <w:rPr>
              <w:noProof/>
            </w:rPr>
            <w:t>Third stage: Follow-up to Commission Recommendation</w:t>
          </w:r>
          <w:r>
            <w:rPr>
              <w:noProof/>
            </w:rPr>
            <w:tab/>
          </w:r>
          <w:r>
            <w:rPr>
              <w:noProof/>
            </w:rPr>
            <w:fldChar w:fldCharType="begin"/>
          </w:r>
          <w:r>
            <w:rPr>
              <w:noProof/>
            </w:rPr>
            <w:instrText xml:space="preserve"> PAGEREF _Toc354987652 \h </w:instrText>
          </w:r>
          <w:r>
            <w:rPr>
              <w:noProof/>
            </w:rPr>
          </w:r>
          <w:r>
            <w:rPr>
              <w:noProof/>
            </w:rPr>
            <w:fldChar w:fldCharType="separate"/>
          </w:r>
          <w:r>
            <w:rPr>
              <w:noProof/>
            </w:rPr>
            <w:t>18</w:t>
          </w:r>
          <w:r>
            <w:rPr>
              <w:noProof/>
            </w:rPr>
            <w:fldChar w:fldCharType="end"/>
          </w:r>
        </w:p>
        <w:p w14:paraId="5E6949DA" w14:textId="77777777" w:rsidR="0091679B" w:rsidRDefault="0091679B">
          <w:pPr>
            <w:pStyle w:val="Inhopg4"/>
            <w:tabs>
              <w:tab w:val="right" w:leader="dot" w:pos="9062"/>
            </w:tabs>
            <w:rPr>
              <w:rFonts w:asciiTheme="minorHAnsi" w:hAnsiTheme="minorHAnsi"/>
              <w:noProof/>
              <w:sz w:val="24"/>
              <w:szCs w:val="24"/>
              <w:lang w:val="nl-BE" w:eastAsia="ja-JP"/>
            </w:rPr>
          </w:pPr>
          <w:r>
            <w:rPr>
              <w:noProof/>
            </w:rPr>
            <w:t>Relaunch of the second stage</w:t>
          </w:r>
          <w:r>
            <w:rPr>
              <w:noProof/>
            </w:rPr>
            <w:tab/>
          </w:r>
          <w:r>
            <w:rPr>
              <w:noProof/>
            </w:rPr>
            <w:fldChar w:fldCharType="begin"/>
          </w:r>
          <w:r>
            <w:rPr>
              <w:noProof/>
            </w:rPr>
            <w:instrText xml:space="preserve"> PAGEREF _Toc354987653 \h </w:instrText>
          </w:r>
          <w:r>
            <w:rPr>
              <w:noProof/>
            </w:rPr>
          </w:r>
          <w:r>
            <w:rPr>
              <w:noProof/>
            </w:rPr>
            <w:fldChar w:fldCharType="separate"/>
          </w:r>
          <w:r>
            <w:rPr>
              <w:noProof/>
            </w:rPr>
            <w:t>19</w:t>
          </w:r>
          <w:r>
            <w:rPr>
              <w:noProof/>
            </w:rPr>
            <w:fldChar w:fldCharType="end"/>
          </w:r>
        </w:p>
        <w:p w14:paraId="08430E29" w14:textId="77777777" w:rsidR="0091679B" w:rsidRDefault="0091679B">
          <w:pPr>
            <w:pStyle w:val="Inhopg2"/>
            <w:tabs>
              <w:tab w:val="left" w:pos="662"/>
            </w:tabs>
            <w:rPr>
              <w:rFonts w:asciiTheme="minorHAnsi" w:hAnsiTheme="minorHAnsi"/>
              <w:noProof/>
              <w:sz w:val="24"/>
              <w:szCs w:val="24"/>
              <w:lang w:val="nl-BE" w:eastAsia="ja-JP"/>
            </w:rPr>
          </w:pPr>
          <w:r>
            <w:rPr>
              <w:noProof/>
            </w:rPr>
            <w:t>b)</w:t>
          </w:r>
          <w:r>
            <w:rPr>
              <w:rFonts w:asciiTheme="minorHAnsi" w:hAnsiTheme="minorHAnsi"/>
              <w:noProof/>
              <w:sz w:val="24"/>
              <w:szCs w:val="24"/>
              <w:lang w:val="nl-BE" w:eastAsia="ja-JP"/>
            </w:rPr>
            <w:tab/>
          </w:r>
          <w:r>
            <w:rPr>
              <w:noProof/>
            </w:rPr>
            <w:t>The Council’s inaction as reaction</w:t>
          </w:r>
          <w:r>
            <w:rPr>
              <w:noProof/>
            </w:rPr>
            <w:tab/>
          </w:r>
          <w:r>
            <w:rPr>
              <w:noProof/>
            </w:rPr>
            <w:fldChar w:fldCharType="begin"/>
          </w:r>
          <w:r>
            <w:rPr>
              <w:noProof/>
            </w:rPr>
            <w:instrText xml:space="preserve"> PAGEREF _Toc354987654 \h </w:instrText>
          </w:r>
          <w:r>
            <w:rPr>
              <w:noProof/>
            </w:rPr>
          </w:r>
          <w:r>
            <w:rPr>
              <w:noProof/>
            </w:rPr>
            <w:fldChar w:fldCharType="separate"/>
          </w:r>
          <w:r>
            <w:rPr>
              <w:noProof/>
            </w:rPr>
            <w:t>20</w:t>
          </w:r>
          <w:r>
            <w:rPr>
              <w:noProof/>
            </w:rPr>
            <w:fldChar w:fldCharType="end"/>
          </w:r>
        </w:p>
        <w:p w14:paraId="0F82E5D5" w14:textId="77777777" w:rsidR="0091679B" w:rsidRDefault="0091679B">
          <w:pPr>
            <w:pStyle w:val="Inhopg2"/>
            <w:tabs>
              <w:tab w:val="left" w:pos="640"/>
            </w:tabs>
            <w:rPr>
              <w:rFonts w:asciiTheme="minorHAnsi" w:hAnsiTheme="minorHAnsi"/>
              <w:noProof/>
              <w:sz w:val="24"/>
              <w:szCs w:val="24"/>
              <w:lang w:val="nl-BE" w:eastAsia="ja-JP"/>
            </w:rPr>
          </w:pPr>
          <w:r>
            <w:rPr>
              <w:noProof/>
            </w:rPr>
            <w:t>c)</w:t>
          </w:r>
          <w:r>
            <w:rPr>
              <w:rFonts w:asciiTheme="minorHAnsi" w:hAnsiTheme="minorHAnsi"/>
              <w:noProof/>
              <w:sz w:val="24"/>
              <w:szCs w:val="24"/>
              <w:lang w:val="nl-BE" w:eastAsia="ja-JP"/>
            </w:rPr>
            <w:tab/>
          </w:r>
          <w:r>
            <w:rPr>
              <w:noProof/>
            </w:rPr>
            <w:t>Cooperation instead of opposition: the Parliament</w:t>
          </w:r>
          <w:r>
            <w:rPr>
              <w:noProof/>
              <w:lang w:eastAsia="en-US"/>
            </w:rPr>
            <w:t>’s Inter-Institutional Pact</w:t>
          </w:r>
          <w:r>
            <w:rPr>
              <w:noProof/>
            </w:rPr>
            <w:tab/>
          </w:r>
          <w:r>
            <w:rPr>
              <w:noProof/>
            </w:rPr>
            <w:fldChar w:fldCharType="begin"/>
          </w:r>
          <w:r>
            <w:rPr>
              <w:noProof/>
            </w:rPr>
            <w:instrText xml:space="preserve"> PAGEREF _Toc354987655 \h </w:instrText>
          </w:r>
          <w:r>
            <w:rPr>
              <w:noProof/>
            </w:rPr>
          </w:r>
          <w:r>
            <w:rPr>
              <w:noProof/>
            </w:rPr>
            <w:fldChar w:fldCharType="separate"/>
          </w:r>
          <w:r>
            <w:rPr>
              <w:noProof/>
            </w:rPr>
            <w:t>22</w:t>
          </w:r>
          <w:r>
            <w:rPr>
              <w:noProof/>
            </w:rPr>
            <w:fldChar w:fldCharType="end"/>
          </w:r>
        </w:p>
        <w:p w14:paraId="2BB7D2EE" w14:textId="77777777" w:rsidR="0091679B" w:rsidRDefault="0091679B">
          <w:pPr>
            <w:pStyle w:val="Inhopg1"/>
            <w:tabs>
              <w:tab w:val="left" w:pos="462"/>
              <w:tab w:val="right" w:leader="dot" w:pos="9062"/>
            </w:tabs>
            <w:rPr>
              <w:rFonts w:asciiTheme="minorHAnsi" w:hAnsiTheme="minorHAnsi"/>
              <w:noProof/>
              <w:sz w:val="24"/>
              <w:szCs w:val="24"/>
              <w:lang w:val="nl-BE" w:eastAsia="ja-JP"/>
            </w:rPr>
          </w:pPr>
          <w:r w:rsidRPr="00B31C6C">
            <w:rPr>
              <w:noProof/>
              <w:color w:val="000000"/>
            </w:rPr>
            <w:t>III.</w:t>
          </w:r>
          <w:r>
            <w:rPr>
              <w:rFonts w:asciiTheme="minorHAnsi" w:hAnsiTheme="minorHAnsi"/>
              <w:noProof/>
              <w:sz w:val="24"/>
              <w:szCs w:val="24"/>
              <w:lang w:val="nl-BE" w:eastAsia="ja-JP"/>
            </w:rPr>
            <w:tab/>
          </w:r>
          <w:r>
            <w:rPr>
              <w:noProof/>
            </w:rPr>
            <w:t>Conclusion: The missing link – Monitoring, Cooperation and Coordination</w:t>
          </w:r>
          <w:r>
            <w:rPr>
              <w:noProof/>
            </w:rPr>
            <w:tab/>
          </w:r>
          <w:r>
            <w:rPr>
              <w:noProof/>
            </w:rPr>
            <w:fldChar w:fldCharType="begin"/>
          </w:r>
          <w:r>
            <w:rPr>
              <w:noProof/>
            </w:rPr>
            <w:instrText xml:space="preserve"> PAGEREF _Toc354987656 \h </w:instrText>
          </w:r>
          <w:r>
            <w:rPr>
              <w:noProof/>
            </w:rPr>
          </w:r>
          <w:r>
            <w:rPr>
              <w:noProof/>
            </w:rPr>
            <w:fldChar w:fldCharType="separate"/>
          </w:r>
          <w:r>
            <w:rPr>
              <w:noProof/>
            </w:rPr>
            <w:t>26</w:t>
          </w:r>
          <w:r>
            <w:rPr>
              <w:noProof/>
            </w:rPr>
            <w:fldChar w:fldCharType="end"/>
          </w:r>
        </w:p>
        <w:p w14:paraId="08EDE13A" w14:textId="3D9D484C" w:rsidR="00EB1EA4" w:rsidRPr="00722378" w:rsidRDefault="006534CA">
          <w:r>
            <w:fldChar w:fldCharType="end"/>
          </w:r>
        </w:p>
      </w:sdtContent>
    </w:sdt>
    <w:p w14:paraId="28E62D63" w14:textId="77777777" w:rsidR="005D4FB8" w:rsidRPr="00722378" w:rsidRDefault="005D4FB8" w:rsidP="005D4FB8">
      <w:pPr>
        <w:pStyle w:val="Doorlopendetekst"/>
        <w:rPr>
          <w:rFonts w:asciiTheme="majorHAnsi" w:hAnsiTheme="majorHAnsi"/>
        </w:rPr>
      </w:pPr>
    </w:p>
    <w:p w14:paraId="2167F51A" w14:textId="77777777" w:rsidR="005D4FB8" w:rsidRPr="00722378" w:rsidRDefault="005D4FB8" w:rsidP="00601458">
      <w:pPr>
        <w:pStyle w:val="Kop1"/>
      </w:pPr>
      <w:r w:rsidRPr="00722378">
        <w:br w:type="page"/>
      </w:r>
    </w:p>
    <w:p w14:paraId="2C329A86" w14:textId="77777777" w:rsidR="00B94BDC" w:rsidRPr="00722378" w:rsidRDefault="00B94BDC" w:rsidP="00601458">
      <w:pPr>
        <w:pStyle w:val="Kop1"/>
        <w:numPr>
          <w:ilvl w:val="0"/>
          <w:numId w:val="11"/>
        </w:numPr>
      </w:pPr>
      <w:bookmarkStart w:id="1" w:name="_Toc354987639"/>
      <w:r w:rsidRPr="00722378">
        <w:lastRenderedPageBreak/>
        <w:t>Introduction</w:t>
      </w:r>
      <w:bookmarkEnd w:id="1"/>
    </w:p>
    <w:p w14:paraId="2C5EC360" w14:textId="01CC4483" w:rsidR="00B94BDC" w:rsidRPr="00722378" w:rsidRDefault="00B94BDC" w:rsidP="00B94BDC">
      <w:pPr>
        <w:ind w:left="3828" w:firstLine="425"/>
        <w:rPr>
          <w:i/>
          <w:sz w:val="36"/>
        </w:rPr>
      </w:pPr>
      <w:r w:rsidRPr="00722378">
        <w:rPr>
          <w:i/>
        </w:rPr>
        <w:t>“</w:t>
      </w:r>
      <w:r w:rsidR="00191563" w:rsidRPr="00722378">
        <w:rPr>
          <w:i/>
        </w:rPr>
        <w:t>For decades, the EU has been the strongest impetus for democratic change and respec</w:t>
      </w:r>
      <w:r w:rsidR="000562E7">
        <w:rPr>
          <w:i/>
        </w:rPr>
        <w:t>t for human rights in Europe. As</w:t>
      </w:r>
      <w:r w:rsidR="00191563" w:rsidRPr="00722378">
        <w:rPr>
          <w:i/>
        </w:rPr>
        <w:t xml:space="preserve"> we approach the 25</w:t>
      </w:r>
      <w:r w:rsidR="00191563" w:rsidRPr="00722378">
        <w:rPr>
          <w:i/>
          <w:vertAlign w:val="superscript"/>
        </w:rPr>
        <w:t>th</w:t>
      </w:r>
      <w:r w:rsidR="00191563" w:rsidRPr="00722378">
        <w:rPr>
          <w:i/>
        </w:rPr>
        <w:t xml:space="preserve"> anniversary of the fall of the Berlin wall, the EU should demonstrate in no uncertain terms that it will not accept the re-establishment of an illiberal state within its borders.</w:t>
      </w:r>
      <w:r w:rsidRPr="00722378">
        <w:rPr>
          <w:i/>
        </w:rPr>
        <w:t>”</w:t>
      </w:r>
      <w:r w:rsidRPr="00722378">
        <w:rPr>
          <w:i/>
          <w:vertAlign w:val="superscript"/>
        </w:rPr>
        <w:footnoteReference w:id="1"/>
      </w:r>
      <w:r w:rsidRPr="00722378">
        <w:rPr>
          <w:i/>
          <w:sz w:val="36"/>
        </w:rPr>
        <w:t xml:space="preserve"> </w:t>
      </w:r>
    </w:p>
    <w:p w14:paraId="4A79F24C" w14:textId="77777777" w:rsidR="00B94BDC" w:rsidRPr="00722378" w:rsidRDefault="00B94BDC" w:rsidP="00B94BDC">
      <w:pPr>
        <w:ind w:left="3828" w:firstLine="425"/>
      </w:pPr>
    </w:p>
    <w:p w14:paraId="43511ED5" w14:textId="6435E30B" w:rsidR="001E33E1" w:rsidRPr="00722378" w:rsidRDefault="00B94BDC" w:rsidP="005E0474">
      <w:r w:rsidRPr="00722378">
        <w:t xml:space="preserve">Throughout its history, the European Union (hereinafter ‘EU’) has encountered a lot of crises. Yet, it is confronted with another – potentially much more dangerous – crisis, going to the essential foundations of the </w:t>
      </w:r>
      <w:r w:rsidR="00F6701D" w:rsidRPr="00722378">
        <w:t>E</w:t>
      </w:r>
      <w:r w:rsidR="00AB3A1B" w:rsidRPr="00722378">
        <w:t>U</w:t>
      </w:r>
      <w:r w:rsidRPr="00722378">
        <w:t>.</w:t>
      </w:r>
      <w:r w:rsidRPr="00722378">
        <w:rPr>
          <w:vertAlign w:val="superscript"/>
        </w:rPr>
        <w:footnoteReference w:id="2"/>
      </w:r>
      <w:r w:rsidRPr="00722378">
        <w:t xml:space="preserve"> </w:t>
      </w:r>
      <w:r w:rsidR="00F6701D" w:rsidRPr="00722378">
        <w:t>As</w:t>
      </w:r>
      <w:r w:rsidRPr="00722378">
        <w:t xml:space="preserve"> laid down in Article 2 TEU</w:t>
      </w:r>
      <w:r w:rsidR="00F6701D" w:rsidRPr="00722378">
        <w:t xml:space="preserve">, </w:t>
      </w:r>
      <w:r w:rsidRPr="00722378">
        <w:t xml:space="preserve">the EU is founded on the values of respect for human dignity, freedom, democracy, equality, the rule of law and respect for human rights, including the right of persons belonging to minorities. These values ought to be safeguarded within the EU </w:t>
      </w:r>
      <w:r w:rsidR="00FF6178" w:rsidRPr="00722378">
        <w:t>by</w:t>
      </w:r>
      <w:r w:rsidRPr="00722378">
        <w:t xml:space="preserve"> all its Member States. Consequently, when those values are not uph</w:t>
      </w:r>
      <w:r w:rsidR="00FF6178" w:rsidRPr="00722378">
        <w:t>e</w:t>
      </w:r>
      <w:r w:rsidRPr="00722378">
        <w:t xml:space="preserve">ld within the EU and its Member States, the foundational stones of the EU will be affected and the </w:t>
      </w:r>
      <w:r w:rsidR="00FF6178" w:rsidRPr="00722378">
        <w:t xml:space="preserve">foundations of the </w:t>
      </w:r>
      <w:r w:rsidRPr="00722378">
        <w:t>EU</w:t>
      </w:r>
      <w:r w:rsidR="00FF6178" w:rsidRPr="00722378">
        <w:t xml:space="preserve"> will be weakened</w:t>
      </w:r>
      <w:r w:rsidRPr="00722378">
        <w:t xml:space="preserve">, </w:t>
      </w:r>
      <w:r w:rsidR="002143C4" w:rsidRPr="00722378">
        <w:t xml:space="preserve">potentially </w:t>
      </w:r>
      <w:r w:rsidRPr="00722378">
        <w:t xml:space="preserve">questioning the </w:t>
      </w:r>
      <w:r w:rsidRPr="00722378">
        <w:rPr>
          <w:i/>
        </w:rPr>
        <w:t xml:space="preserve">reason </w:t>
      </w:r>
      <w:r w:rsidR="00FF6178" w:rsidRPr="00722378">
        <w:rPr>
          <w:i/>
        </w:rPr>
        <w:t>d’être</w:t>
      </w:r>
      <w:r w:rsidR="00FF6178" w:rsidRPr="00722378">
        <w:t xml:space="preserve"> of the EU</w:t>
      </w:r>
      <w:r w:rsidRPr="00722378">
        <w:t xml:space="preserve">. </w:t>
      </w:r>
      <w:r w:rsidR="00C375EA">
        <w:t>Hence, n</w:t>
      </w:r>
      <w:r w:rsidR="002143C4" w:rsidRPr="00722378">
        <w:t>on-compliance with the fundamental values</w:t>
      </w:r>
      <w:r w:rsidR="00FF6178" w:rsidRPr="00722378">
        <w:t xml:space="preserve"> can lead to </w:t>
      </w:r>
      <w:r w:rsidR="00FF6178" w:rsidRPr="00722378">
        <w:rPr>
          <w:i/>
        </w:rPr>
        <w:t xml:space="preserve">“an acute disruption of the very basis of the system of EU law at both the national and the supranational level” </w:t>
      </w:r>
      <w:r w:rsidRPr="00722378">
        <w:t>– in other terms,</w:t>
      </w:r>
      <w:r w:rsidR="00FF6178" w:rsidRPr="00722378">
        <w:t xml:space="preserve"> this crisis is able to disrupt the whole integration based on the fundamental values</w:t>
      </w:r>
      <w:r w:rsidRPr="00722378">
        <w:t>.</w:t>
      </w:r>
      <w:r w:rsidR="00FF6178" w:rsidRPr="00722378">
        <w:rPr>
          <w:rStyle w:val="Voetnootmarkering"/>
        </w:rPr>
        <w:footnoteReference w:id="3"/>
      </w:r>
      <w:r w:rsidR="00991184" w:rsidRPr="00722378">
        <w:t xml:space="preserve"> </w:t>
      </w:r>
    </w:p>
    <w:p w14:paraId="7F41661C" w14:textId="15518087" w:rsidR="00B7105A" w:rsidRDefault="00B06EBF" w:rsidP="00803620">
      <w:r w:rsidRPr="00722378">
        <w:t xml:space="preserve">This paper will focus on the rule of law </w:t>
      </w:r>
      <w:r w:rsidR="00015981">
        <w:t>crisis</w:t>
      </w:r>
      <w:r w:rsidR="001E33E1" w:rsidRPr="00722378">
        <w:t>, as</w:t>
      </w:r>
      <w:r w:rsidR="001E33E1" w:rsidRPr="00722378">
        <w:rPr>
          <w:i/>
        </w:rPr>
        <w:t xml:space="preserve"> “the rule of law is the backbone of any modern constitutional democracy”</w:t>
      </w:r>
      <w:r w:rsidR="001E33E1" w:rsidRPr="00722378">
        <w:t>.</w:t>
      </w:r>
      <w:r w:rsidR="001E33E1" w:rsidRPr="00722378">
        <w:rPr>
          <w:rStyle w:val="Voetnootmarkering"/>
        </w:rPr>
        <w:footnoteReference w:id="4"/>
      </w:r>
      <w:r w:rsidR="001E33E1" w:rsidRPr="00722378">
        <w:t xml:space="preserve"> To uphold mutual trust among the Member States and their respective legal systems, </w:t>
      </w:r>
      <w:r w:rsidR="00722378" w:rsidRPr="00722378">
        <w:t>all the Member States have</w:t>
      </w:r>
      <w:r w:rsidR="001E33E1" w:rsidRPr="00722378">
        <w:t xml:space="preserve"> to comply with the rule of law. Yet, recent developments occurring in both ‘new’, but also ‘founding’ Member States determine that </w:t>
      </w:r>
      <w:r w:rsidR="00B7105A">
        <w:t>enforcing</w:t>
      </w:r>
      <w:r w:rsidR="000562E7">
        <w:t xml:space="preserve"> the</w:t>
      </w:r>
      <w:r w:rsidR="001E33E1" w:rsidRPr="00722378">
        <w:t xml:space="preserve"> rule of law compliance in the EU is not a fo</w:t>
      </w:r>
      <w:r w:rsidR="003753A6" w:rsidRPr="00722378">
        <w:t xml:space="preserve">rgone conclusion, despite the various mechanisms at </w:t>
      </w:r>
      <w:r w:rsidR="000562E7">
        <w:t>the EU’s</w:t>
      </w:r>
      <w:r w:rsidR="003753A6" w:rsidRPr="00722378">
        <w:t xml:space="preserve"> disposal</w:t>
      </w:r>
      <w:r w:rsidR="009A7D34">
        <w:t xml:space="preserve">, </w:t>
      </w:r>
      <w:r w:rsidR="009A7D34">
        <w:lastRenderedPageBreak/>
        <w:t>such as Article 7 TEU, the Cooperation and Verification Mechanism for Romania and Bulgaria and the infringement procedure under Articles 258, 259 and 260 TFEU</w:t>
      </w:r>
      <w:r w:rsidR="003753A6" w:rsidRPr="00722378">
        <w:t>.</w:t>
      </w:r>
      <w:r w:rsidR="00D01D0F">
        <w:rPr>
          <w:rStyle w:val="Voetnootmarkering"/>
        </w:rPr>
        <w:footnoteReference w:id="5"/>
      </w:r>
      <w:r w:rsidR="00D603A7" w:rsidRPr="00722378">
        <w:t xml:space="preserve"> </w:t>
      </w:r>
      <w:r w:rsidR="001E33E1" w:rsidRPr="00722378">
        <w:t xml:space="preserve">In addition, each </w:t>
      </w:r>
      <w:r w:rsidR="00C375EA">
        <w:t>emerging</w:t>
      </w:r>
      <w:r w:rsidR="001E33E1" w:rsidRPr="00722378">
        <w:t xml:space="preserve"> rule of</w:t>
      </w:r>
      <w:r w:rsidR="005E0474" w:rsidRPr="00722378">
        <w:t xml:space="preserve"> law crisis contributes to the discussion </w:t>
      </w:r>
      <w:r w:rsidR="00C375EA">
        <w:t xml:space="preserve">that the original rule of law enforcement framework lacks of accuracy and effectiveness. Moreover, the institutions became aware of the need for an effective rule of law enforcement to bring deviant Member States back on course, enabling them to comply with the rule of law again. </w:t>
      </w:r>
      <w:r w:rsidR="005E0474" w:rsidRPr="00722378">
        <w:t xml:space="preserve">Consequently, each new rule of law crisis </w:t>
      </w:r>
      <w:r w:rsidR="00AB3A1B" w:rsidRPr="00722378">
        <w:t xml:space="preserve">instigates the creation </w:t>
      </w:r>
      <w:r w:rsidR="00803620" w:rsidRPr="00722378">
        <w:t>of</w:t>
      </w:r>
      <w:r w:rsidR="005E0474" w:rsidRPr="00722378">
        <w:t xml:space="preserve"> new rule of law mechanism</w:t>
      </w:r>
      <w:r w:rsidR="00AB3A1B" w:rsidRPr="00722378">
        <w:t>s</w:t>
      </w:r>
      <w:r w:rsidR="005E0474" w:rsidRPr="00722378">
        <w:t>.</w:t>
      </w:r>
    </w:p>
    <w:p w14:paraId="3ED7DBBE" w14:textId="05A3D88F" w:rsidR="00803620" w:rsidRPr="00722378" w:rsidRDefault="002143C4" w:rsidP="00803620">
      <w:r w:rsidRPr="00722378">
        <w:t xml:space="preserve">The European Commission (hereinafter ‘Commission’) </w:t>
      </w:r>
      <w:r w:rsidR="00DE3378">
        <w:t xml:space="preserve">started by </w:t>
      </w:r>
      <w:r w:rsidRPr="00722378">
        <w:t>establish</w:t>
      </w:r>
      <w:r w:rsidR="00DE3378">
        <w:t>ing</w:t>
      </w:r>
      <w:r w:rsidRPr="00722378">
        <w:t xml:space="preserve"> a </w:t>
      </w:r>
      <w:r w:rsidR="00DE3378">
        <w:t>‘</w:t>
      </w:r>
      <w:r w:rsidRPr="00722378">
        <w:t xml:space="preserve">Framework to strengthen the </w:t>
      </w:r>
      <w:r w:rsidR="00DE3378">
        <w:t>R</w:t>
      </w:r>
      <w:r w:rsidRPr="00722378">
        <w:t xml:space="preserve">ule of </w:t>
      </w:r>
      <w:r w:rsidR="00DE3378">
        <w:t>L</w:t>
      </w:r>
      <w:r w:rsidRPr="00722378">
        <w:t>aw within the Member States</w:t>
      </w:r>
      <w:r w:rsidR="00DE3378">
        <w:t>’ (hereinafter ‘Rule of Law Framework’)</w:t>
      </w:r>
      <w:r w:rsidR="005E0474" w:rsidRPr="00722378">
        <w:t xml:space="preserve"> </w:t>
      </w:r>
      <w:r w:rsidR="00AB3A1B" w:rsidRPr="00722378">
        <w:t>as a consequence of</w:t>
      </w:r>
      <w:r w:rsidR="005E0474" w:rsidRPr="00722378">
        <w:t xml:space="preserve"> the Hungarian crisis</w:t>
      </w:r>
      <w:r w:rsidR="00DE3378">
        <w:t xml:space="preserve"> </w:t>
      </w:r>
      <w:r w:rsidR="000562E7">
        <w:t>since</w:t>
      </w:r>
      <w:r w:rsidR="005E0474" w:rsidRPr="00722378">
        <w:t xml:space="preserve"> 2012</w:t>
      </w:r>
      <w:r w:rsidR="00DE3378">
        <w:t>. The Rule of Law Framework</w:t>
      </w:r>
      <w:r w:rsidR="00AB3A1B" w:rsidRPr="00722378">
        <w:t xml:space="preserve"> </w:t>
      </w:r>
      <w:r w:rsidRPr="00722378">
        <w:t>complement</w:t>
      </w:r>
      <w:r w:rsidR="00DE3378">
        <w:t>ed</w:t>
      </w:r>
      <w:r w:rsidRPr="00722378">
        <w:t xml:space="preserve"> the already existing and more general legal framework </w:t>
      </w:r>
      <w:r w:rsidR="000562E7">
        <w:t>to enforce</w:t>
      </w:r>
      <w:r w:rsidRPr="00722378">
        <w:t xml:space="preserve"> the </w:t>
      </w:r>
      <w:r w:rsidR="000562E7">
        <w:t xml:space="preserve">rule of law </w:t>
      </w:r>
      <w:r w:rsidRPr="00722378">
        <w:t>compliance by the Member States</w:t>
      </w:r>
      <w:r w:rsidR="005E0474" w:rsidRPr="00722378">
        <w:t>. The Council of Mi</w:t>
      </w:r>
      <w:r w:rsidR="00DE3378">
        <w:t xml:space="preserve">nisters (hereinafter ‘Council’), however, </w:t>
      </w:r>
      <w:r w:rsidR="005E0474" w:rsidRPr="00722378">
        <w:t>did not support the Commission’s initiative. Mor</w:t>
      </w:r>
      <w:r w:rsidR="00AB3A1B" w:rsidRPr="00722378">
        <w:t>eover, the Council focused</w:t>
      </w:r>
      <w:r w:rsidR="005E0474" w:rsidRPr="00722378">
        <w:t xml:space="preserve"> on questioning the Commission’s legal power to adopt the Rule of Law Framework</w:t>
      </w:r>
      <w:r w:rsidR="00B7105A">
        <w:t xml:space="preserve">. In turn, it </w:t>
      </w:r>
      <w:r w:rsidR="005E0474" w:rsidRPr="00722378">
        <w:t xml:space="preserve">created </w:t>
      </w:r>
      <w:r w:rsidR="00AB3A1B" w:rsidRPr="00722378">
        <w:t>its own Rule of Law Dialogue</w:t>
      </w:r>
      <w:r w:rsidR="005E0474" w:rsidRPr="00722378">
        <w:t xml:space="preserve">. </w:t>
      </w:r>
      <w:r w:rsidR="00803620" w:rsidRPr="00722378">
        <w:t>The European Parliament (hereinafter ‘Parliament’)</w:t>
      </w:r>
      <w:r w:rsidR="000562E7">
        <w:t>, finally,</w:t>
      </w:r>
      <w:r w:rsidR="00803620" w:rsidRPr="00722378">
        <w:t xml:space="preserve"> is of the opinion that too many mechanisms and processes exist at EU level to govern the values of Article 2 TEU.</w:t>
      </w:r>
      <w:r w:rsidR="00803620" w:rsidRPr="00722378">
        <w:rPr>
          <w:rStyle w:val="Voetnootmarkering"/>
        </w:rPr>
        <w:footnoteReference w:id="6"/>
      </w:r>
      <w:r w:rsidR="00803620" w:rsidRPr="00722378">
        <w:t xml:space="preserve"> </w:t>
      </w:r>
      <w:r w:rsidR="00722378">
        <w:t>In response to the Polish rule of law crisis</w:t>
      </w:r>
      <w:r w:rsidR="00803620" w:rsidRPr="00722378">
        <w:t xml:space="preserve">, the </w:t>
      </w:r>
      <w:r w:rsidR="0003669D" w:rsidRPr="00722378">
        <w:t>Parliament</w:t>
      </w:r>
      <w:r w:rsidR="00803620" w:rsidRPr="00722378">
        <w:t xml:space="preserve"> proposed an inter-institutional pact, which would clarify the scope of EU</w:t>
      </w:r>
      <w:r w:rsidR="000562E7">
        <w:t xml:space="preserve"> </w:t>
      </w:r>
      <w:r w:rsidR="00803620" w:rsidRPr="00722378">
        <w:t>action as well as the division of competences between the EU</w:t>
      </w:r>
      <w:r w:rsidR="000562E7">
        <w:t xml:space="preserve"> </w:t>
      </w:r>
      <w:r w:rsidR="00803620" w:rsidRPr="00722378">
        <w:t>institutions and the Member States.</w:t>
      </w:r>
    </w:p>
    <w:p w14:paraId="7A15D186" w14:textId="7136351C" w:rsidR="00A2372B" w:rsidRDefault="00C375EA" w:rsidP="005E0474">
      <w:r>
        <w:t>T</w:t>
      </w:r>
      <w:r w:rsidR="00EF4C46" w:rsidRPr="00722378">
        <w:t xml:space="preserve">his paper will </w:t>
      </w:r>
      <w:r>
        <w:t xml:space="preserve">therefore </w:t>
      </w:r>
      <w:r w:rsidR="00EF4C46" w:rsidRPr="00722378">
        <w:t>contribute to the current discussion on</w:t>
      </w:r>
      <w:r w:rsidR="00C01E26">
        <w:t xml:space="preserve"> the</w:t>
      </w:r>
      <w:r w:rsidR="00EF4C46" w:rsidRPr="00722378">
        <w:t xml:space="preserve"> </w:t>
      </w:r>
      <w:r w:rsidR="00C01E26" w:rsidRPr="00722378">
        <w:t xml:space="preserve">ineffectiveness of the original enforcement framework </w:t>
      </w:r>
      <w:r w:rsidR="00C01E26">
        <w:t xml:space="preserve">and </w:t>
      </w:r>
      <w:r w:rsidR="00EF4C46" w:rsidRPr="00722378">
        <w:t xml:space="preserve">the </w:t>
      </w:r>
      <w:r>
        <w:t xml:space="preserve">subsequent </w:t>
      </w:r>
      <w:r w:rsidR="00EF4C46" w:rsidRPr="00722378">
        <w:t xml:space="preserve">problematic enforcement of the </w:t>
      </w:r>
      <w:r>
        <w:t xml:space="preserve">rule of law </w:t>
      </w:r>
      <w:r w:rsidR="00EF4C46" w:rsidRPr="00722378">
        <w:t xml:space="preserve">compliance </w:t>
      </w:r>
      <w:r w:rsidR="000562E7">
        <w:t>by</w:t>
      </w:r>
      <w:r w:rsidR="00EF4C46" w:rsidRPr="00722378">
        <w:t xml:space="preserve"> the Member States of the </w:t>
      </w:r>
      <w:r w:rsidR="00D66B38">
        <w:t>EU</w:t>
      </w:r>
      <w:r w:rsidR="00EF4C46" w:rsidRPr="00722378">
        <w:t xml:space="preserve">. </w:t>
      </w:r>
      <w:r w:rsidR="00D66B38">
        <w:t xml:space="preserve">Moreover, this paper is based on the presumption that the </w:t>
      </w:r>
      <w:r w:rsidR="00DE3378">
        <w:t xml:space="preserve">EU </w:t>
      </w:r>
      <w:r w:rsidR="009C4213" w:rsidRPr="00722378">
        <w:t xml:space="preserve">fails to </w:t>
      </w:r>
      <w:r w:rsidR="00DE3378">
        <w:t>enforce</w:t>
      </w:r>
      <w:r w:rsidR="009C4213" w:rsidRPr="00722378">
        <w:t xml:space="preserve"> rule of law </w:t>
      </w:r>
      <w:r w:rsidR="00803620" w:rsidRPr="00722378">
        <w:t xml:space="preserve">compliance </w:t>
      </w:r>
      <w:r w:rsidR="009C4213" w:rsidRPr="00722378">
        <w:t>by the Member States</w:t>
      </w:r>
      <w:r w:rsidR="00DE3378">
        <w:t xml:space="preserve"> on the basis of the original enforcement mechanisms as</w:t>
      </w:r>
      <w:r w:rsidR="00D66B38">
        <w:t xml:space="preserve"> a reaction to which</w:t>
      </w:r>
      <w:r w:rsidR="00DE3378">
        <w:t xml:space="preserve"> </w:t>
      </w:r>
      <w:r w:rsidR="00D66B38">
        <w:t xml:space="preserve">a proliferation of institutional creations </w:t>
      </w:r>
      <w:r w:rsidR="00B7105A">
        <w:t>arose</w:t>
      </w:r>
      <w:r w:rsidR="00DE3378">
        <w:t xml:space="preserve">. </w:t>
      </w:r>
      <w:r w:rsidR="00D66B38">
        <w:t xml:space="preserve">The question thus </w:t>
      </w:r>
      <w:r w:rsidR="000562E7">
        <w:t>emerges</w:t>
      </w:r>
      <w:r w:rsidR="00D66B38">
        <w:t xml:space="preserve"> whether the institutional creations improve EU’s position, enabling it to enforce effectively </w:t>
      </w:r>
      <w:r w:rsidR="000562E7">
        <w:t xml:space="preserve">the </w:t>
      </w:r>
      <w:r w:rsidR="00D66B38">
        <w:t xml:space="preserve">rule of law compliance in the Member States. </w:t>
      </w:r>
      <w:r w:rsidR="00DE3378">
        <w:t>To this end</w:t>
      </w:r>
      <w:r w:rsidR="00D66B38">
        <w:t xml:space="preserve">, </w:t>
      </w:r>
      <w:r w:rsidR="00C01E26">
        <w:t xml:space="preserve">the institutional creations </w:t>
      </w:r>
      <w:r w:rsidR="00084B72" w:rsidRPr="00722378">
        <w:t xml:space="preserve">will be </w:t>
      </w:r>
      <w:r w:rsidR="00AB3A1B" w:rsidRPr="00722378">
        <w:t>subjected to a critical</w:t>
      </w:r>
      <w:r w:rsidR="00084B72" w:rsidRPr="00722378">
        <w:t xml:space="preserve"> assessment</w:t>
      </w:r>
      <w:r w:rsidR="009C4213" w:rsidRPr="00722378">
        <w:t xml:space="preserve">. </w:t>
      </w:r>
      <w:r w:rsidR="00084B72" w:rsidRPr="00722378">
        <w:t xml:space="preserve">First, the </w:t>
      </w:r>
      <w:r w:rsidR="009C4213" w:rsidRPr="00722378">
        <w:t>Rule of Law Framework of the Commission</w:t>
      </w:r>
      <w:r w:rsidR="00084B72" w:rsidRPr="00722378">
        <w:t xml:space="preserve"> will be </w:t>
      </w:r>
      <w:r w:rsidR="00084B72" w:rsidRPr="00722378">
        <w:lastRenderedPageBreak/>
        <w:t xml:space="preserve">examined </w:t>
      </w:r>
      <w:r w:rsidR="00BC4BEB" w:rsidRPr="00722378">
        <w:t xml:space="preserve">in view of a case study of Poland. This will be </w:t>
      </w:r>
      <w:r w:rsidR="00084B72" w:rsidRPr="00722378">
        <w:t xml:space="preserve">followed by </w:t>
      </w:r>
      <w:r w:rsidR="000562E7">
        <w:t xml:space="preserve">an examination of </w:t>
      </w:r>
      <w:r w:rsidR="00084B72" w:rsidRPr="00722378">
        <w:t>the Rule of Law Dialogue of the Council to end with</w:t>
      </w:r>
      <w:r w:rsidR="000562E7">
        <w:t xml:space="preserve"> an assessment of</w:t>
      </w:r>
      <w:r w:rsidR="00084B72" w:rsidRPr="00722378">
        <w:t xml:space="preserve"> the proposal of the </w:t>
      </w:r>
      <w:r w:rsidR="0003669D" w:rsidRPr="00722378">
        <w:t>Parliament</w:t>
      </w:r>
      <w:r w:rsidR="00084B72" w:rsidRPr="00722378">
        <w:t xml:space="preserve"> to establish an EU mechanism on Democracy, the Rule of Law and Fundamental rights.</w:t>
      </w:r>
    </w:p>
    <w:p w14:paraId="65FBFDA2" w14:textId="3C6F23DE" w:rsidR="00A2372B" w:rsidRPr="00601458" w:rsidRDefault="00470782" w:rsidP="00601458">
      <w:pPr>
        <w:pStyle w:val="Kop1"/>
      </w:pPr>
      <w:bookmarkStart w:id="2" w:name="_Toc354987640"/>
      <w:r w:rsidRPr="00601458">
        <w:t>T</w:t>
      </w:r>
      <w:r w:rsidR="00A2372B" w:rsidRPr="00601458">
        <w:t>h</w:t>
      </w:r>
      <w:r w:rsidRPr="00601458">
        <w:t xml:space="preserve">e </w:t>
      </w:r>
      <w:r w:rsidR="00DE219B" w:rsidRPr="00601458">
        <w:t>proliferation of institutional creations</w:t>
      </w:r>
      <w:r w:rsidR="00AB3A1B" w:rsidRPr="00601458">
        <w:t xml:space="preserve"> in times of crisis</w:t>
      </w:r>
      <w:bookmarkEnd w:id="2"/>
    </w:p>
    <w:p w14:paraId="7287C102" w14:textId="63C8B1D5" w:rsidR="004F7510" w:rsidRPr="00601458" w:rsidRDefault="00175770" w:rsidP="00601458">
      <w:pPr>
        <w:pStyle w:val="Kop2"/>
      </w:pPr>
      <w:bookmarkStart w:id="3" w:name="_Toc354987641"/>
      <w:r w:rsidRPr="00601458">
        <w:t>Abstention before prevention: the Commission's EU Rule of Law Framework</w:t>
      </w:r>
      <w:bookmarkEnd w:id="3"/>
    </w:p>
    <w:p w14:paraId="255B3702" w14:textId="34A1B0B6" w:rsidR="00175770" w:rsidRPr="00601458" w:rsidRDefault="00175770" w:rsidP="00601458">
      <w:pPr>
        <w:pStyle w:val="Kop3"/>
      </w:pPr>
      <w:bookmarkStart w:id="4" w:name="_Toc354987642"/>
      <w:r w:rsidRPr="00601458">
        <w:t>Introduction</w:t>
      </w:r>
      <w:bookmarkEnd w:id="4"/>
    </w:p>
    <w:p w14:paraId="4DAD7BCC" w14:textId="00C6035E" w:rsidR="00601458" w:rsidRDefault="005B5A55" w:rsidP="005B5A55">
      <w:r>
        <w:t>In light of the Hungarian rule of law crisis, t</w:t>
      </w:r>
      <w:r w:rsidR="00BD0920" w:rsidRPr="00722378">
        <w:t xml:space="preserve">he EU demonstrated </w:t>
      </w:r>
      <w:r>
        <w:t>an</w:t>
      </w:r>
      <w:r w:rsidR="00BD0920" w:rsidRPr="00722378">
        <w:t xml:space="preserve"> inability to undertake action against </w:t>
      </w:r>
      <w:r>
        <w:t>Member States that are not complying with the rule of law</w:t>
      </w:r>
      <w:r w:rsidR="00BD0920" w:rsidRPr="00722378">
        <w:t>.</w:t>
      </w:r>
      <w:r w:rsidR="004F7510">
        <w:t xml:space="preserve"> </w:t>
      </w:r>
      <w:r w:rsidR="00601458">
        <w:t>Th</w:t>
      </w:r>
      <w:r w:rsidR="00E90477">
        <w:t xml:space="preserve">is </w:t>
      </w:r>
      <w:r w:rsidR="00601458">
        <w:t>crisis emerged a</w:t>
      </w:r>
      <w:r>
        <w:t>fter the 201</w:t>
      </w:r>
      <w:r w:rsidR="00601458">
        <w:t xml:space="preserve">2 national elections in Hungary. </w:t>
      </w:r>
      <w:r w:rsidR="00C375EA">
        <w:t>Subsequently</w:t>
      </w:r>
      <w:r w:rsidR="00601458">
        <w:t>,</w:t>
      </w:r>
      <w:r>
        <w:t xml:space="preserve"> political power became concentrated in the hands of the right-wing Fidesz Party that received a 2/3 majority in the government. The ruling party carried out various constitutional reform</w:t>
      </w:r>
      <w:r w:rsidR="000562E7">
        <w:t>s</w:t>
      </w:r>
      <w:r>
        <w:t xml:space="preserve">, </w:t>
      </w:r>
      <w:r w:rsidR="001B58B7">
        <w:t xml:space="preserve">undermining the system of checks and balances, </w:t>
      </w:r>
      <w:r w:rsidRPr="00722378">
        <w:t xml:space="preserve">including </w:t>
      </w:r>
      <w:r w:rsidR="001B58B7">
        <w:t xml:space="preserve">among other things </w:t>
      </w:r>
      <w:r w:rsidRPr="00722378">
        <w:t>the reduction of the Constitutional Court’s power and</w:t>
      </w:r>
      <w:r w:rsidR="001B58B7">
        <w:t xml:space="preserve"> an increase</w:t>
      </w:r>
      <w:r w:rsidR="00E90477">
        <w:t>d</w:t>
      </w:r>
      <w:r w:rsidR="001B58B7">
        <w:t xml:space="preserve"> control over the media</w:t>
      </w:r>
      <w:r w:rsidRPr="00722378">
        <w:t>.</w:t>
      </w:r>
      <w:r w:rsidRPr="00722378">
        <w:rPr>
          <w:rStyle w:val="Voetnootmarkering"/>
        </w:rPr>
        <w:footnoteReference w:id="7"/>
      </w:r>
      <w:r>
        <w:t xml:space="preserve"> As a consequence, the Venice Commission i</w:t>
      </w:r>
      <w:r w:rsidRPr="00722378">
        <w:t xml:space="preserve">dentified a structural problem </w:t>
      </w:r>
      <w:r>
        <w:t>with regard to</w:t>
      </w:r>
      <w:r w:rsidRPr="00722378">
        <w:t xml:space="preserve"> judicial independence</w:t>
      </w:r>
      <w:r>
        <w:t xml:space="preserve"> and</w:t>
      </w:r>
      <w:r w:rsidR="00E90477">
        <w:t>,</w:t>
      </w:r>
      <w:r>
        <w:t xml:space="preserve"> in other terms</w:t>
      </w:r>
      <w:r w:rsidR="00E90477">
        <w:t>,</w:t>
      </w:r>
      <w:r>
        <w:t xml:space="preserve"> a breach of the rule of law</w:t>
      </w:r>
      <w:r w:rsidRPr="00722378">
        <w:t>.</w:t>
      </w:r>
      <w:r w:rsidRPr="00722378">
        <w:rPr>
          <w:rStyle w:val="Voetnootmarkering"/>
        </w:rPr>
        <w:footnoteReference w:id="8"/>
      </w:r>
      <w:r>
        <w:t xml:space="preserve"> </w:t>
      </w:r>
    </w:p>
    <w:p w14:paraId="78CDB5A4" w14:textId="77777777" w:rsidR="00E90477" w:rsidRDefault="005B5A55" w:rsidP="00CD2E4D">
      <w:r>
        <w:t>I</w:t>
      </w:r>
      <w:r w:rsidRPr="00722378">
        <w:t xml:space="preserve">nstead of initiating </w:t>
      </w:r>
      <w:r w:rsidR="00F14DA8">
        <w:t xml:space="preserve">Article 7 TEU </w:t>
      </w:r>
      <w:r w:rsidR="00DE1D36">
        <w:t xml:space="preserve">– </w:t>
      </w:r>
      <w:r w:rsidR="00DE1D36" w:rsidRPr="00722378">
        <w:t>th</w:t>
      </w:r>
      <w:r w:rsidR="00DE1D36">
        <w:t xml:space="preserve">e mechanism especially designed for </w:t>
      </w:r>
      <w:r w:rsidR="00E90477">
        <w:t>sanctioning a serious breach of</w:t>
      </w:r>
      <w:r w:rsidR="00DE1D36">
        <w:t xml:space="preserve"> fundamental values,</w:t>
      </w:r>
      <w:r w:rsidR="00E90477">
        <w:t xml:space="preserve"> such as</w:t>
      </w:r>
      <w:r w:rsidR="00DE1D36">
        <w:t xml:space="preserve"> the rule of law and consolidated by th</w:t>
      </w:r>
      <w:r w:rsidR="00E90477">
        <w:t>e Member States in the Treaties –</w:t>
      </w:r>
      <w:r w:rsidRPr="00722378">
        <w:t xml:space="preserve"> the Commission decided to </w:t>
      </w:r>
      <w:r w:rsidR="00C375EA">
        <w:t>launch various</w:t>
      </w:r>
      <w:r w:rsidRPr="00722378">
        <w:t xml:space="preserve"> infringement procedures </w:t>
      </w:r>
      <w:r w:rsidR="00C375EA" w:rsidRPr="00722378">
        <w:t>under Article 258 TFEU</w:t>
      </w:r>
      <w:r w:rsidR="00C375EA">
        <w:t xml:space="preserve"> </w:t>
      </w:r>
      <w:r w:rsidR="00E90477">
        <w:t>for</w:t>
      </w:r>
      <w:r w:rsidR="00C375EA">
        <w:t xml:space="preserve"> specific and singled-out breaches of EU</w:t>
      </w:r>
      <w:r w:rsidR="000562E7">
        <w:t xml:space="preserve"> </w:t>
      </w:r>
      <w:r w:rsidR="00C375EA">
        <w:t>law</w:t>
      </w:r>
      <w:r w:rsidRPr="00722378">
        <w:t>.</w:t>
      </w:r>
      <w:r w:rsidRPr="00722378">
        <w:rPr>
          <w:rStyle w:val="Voetnootmarkering"/>
        </w:rPr>
        <w:footnoteReference w:id="9"/>
      </w:r>
      <w:r>
        <w:t xml:space="preserve"> </w:t>
      </w:r>
      <w:r w:rsidR="00C375EA">
        <w:t>The Commission launched for instance an infringement procedure against the measure of the Hungarian government</w:t>
      </w:r>
      <w:r w:rsidR="00E90477">
        <w:t xml:space="preserve"> to</w:t>
      </w:r>
      <w:r w:rsidR="00C375EA">
        <w:t xml:space="preserve"> lower the retirement age of judges, prosecutors and notaries from the age of 70 to 62 years.</w:t>
      </w:r>
      <w:r w:rsidR="00C375EA">
        <w:rPr>
          <w:rStyle w:val="Voetnootmarkering"/>
        </w:rPr>
        <w:footnoteReference w:id="10"/>
      </w:r>
      <w:r w:rsidR="00094B77">
        <w:t xml:space="preserve"> The Commission argued in this case that this measure</w:t>
      </w:r>
      <w:r w:rsidRPr="00722378">
        <w:t xml:space="preserve"> constituted an unjustified discrimination based on age </w:t>
      </w:r>
      <w:r w:rsidR="00E90477">
        <w:t xml:space="preserve">which is </w:t>
      </w:r>
      <w:r w:rsidR="00B7105A">
        <w:t>contrary to</w:t>
      </w:r>
      <w:r w:rsidRPr="00722378">
        <w:t xml:space="preserve"> the Equality Directive 2000/78</w:t>
      </w:r>
      <w:r w:rsidR="00094B77">
        <w:rPr>
          <w:rStyle w:val="Voetnootmarkering"/>
        </w:rPr>
        <w:footnoteReference w:id="11"/>
      </w:r>
      <w:r w:rsidRPr="00722378">
        <w:t>.</w:t>
      </w:r>
      <w:r w:rsidR="00094B77">
        <w:rPr>
          <w:rStyle w:val="Voetnootmarkering"/>
        </w:rPr>
        <w:footnoteReference w:id="12"/>
      </w:r>
      <w:r w:rsidRPr="00722378">
        <w:t xml:space="preserve"> </w:t>
      </w:r>
      <w:r w:rsidR="00094B77">
        <w:t xml:space="preserve">The Court of Justice of the European Union followed the reasoning </w:t>
      </w:r>
      <w:r w:rsidR="00094B77">
        <w:lastRenderedPageBreak/>
        <w:t>of the Commission and proclaimed that lowering the retirement age established a prohibited difference in treatment directly based on age.</w:t>
      </w:r>
      <w:r w:rsidR="00094B77">
        <w:rPr>
          <w:rStyle w:val="Voetnootmarkering"/>
        </w:rPr>
        <w:footnoteReference w:id="13"/>
      </w:r>
      <w:r w:rsidR="00094B77">
        <w:t xml:space="preserve"> </w:t>
      </w:r>
      <w:r w:rsidR="00B7105A">
        <w:t>Consequently</w:t>
      </w:r>
      <w:r w:rsidR="00094B77">
        <w:t xml:space="preserve">, the Hungarian </w:t>
      </w:r>
      <w:r w:rsidR="00B7105A">
        <w:t xml:space="preserve">government </w:t>
      </w:r>
      <w:r w:rsidR="00094B77">
        <w:t xml:space="preserve">failed to fulfil its obligations under Directive 2000/78. </w:t>
      </w:r>
    </w:p>
    <w:p w14:paraId="3053755D" w14:textId="0EA36BAF" w:rsidR="00B7105A" w:rsidRDefault="005B5A55" w:rsidP="00CD2E4D">
      <w:r w:rsidRPr="00722378">
        <w:t>In order to implement the judgement,</w:t>
      </w:r>
      <w:r w:rsidR="00B7105A">
        <w:t xml:space="preserve"> the Hungarian government had to allow</w:t>
      </w:r>
      <w:r w:rsidRPr="00722378">
        <w:t xml:space="preserve"> the </w:t>
      </w:r>
      <w:r w:rsidR="00094B77">
        <w:t xml:space="preserve">disadvantaged </w:t>
      </w:r>
      <w:r w:rsidRPr="00722378">
        <w:t xml:space="preserve">judges to return to their former positions. Nevertheless, the </w:t>
      </w:r>
      <w:r w:rsidR="00094B77">
        <w:t xml:space="preserve">Hungarian </w:t>
      </w:r>
      <w:r w:rsidRPr="00722378">
        <w:t xml:space="preserve">National Judicial Office </w:t>
      </w:r>
      <w:r w:rsidR="00D2061E">
        <w:t xml:space="preserve">firstly </w:t>
      </w:r>
      <w:r w:rsidRPr="00722378">
        <w:t>appointed new judges to the empty positions. Afterwards, the senior judges were allowed to return back, yet not to their original positions if those positions had already been filled with the new appointees.</w:t>
      </w:r>
      <w:r w:rsidRPr="00722378">
        <w:rPr>
          <w:rStyle w:val="Voetnootmarkering"/>
        </w:rPr>
        <w:footnoteReference w:id="14"/>
      </w:r>
      <w:r w:rsidRPr="00722378">
        <w:t xml:space="preserve"> Furthermore, the Hungarian government offered compensation to the retired judges </w:t>
      </w:r>
      <w:r w:rsidR="00D2061E">
        <w:t>if</w:t>
      </w:r>
      <w:r w:rsidRPr="00722378">
        <w:t xml:space="preserve"> they decided not </w:t>
      </w:r>
      <w:r w:rsidR="00D2061E">
        <w:t>to return</w:t>
      </w:r>
      <w:r w:rsidRPr="00722378">
        <w:t xml:space="preserve"> to work. As a result, very few judges actually returned to judging and none returned to their leadership posts.</w:t>
      </w:r>
      <w:r w:rsidRPr="00722378">
        <w:rPr>
          <w:rStyle w:val="Voetnootmarkering"/>
        </w:rPr>
        <w:footnoteReference w:id="15"/>
      </w:r>
      <w:r w:rsidRPr="00722378">
        <w:t xml:space="preserve"> According to former Commissioner </w:t>
      </w:r>
      <w:r w:rsidRPr="00722378">
        <w:rPr>
          <w:i/>
          <w:smallCaps/>
        </w:rPr>
        <w:t>Reding</w:t>
      </w:r>
      <w:r w:rsidRPr="00722378">
        <w:t xml:space="preserve">, </w:t>
      </w:r>
      <w:r w:rsidR="00B7105A">
        <w:t>the Hungarian government</w:t>
      </w:r>
      <w:r w:rsidRPr="00722378">
        <w:t xml:space="preserve"> sufficient</w:t>
      </w:r>
      <w:r w:rsidR="00E90477">
        <w:t>ly</w:t>
      </w:r>
      <w:r w:rsidRPr="00722378">
        <w:t xml:space="preserve"> </w:t>
      </w:r>
      <w:r w:rsidR="00E90477">
        <w:t>complied with the judgement of the Court of Justice of the European Union by adopting these measures</w:t>
      </w:r>
      <w:r w:rsidRPr="00722378">
        <w:t>.</w:t>
      </w:r>
      <w:r w:rsidRPr="00722378">
        <w:rPr>
          <w:rStyle w:val="Voetnootmarkering"/>
        </w:rPr>
        <w:footnoteReference w:id="16"/>
      </w:r>
      <w:r w:rsidRPr="00722378">
        <w:t xml:space="preserve"> </w:t>
      </w:r>
      <w:r w:rsidR="00E90477">
        <w:t>However</w:t>
      </w:r>
      <w:r w:rsidRPr="00722378">
        <w:t>, the Commission merely focused on fragments of the issue – lowered retirement age, instead of</w:t>
      </w:r>
      <w:r w:rsidR="00CE1668">
        <w:t xml:space="preserve"> focussing on</w:t>
      </w:r>
      <w:r w:rsidRPr="00722378">
        <w:t xml:space="preserve"> the broader picture addressing the greater concern –</w:t>
      </w:r>
      <w:r w:rsidR="00B7105A">
        <w:t xml:space="preserve"> independence of the judiciary. </w:t>
      </w:r>
      <w:r w:rsidR="00D2061E">
        <w:t>Thus, t</w:t>
      </w:r>
      <w:r w:rsidR="00BD0920" w:rsidRPr="00722378">
        <w:t xml:space="preserve">he Commission based its rule of law enforcement in Hungary merely on the infringement procedure of Article 258 TFEU, addressing specific issues rather than the rule of law issue as such. </w:t>
      </w:r>
    </w:p>
    <w:p w14:paraId="1F050F90" w14:textId="50B24EE6" w:rsidR="00CE1668" w:rsidRDefault="00E90477" w:rsidP="00CE1668">
      <w:r>
        <w:t>T</w:t>
      </w:r>
      <w:r w:rsidR="00530BCC">
        <w:t>he Commissio</w:t>
      </w:r>
      <w:r>
        <w:t xml:space="preserve">n, as guardian of the Treaties, </w:t>
      </w:r>
      <w:r w:rsidR="00530BCC">
        <w:t>took the lead.</w:t>
      </w:r>
      <w:r>
        <w:t xml:space="preserve"> F</w:t>
      </w:r>
      <w:r w:rsidR="00530BCC">
        <w:t>ormer President of the Commission, José Manuel Barroso</w:t>
      </w:r>
      <w:r w:rsidR="00CE1668">
        <w:t>,</w:t>
      </w:r>
      <w:r w:rsidR="00530BCC">
        <w:t xml:space="preserve"> wanted to develop a tool of instruments, enabling the EU to react appropriately to national rule of law crises</w:t>
      </w:r>
      <w:r w:rsidR="00CE1668">
        <w:t>,</w:t>
      </w:r>
      <w:r w:rsidR="00530BCC">
        <w:t xml:space="preserve"> apart from the soft power of political persuasion and </w:t>
      </w:r>
      <w:r>
        <w:t xml:space="preserve">the ‘nuclear’ power of </w:t>
      </w:r>
      <w:r w:rsidR="00530BCC">
        <w:t>Article 7 TEU</w:t>
      </w:r>
      <w:r w:rsidR="00DE1D36">
        <w:t>.</w:t>
      </w:r>
      <w:r w:rsidR="00530BCC">
        <w:rPr>
          <w:rStyle w:val="Voetnootmarkering"/>
        </w:rPr>
        <w:footnoteReference w:id="17"/>
      </w:r>
      <w:r w:rsidR="00530BCC">
        <w:t xml:space="preserve"> </w:t>
      </w:r>
      <w:r w:rsidR="00B7105A">
        <w:t xml:space="preserve">Subsequently, </w:t>
      </w:r>
      <w:r w:rsidR="00BD0920" w:rsidRPr="00722378">
        <w:t xml:space="preserve">the Commission </w:t>
      </w:r>
      <w:r w:rsidR="00CE1668">
        <w:t xml:space="preserve">established </w:t>
      </w:r>
      <w:r w:rsidR="00BD0920" w:rsidRPr="00722378">
        <w:t>a new framework to ensure an effective and coherent protection of the rule of law in all the Member States</w:t>
      </w:r>
      <w:r w:rsidR="001E3931">
        <w:t xml:space="preserve"> in order </w:t>
      </w:r>
      <w:r w:rsidR="00BD0920" w:rsidRPr="00722378">
        <w:t xml:space="preserve">to address and resolve a situation where a systemic threat to the rule of law </w:t>
      </w:r>
      <w:r w:rsidR="001E3931">
        <w:t xml:space="preserve">would </w:t>
      </w:r>
      <w:r w:rsidR="00BD0920" w:rsidRPr="00722378">
        <w:t>emerge</w:t>
      </w:r>
      <w:r w:rsidR="00530BCC">
        <w:t>, namely the ‘EU Framework to strengthen the Rule of Law’</w:t>
      </w:r>
      <w:r w:rsidR="00CE1668">
        <w:t xml:space="preserve"> – also called the </w:t>
      </w:r>
      <w:r w:rsidR="00CE1668" w:rsidRPr="00722378">
        <w:t>‘pre-Article 7 TEU mechanism’</w:t>
      </w:r>
      <w:r w:rsidR="00BD0920" w:rsidRPr="00722378">
        <w:t xml:space="preserve">. </w:t>
      </w:r>
      <w:r w:rsidR="00ED1251" w:rsidRPr="00722378">
        <w:t xml:space="preserve">The </w:t>
      </w:r>
      <w:r w:rsidR="001E3931">
        <w:t>Rule of Law</w:t>
      </w:r>
      <w:r w:rsidR="00ED1251" w:rsidRPr="00722378">
        <w:t xml:space="preserve"> </w:t>
      </w:r>
      <w:r w:rsidR="001E3931">
        <w:t>F</w:t>
      </w:r>
      <w:r w:rsidR="00ED1251" w:rsidRPr="00722378">
        <w:t xml:space="preserve">ramework </w:t>
      </w:r>
      <w:r w:rsidR="00180977">
        <w:t>should enable</w:t>
      </w:r>
      <w:r w:rsidR="001E3931">
        <w:t xml:space="preserve"> a </w:t>
      </w:r>
      <w:r w:rsidR="002300FF">
        <w:t>Member State</w:t>
      </w:r>
      <w:r w:rsidR="001E3931">
        <w:t xml:space="preserve"> to find a </w:t>
      </w:r>
      <w:r w:rsidR="002300FF" w:rsidRPr="00722378">
        <w:t xml:space="preserve">solution in order to avoid the development </w:t>
      </w:r>
      <w:r w:rsidR="00530BCC">
        <w:t xml:space="preserve">of a </w:t>
      </w:r>
      <w:r w:rsidR="00530BCC">
        <w:lastRenderedPageBreak/>
        <w:t xml:space="preserve">threat to the rule of law into </w:t>
      </w:r>
      <w:r w:rsidR="002300FF" w:rsidRPr="00722378">
        <w:t>a clear risk of a serious breach within the meaning of Article 7 TEU.</w:t>
      </w:r>
      <w:r w:rsidR="002300FF" w:rsidRPr="00722378">
        <w:rPr>
          <w:vertAlign w:val="superscript"/>
        </w:rPr>
        <w:footnoteReference w:id="18"/>
      </w:r>
      <w:r w:rsidR="002300FF" w:rsidRPr="00722378">
        <w:t xml:space="preserve"> </w:t>
      </w:r>
      <w:r w:rsidR="002300FF">
        <w:t>Where Article 7 TEU can</w:t>
      </w:r>
      <w:r w:rsidR="00530BCC">
        <w:t xml:space="preserve"> only</w:t>
      </w:r>
      <w:r w:rsidR="002300FF">
        <w:t xml:space="preserve"> be activated as soon there is a clear risk of a serious breach</w:t>
      </w:r>
      <w:r w:rsidR="00530BCC">
        <w:t>, the Rule of Law Framework is developed enabl</w:t>
      </w:r>
      <w:r w:rsidR="00B7105A">
        <w:t>ing</w:t>
      </w:r>
      <w:r w:rsidR="00530BCC">
        <w:t xml:space="preserve"> the EU to react already in an earlier stage, namely when there is a threat to the rule of law </w:t>
      </w:r>
      <w:r w:rsidR="00175770">
        <w:t xml:space="preserve">– </w:t>
      </w:r>
      <w:r w:rsidR="00530BCC">
        <w:t xml:space="preserve">admitting </w:t>
      </w:r>
      <w:r w:rsidR="00175770">
        <w:t>that the difference in meaning between both concepts is not really clear</w:t>
      </w:r>
      <w:r w:rsidR="00180977">
        <w:t xml:space="preserve">. </w:t>
      </w:r>
    </w:p>
    <w:p w14:paraId="640008BF" w14:textId="2032B924" w:rsidR="00601458" w:rsidRDefault="00601458" w:rsidP="00CE1668">
      <w:pPr>
        <w:pStyle w:val="Kop3"/>
      </w:pPr>
      <w:bookmarkStart w:id="5" w:name="_Toc354987643"/>
      <w:r>
        <w:t xml:space="preserve">Theoretical </w:t>
      </w:r>
      <w:r w:rsidR="005D2A13">
        <w:t>setting of the new Rule of Law Framework</w:t>
      </w:r>
      <w:bookmarkEnd w:id="5"/>
    </w:p>
    <w:p w14:paraId="143EC679" w14:textId="4A29C62A" w:rsidR="005D2A13" w:rsidRDefault="00BC6D33" w:rsidP="005D2A13">
      <w:r>
        <w:t>According the Commission, t</w:t>
      </w:r>
      <w:r w:rsidRPr="00722378">
        <w:t xml:space="preserve">he Rule of Law Framework </w:t>
      </w:r>
      <w:r>
        <w:t>will be</w:t>
      </w:r>
      <w:r w:rsidRPr="00722378">
        <w:t xml:space="preserve"> </w:t>
      </w:r>
      <w:r>
        <w:t>based</w:t>
      </w:r>
      <w:r w:rsidRPr="00722378">
        <w:t xml:space="preserve"> on</w:t>
      </w:r>
      <w:r>
        <w:t xml:space="preserve"> the principles of</w:t>
      </w:r>
      <w:r w:rsidRPr="00722378">
        <w:t xml:space="preserve"> dialogue, objectivity and thorough assessment, equal treatment and swift and concrete actions.</w:t>
      </w:r>
      <w:r>
        <w:rPr>
          <w:rStyle w:val="Voetnootmarkering"/>
        </w:rPr>
        <w:footnoteReference w:id="19"/>
      </w:r>
      <w:r>
        <w:t xml:space="preserve"> </w:t>
      </w:r>
      <w:r w:rsidR="002347CE">
        <w:t xml:space="preserve">Therefore, the Rule of Law Framework </w:t>
      </w:r>
      <w:r w:rsidR="00CE1668">
        <w:t>consists</w:t>
      </w:r>
      <w:r w:rsidR="002347CE">
        <w:t xml:space="preserve">, as a rule, </w:t>
      </w:r>
      <w:r w:rsidR="00CE1668">
        <w:t xml:space="preserve">of a three stage procedure, namely Commission Assessment, Commission Recommendation and a </w:t>
      </w:r>
      <w:r w:rsidR="00E90477">
        <w:t>F</w:t>
      </w:r>
      <w:r w:rsidR="00CE1668">
        <w:t>ollow-up to the Commission Recommendation.</w:t>
      </w:r>
      <w:r w:rsidR="004C7304">
        <w:rPr>
          <w:rStyle w:val="Voetnootmarkering"/>
        </w:rPr>
        <w:footnoteReference w:id="20"/>
      </w:r>
      <w:r w:rsidR="00DE1D36" w:rsidRPr="00DE1D36">
        <w:t xml:space="preserve"> </w:t>
      </w:r>
    </w:p>
    <w:p w14:paraId="45C97166" w14:textId="355C198D" w:rsidR="008D35F4" w:rsidRPr="0052485E" w:rsidRDefault="008D35F4" w:rsidP="0052485E">
      <w:pPr>
        <w:pStyle w:val="Kop4"/>
      </w:pPr>
      <w:bookmarkStart w:id="6" w:name="_Toc354987644"/>
      <w:r w:rsidRPr="0052485E">
        <w:t>First stage: Commission Assessment</w:t>
      </w:r>
      <w:bookmarkEnd w:id="6"/>
    </w:p>
    <w:p w14:paraId="46E4DA2A" w14:textId="2A2DE996" w:rsidR="00CF73E1" w:rsidRDefault="002347CE" w:rsidP="007649CE">
      <w:r>
        <w:t xml:space="preserve">The Rule of Law Framework will be activated by measures taken by the authorities of a Member States or by situations where the authorities of a Member State tolerates situations which are likely </w:t>
      </w:r>
      <w:r>
        <w:rPr>
          <w:i/>
        </w:rPr>
        <w:t>“to systematically and adversely affect the integrity, stability or the proper functioning of the institutions and the safeguard mechanisms established at national level to secure the rule of law”</w:t>
      </w:r>
      <w:r>
        <w:t>.</w:t>
      </w:r>
      <w:r>
        <w:rPr>
          <w:rStyle w:val="Voetnootmarkering"/>
        </w:rPr>
        <w:footnoteReference w:id="21"/>
      </w:r>
      <w:r>
        <w:rPr>
          <w:i/>
        </w:rPr>
        <w:t xml:space="preserve"> </w:t>
      </w:r>
      <w:r>
        <w:t xml:space="preserve">In other terms, if a threat to the rule of law </w:t>
      </w:r>
      <w:r w:rsidR="00E90477">
        <w:t xml:space="preserve">emerges in one of the Member States </w:t>
      </w:r>
      <w:r>
        <w:t xml:space="preserve">which is of systemic nature, the Commission </w:t>
      </w:r>
      <w:r w:rsidR="00A30FA4">
        <w:t>has the possibility to start the first stage of the Rule of Law Framework.</w:t>
      </w:r>
      <w:r w:rsidR="00A30FA4">
        <w:rPr>
          <w:rStyle w:val="Voetnootmarkering"/>
        </w:rPr>
        <w:footnoteReference w:id="22"/>
      </w:r>
      <w:r w:rsidR="00A30FA4">
        <w:t xml:space="preserve"> </w:t>
      </w:r>
    </w:p>
    <w:p w14:paraId="72C6F17F" w14:textId="36F10E6C" w:rsidR="00CF73E1" w:rsidRDefault="00CF73E1" w:rsidP="007649CE">
      <w:r>
        <w:t xml:space="preserve">The first phase of the Rule of Law Framework is an assessment of the Commission. On the basis of </w:t>
      </w:r>
      <w:r w:rsidR="007A7F33">
        <w:t>the assessment of the facts</w:t>
      </w:r>
      <w:r>
        <w:t xml:space="preserve">, the Commission will review whether a certain development within a Member </w:t>
      </w:r>
      <w:r>
        <w:lastRenderedPageBreak/>
        <w:t>States consists of a systemic threat to the rule of law.</w:t>
      </w:r>
      <w:r w:rsidR="006C3259">
        <w:rPr>
          <w:rStyle w:val="Voetnootmarkering"/>
        </w:rPr>
        <w:footnoteReference w:id="23"/>
      </w:r>
      <w:r>
        <w:t xml:space="preserve"> In order to determine whether such a systemic threat to the rule of law o</w:t>
      </w:r>
      <w:r w:rsidR="006C3259">
        <w:t>ccurs, the Commission will build</w:t>
      </w:r>
      <w:r>
        <w:t xml:space="preserve"> its f</w:t>
      </w:r>
      <w:r w:rsidR="00FA0711">
        <w:t xml:space="preserve">act-finding not only upon own expertise, but more importantly also </w:t>
      </w:r>
      <w:r w:rsidR="00FA0711" w:rsidRPr="00722378">
        <w:t>upon the expertise of third parties.</w:t>
      </w:r>
      <w:r w:rsidR="00FA0711" w:rsidRPr="00722378">
        <w:rPr>
          <w:rStyle w:val="Voetnootmarkering"/>
        </w:rPr>
        <w:footnoteReference w:id="24"/>
      </w:r>
      <w:r w:rsidR="00FA0711">
        <w:t xml:space="preserve"> </w:t>
      </w:r>
    </w:p>
    <w:p w14:paraId="0B4CF29D" w14:textId="5EAFE8F3" w:rsidR="00FA0711" w:rsidRPr="00722378" w:rsidRDefault="00CF73E1" w:rsidP="00FA0711">
      <w:r>
        <w:t>The expertise of</w:t>
      </w:r>
      <w:r w:rsidR="00FA0711">
        <w:t xml:space="preserve"> th</w:t>
      </w:r>
      <w:r w:rsidR="005D2A13" w:rsidRPr="00722378">
        <w:t>e European Union Agency for Fundamental Rights (</w:t>
      </w:r>
      <w:r w:rsidR="005D2A13">
        <w:t>hereinafter ‘FRA’)</w:t>
      </w:r>
      <w:r w:rsidR="006C3259">
        <w:t>, for instance,</w:t>
      </w:r>
      <w:r>
        <w:t xml:space="preserve"> is an important source of information</w:t>
      </w:r>
      <w:r w:rsidR="00FA0711">
        <w:t>.</w:t>
      </w:r>
      <w:r>
        <w:t xml:space="preserve"> </w:t>
      </w:r>
      <w:r w:rsidR="008F037E">
        <w:t xml:space="preserve">This agency </w:t>
      </w:r>
      <w:r w:rsidR="00782890">
        <w:t xml:space="preserve">with </w:t>
      </w:r>
      <w:r w:rsidR="006C3259">
        <w:t xml:space="preserve">a </w:t>
      </w:r>
      <w:r w:rsidR="00782890">
        <w:t xml:space="preserve">merely advisory power </w:t>
      </w:r>
      <w:r w:rsidR="00FA0711" w:rsidRPr="00722378">
        <w:t xml:space="preserve">consists of experts collecting and analysing data </w:t>
      </w:r>
      <w:r w:rsidR="008F037E">
        <w:t xml:space="preserve">and providing assistance and expertise </w:t>
      </w:r>
      <w:r w:rsidR="008F037E" w:rsidRPr="00722378">
        <w:t>in the field of fundamental rights</w:t>
      </w:r>
      <w:r w:rsidR="00FA0711" w:rsidRPr="00722378">
        <w:t>.</w:t>
      </w:r>
      <w:r w:rsidR="00FA0711" w:rsidRPr="00722378">
        <w:rPr>
          <w:rStyle w:val="Voetnootmarkering"/>
        </w:rPr>
        <w:footnoteReference w:id="25"/>
      </w:r>
      <w:r w:rsidR="00FA0711" w:rsidRPr="00722378">
        <w:t xml:space="preserve"> </w:t>
      </w:r>
      <w:r w:rsidR="00782890">
        <w:t>Nevertheless, t</w:t>
      </w:r>
      <w:r w:rsidR="00FA0711" w:rsidRPr="00722378">
        <w:t>he FRA could alert the Commission of suspected breaches of fundamental rights, although it is only recognised that EU</w:t>
      </w:r>
      <w:r w:rsidR="000562E7">
        <w:t xml:space="preserve"> </w:t>
      </w:r>
      <w:r w:rsidR="00FA0711" w:rsidRPr="00722378">
        <w:t xml:space="preserve">institutions seek the assistance of the FRA to obtain a report on the situation in the </w:t>
      </w:r>
      <w:r w:rsidR="002C0FDD">
        <w:t>concerned Member State</w:t>
      </w:r>
      <w:r w:rsidR="00FA0711" w:rsidRPr="00722378">
        <w:t>.</w:t>
      </w:r>
      <w:r w:rsidR="00FA0711" w:rsidRPr="00722378">
        <w:rPr>
          <w:rStyle w:val="Voetnootmarkering"/>
        </w:rPr>
        <w:footnoteReference w:id="26"/>
      </w:r>
      <w:r w:rsidR="00FA0711" w:rsidRPr="00722378">
        <w:t xml:space="preserve"> </w:t>
      </w:r>
      <w:r w:rsidR="00FA0711">
        <w:t>Moreover, t</w:t>
      </w:r>
      <w:r w:rsidR="00FA0711" w:rsidRPr="00722378">
        <w:t>he authority of the FRA is limited</w:t>
      </w:r>
      <w:r w:rsidR="00782890">
        <w:t xml:space="preserve"> to the scope of EU</w:t>
      </w:r>
      <w:r w:rsidR="000562E7">
        <w:t xml:space="preserve"> </w:t>
      </w:r>
      <w:r w:rsidR="00782890">
        <w:t>law</w:t>
      </w:r>
      <w:r w:rsidR="00FA0711" w:rsidRPr="00722378">
        <w:t>.</w:t>
      </w:r>
      <w:r w:rsidR="00FA0711" w:rsidRPr="00722378">
        <w:rPr>
          <w:rStyle w:val="Voetnootmarkering"/>
        </w:rPr>
        <w:footnoteReference w:id="27"/>
      </w:r>
      <w:r w:rsidR="00FA0711" w:rsidRPr="00722378">
        <w:t xml:space="preserve"> </w:t>
      </w:r>
      <w:r w:rsidR="00782890">
        <w:t>Consequently</w:t>
      </w:r>
      <w:r w:rsidR="00FA0711" w:rsidRPr="00722378">
        <w:t>, issues related to fundamental rights arising within Member States that go beyond the implementation of EU</w:t>
      </w:r>
      <w:r w:rsidR="000562E7">
        <w:t xml:space="preserve"> </w:t>
      </w:r>
      <w:r w:rsidR="00FA0711" w:rsidRPr="00722378">
        <w:t xml:space="preserve">law </w:t>
      </w:r>
      <w:r w:rsidR="00FA0711">
        <w:t>are</w:t>
      </w:r>
      <w:r w:rsidR="00FA0711" w:rsidRPr="00722378">
        <w:t xml:space="preserve"> not incorporated within the mandate of the FRA. </w:t>
      </w:r>
    </w:p>
    <w:p w14:paraId="6B10C9F7" w14:textId="3F206C0C" w:rsidR="00FA0711" w:rsidRPr="00722378" w:rsidRDefault="00FA0711" w:rsidP="00FA0711">
      <w:r w:rsidRPr="00722378">
        <w:t>The Commission took into account th</w:t>
      </w:r>
      <w:r w:rsidR="00782890">
        <w:t>ese</w:t>
      </w:r>
      <w:r w:rsidRPr="00722378">
        <w:t xml:space="preserve"> limitations </w:t>
      </w:r>
      <w:r w:rsidR="00782890">
        <w:t xml:space="preserve">of the FRA. Therefore, </w:t>
      </w:r>
      <w:r w:rsidR="006C3259">
        <w:t>t</w:t>
      </w:r>
      <w:r w:rsidR="00782890">
        <w:t xml:space="preserve">he Commission </w:t>
      </w:r>
      <w:r w:rsidR="006C3259" w:rsidRPr="00722378">
        <w:t>consult</w:t>
      </w:r>
      <w:r w:rsidR="006C3259">
        <w:t>s</w:t>
      </w:r>
      <w:r w:rsidR="006C3259" w:rsidRPr="00722378">
        <w:t xml:space="preserve"> </w:t>
      </w:r>
      <w:r w:rsidRPr="00722378">
        <w:t>not only EU</w:t>
      </w:r>
      <w:r w:rsidR="000562E7">
        <w:t xml:space="preserve"> </w:t>
      </w:r>
      <w:r w:rsidRPr="00722378">
        <w:t>bodies</w:t>
      </w:r>
      <w:r w:rsidR="007A7F33">
        <w:t xml:space="preserve"> in order to find indicators for rule of law th</w:t>
      </w:r>
      <w:r w:rsidR="006C3259">
        <w:t>reats in a certain Member State</w:t>
      </w:r>
      <w:r w:rsidRPr="00722378">
        <w:t xml:space="preserve">, but </w:t>
      </w:r>
      <w:r w:rsidR="00782890">
        <w:t>also</w:t>
      </w:r>
      <w:r w:rsidRPr="00722378">
        <w:t xml:space="preserve"> other international organisations dealing with the rule of law, such as the Council of Europe, in particular the Venice Commission. However, </w:t>
      </w:r>
      <w:r w:rsidR="00372906">
        <w:t>relying</w:t>
      </w:r>
      <w:r w:rsidR="007A7F33">
        <w:t xml:space="preserve"> on </w:t>
      </w:r>
      <w:r w:rsidR="00372906">
        <w:t>t</w:t>
      </w:r>
      <w:r w:rsidR="007A7F33">
        <w:t>he expertise of</w:t>
      </w:r>
      <w:r w:rsidRPr="00722378">
        <w:t xml:space="preserve"> bodies</w:t>
      </w:r>
      <w:r w:rsidR="007A7F33">
        <w:t xml:space="preserve"> aside from the EU</w:t>
      </w:r>
      <w:r w:rsidRPr="00722378">
        <w:t xml:space="preserve"> can be criticised</w:t>
      </w:r>
      <w:r w:rsidR="00372906">
        <w:t>, as</w:t>
      </w:r>
      <w:r w:rsidRPr="00722378">
        <w:t xml:space="preserve"> Article 2 TEU contains ‘EU’s’ fundamental values.</w:t>
      </w:r>
      <w:r w:rsidR="00372906" w:rsidRPr="00722378">
        <w:rPr>
          <w:rStyle w:val="Voetnootmarkering"/>
        </w:rPr>
        <w:footnoteReference w:id="28"/>
      </w:r>
      <w:r w:rsidRPr="00722378">
        <w:t xml:space="preserve"> ‘Outsourcing’ will be most likely </w:t>
      </w:r>
      <w:r w:rsidRPr="00722378">
        <w:lastRenderedPageBreak/>
        <w:t>insufficient in dealing with specific areas of EU</w:t>
      </w:r>
      <w:r w:rsidR="000562E7">
        <w:t xml:space="preserve"> </w:t>
      </w:r>
      <w:r w:rsidRPr="00722378">
        <w:t>law</w:t>
      </w:r>
      <w:r w:rsidR="00372906">
        <w:t xml:space="preserve"> which</w:t>
      </w:r>
      <w:r w:rsidRPr="00722378">
        <w:t xml:space="preserve"> requires a EU autonomous interpretation.</w:t>
      </w:r>
      <w:r w:rsidRPr="00722378">
        <w:rPr>
          <w:rStyle w:val="Voetnootmarkering"/>
        </w:rPr>
        <w:footnoteReference w:id="29"/>
      </w:r>
      <w:r w:rsidRPr="00722378">
        <w:t xml:space="preserve"> However, all Member States of the EU are members of the Council of Europe and, therefore, subject to the m</w:t>
      </w:r>
      <w:r w:rsidR="006C3259">
        <w:t>onitoring of this organisation</w:t>
      </w:r>
      <w:r w:rsidRPr="00722378">
        <w:t xml:space="preserve">. </w:t>
      </w:r>
      <w:r w:rsidR="00782890">
        <w:t>Furthermore, the Commission explicitly refers to the case law of the European Court of Human Right and the documents of the Venice Commission in order to define the rule of law as mentioned in Article 2 TEU.</w:t>
      </w:r>
      <w:r w:rsidR="001A5A25" w:rsidRPr="001A5A25">
        <w:rPr>
          <w:rStyle w:val="Voetnootmarkering"/>
        </w:rPr>
        <w:t xml:space="preserve"> </w:t>
      </w:r>
      <w:r w:rsidR="001A5A25" w:rsidRPr="00722378">
        <w:rPr>
          <w:rStyle w:val="Voetnootmarkering"/>
        </w:rPr>
        <w:footnoteReference w:id="30"/>
      </w:r>
      <w:r w:rsidR="00782890">
        <w:t xml:space="preserve"> </w:t>
      </w:r>
      <w:r w:rsidRPr="00722378">
        <w:t xml:space="preserve">So, as far as the </w:t>
      </w:r>
      <w:r w:rsidR="009675CB" w:rsidRPr="00722378">
        <w:t xml:space="preserve">rule of law </w:t>
      </w:r>
      <w:r w:rsidRPr="00722378">
        <w:t>standards</w:t>
      </w:r>
      <w:r w:rsidR="009675CB">
        <w:t xml:space="preserve"> of the EU and the Council of Europe</w:t>
      </w:r>
      <w:r w:rsidRPr="00722378">
        <w:t xml:space="preserve"> correspond, the Commission should nevertheless use the </w:t>
      </w:r>
      <w:r w:rsidR="009675CB">
        <w:t xml:space="preserve">expertise of the Council of Europe and consequently, the </w:t>
      </w:r>
      <w:r w:rsidR="006C3259">
        <w:t>information gathered by this international organisation</w:t>
      </w:r>
      <w:r w:rsidRPr="00722378">
        <w:t>. The EU could thus benefit from the extensive data produced by the Council of Europe, in order to avoid overlap and unnecessary duplication of information, time and money.</w:t>
      </w:r>
      <w:r w:rsidRPr="00722378">
        <w:rPr>
          <w:rStyle w:val="Voetnootmarkering"/>
        </w:rPr>
        <w:footnoteReference w:id="31"/>
      </w:r>
      <w:r w:rsidRPr="00722378">
        <w:t xml:space="preserve"> </w:t>
      </w:r>
    </w:p>
    <w:p w14:paraId="76B0016C" w14:textId="67365ADC" w:rsidR="005D2A13" w:rsidRPr="00722378" w:rsidRDefault="009675CB" w:rsidP="005D2A13">
      <w:r>
        <w:t xml:space="preserve">The Commission, however, does not provide more information on how </w:t>
      </w:r>
      <w:r w:rsidR="007A7F33">
        <w:t xml:space="preserve">the assessment </w:t>
      </w:r>
      <w:r w:rsidR="00372906">
        <w:t>of the facts will be carried out.</w:t>
      </w:r>
      <w:r w:rsidR="005D2A13" w:rsidRPr="00722378">
        <w:rPr>
          <w:rStyle w:val="Voetnootmarkering"/>
        </w:rPr>
        <w:footnoteReference w:id="32"/>
      </w:r>
      <w:r w:rsidR="005D2A13" w:rsidRPr="00722378">
        <w:t xml:space="preserve"> </w:t>
      </w:r>
      <w:r w:rsidR="003C296F">
        <w:t>I</w:t>
      </w:r>
      <w:r w:rsidR="003C296F" w:rsidRPr="00722378">
        <w:t xml:space="preserve">t enables the Commission to gather information and assess the situation in a flexible manner </w:t>
      </w:r>
      <w:r w:rsidR="003C296F">
        <w:t xml:space="preserve">suitable for </w:t>
      </w:r>
      <w:r w:rsidR="003C296F" w:rsidRPr="00722378">
        <w:t xml:space="preserve">the specific </w:t>
      </w:r>
      <w:r w:rsidR="003C296F">
        <w:t>developments of</w:t>
      </w:r>
      <w:r w:rsidR="003C296F" w:rsidRPr="00722378">
        <w:t xml:space="preserve"> </w:t>
      </w:r>
      <w:r w:rsidR="003C296F">
        <w:t>the</w:t>
      </w:r>
      <w:r w:rsidR="003C296F" w:rsidRPr="00722378">
        <w:t xml:space="preserve"> </w:t>
      </w:r>
      <w:r w:rsidR="002C0FDD">
        <w:t>concerned Member State</w:t>
      </w:r>
      <w:r w:rsidR="003C296F" w:rsidRPr="00722378">
        <w:t xml:space="preserve">. </w:t>
      </w:r>
      <w:r w:rsidR="006C3259">
        <w:t>However, it</w:t>
      </w:r>
      <w:r w:rsidR="005D2A13" w:rsidRPr="00722378">
        <w:t xml:space="preserve"> </w:t>
      </w:r>
      <w:r w:rsidR="005D2A13">
        <w:t>impedes</w:t>
      </w:r>
      <w:r w:rsidR="005D2A13" w:rsidRPr="00722378">
        <w:t xml:space="preserve"> </w:t>
      </w:r>
      <w:r w:rsidR="006C3259">
        <w:t xml:space="preserve">the </w:t>
      </w:r>
      <w:r w:rsidR="005D2A13" w:rsidRPr="00722378">
        <w:t>control</w:t>
      </w:r>
      <w:r w:rsidR="006C3259">
        <w:t xml:space="preserve"> of</w:t>
      </w:r>
      <w:r w:rsidR="005D2A13" w:rsidRPr="00722378">
        <w:t xml:space="preserve"> </w:t>
      </w:r>
      <w:r w:rsidR="005D2A13">
        <w:t xml:space="preserve">the </w:t>
      </w:r>
      <w:r w:rsidR="00372906">
        <w:t xml:space="preserve">Commission’s </w:t>
      </w:r>
      <w:r w:rsidR="005D2A13">
        <w:t>compliance with</w:t>
      </w:r>
      <w:r w:rsidR="005D2A13" w:rsidRPr="00722378">
        <w:t xml:space="preserve"> </w:t>
      </w:r>
      <w:r w:rsidR="003C296F">
        <w:t xml:space="preserve">its own proclaimed principles upon which the Rule of Law Framework is based, namely </w:t>
      </w:r>
      <w:r w:rsidR="005D2A13" w:rsidRPr="00722378">
        <w:t>the principles of objectivity and impartiality.</w:t>
      </w:r>
      <w:r w:rsidR="005D2A13" w:rsidRPr="00722378">
        <w:rPr>
          <w:rStyle w:val="Voetnootmarkering"/>
        </w:rPr>
        <w:footnoteReference w:id="33"/>
      </w:r>
      <w:r w:rsidR="005D2A13" w:rsidRPr="00722378">
        <w:t xml:space="preserve"> </w:t>
      </w:r>
      <w:r w:rsidR="0056112E" w:rsidRPr="00722378">
        <w:t xml:space="preserve">Uncertainty about the reasons </w:t>
      </w:r>
      <w:r w:rsidR="006C3259">
        <w:t>that instigates the Rule of Law Framework</w:t>
      </w:r>
      <w:r w:rsidR="0056112E" w:rsidRPr="00722378">
        <w:t xml:space="preserve"> contributes to ambivalence whether the mechanism should be activated or not and (unintentional) to opportunistic behaviour of the Commission. Especially, it has to be </w:t>
      </w:r>
      <w:r w:rsidR="006C3259">
        <w:t>considered</w:t>
      </w:r>
      <w:r w:rsidR="0056112E" w:rsidRPr="00722378">
        <w:t xml:space="preserve"> that the Commission is the only EU</w:t>
      </w:r>
      <w:r w:rsidR="000562E7">
        <w:t xml:space="preserve"> </w:t>
      </w:r>
      <w:r w:rsidR="0056112E" w:rsidRPr="00722378">
        <w:t>institution that can activate the Rule of Law Framework and therefore has a wide</w:t>
      </w:r>
      <w:r w:rsidR="0056112E">
        <w:t xml:space="preserve"> margin of</w:t>
      </w:r>
      <w:r w:rsidR="0056112E" w:rsidRPr="00722378">
        <w:t xml:space="preserve"> discretion deciding whether or not to invoke this Framework.</w:t>
      </w:r>
      <w:r w:rsidR="0056112E" w:rsidRPr="00722378">
        <w:rPr>
          <w:rStyle w:val="Voetnootmarkering"/>
        </w:rPr>
        <w:footnoteReference w:id="34"/>
      </w:r>
      <w:r w:rsidR="0056112E" w:rsidRPr="00722378">
        <w:t xml:space="preserve"> </w:t>
      </w:r>
    </w:p>
    <w:p w14:paraId="4866B399" w14:textId="5FF78233" w:rsidR="005D2A13" w:rsidRDefault="00BA0A41" w:rsidP="005D2A13">
      <w:r>
        <w:t xml:space="preserve">If the Commission concludes on the basis of the assessment </w:t>
      </w:r>
      <w:r w:rsidR="005D2A13" w:rsidRPr="00722378">
        <w:t xml:space="preserve">that </w:t>
      </w:r>
      <w:r>
        <w:t>a</w:t>
      </w:r>
      <w:r w:rsidR="005D2A13" w:rsidRPr="00722378">
        <w:t xml:space="preserve"> systemic threat to the rule of law</w:t>
      </w:r>
      <w:r>
        <w:t xml:space="preserve"> </w:t>
      </w:r>
      <w:r w:rsidR="006C3259">
        <w:t>exists</w:t>
      </w:r>
      <w:r w:rsidR="005D2A13" w:rsidRPr="00722378">
        <w:t xml:space="preserve">, the Commission will initiate a dialogue with the </w:t>
      </w:r>
      <w:r w:rsidR="002C0FDD">
        <w:t>concerned Member State</w:t>
      </w:r>
      <w:r w:rsidR="005D2A13" w:rsidRPr="00722378">
        <w:t xml:space="preserve"> by sending a ‘Rule of Law Opinion’ giving the </w:t>
      </w:r>
      <w:r w:rsidR="002C0FDD">
        <w:t>concerned Member State</w:t>
      </w:r>
      <w:r w:rsidR="005D2A13" w:rsidRPr="00722378">
        <w:t xml:space="preserve"> the possibility to respond.</w:t>
      </w:r>
      <w:r w:rsidR="005D2A13" w:rsidRPr="00722378">
        <w:rPr>
          <w:rStyle w:val="Voetnootmarkering"/>
        </w:rPr>
        <w:footnoteReference w:id="35"/>
      </w:r>
      <w:r w:rsidR="00FA0711">
        <w:t xml:space="preserve"> </w:t>
      </w:r>
      <w:r>
        <w:t xml:space="preserve">Nevertheless, the established dialogue between the Commission and the </w:t>
      </w:r>
      <w:r w:rsidR="002C0FDD">
        <w:t>concerned Member State</w:t>
      </w:r>
      <w:r>
        <w:t xml:space="preserve"> during the first stage </w:t>
      </w:r>
      <w:r>
        <w:lastRenderedPageBreak/>
        <w:t xml:space="preserve">is highly </w:t>
      </w:r>
      <w:r w:rsidR="005D2A13" w:rsidRPr="00722378">
        <w:t xml:space="preserve">confidential. </w:t>
      </w:r>
      <w:r w:rsidR="008C048A">
        <w:t>T</w:t>
      </w:r>
      <w:r w:rsidR="005D2A13" w:rsidRPr="00722378">
        <w:t>he content of the dialogue</w:t>
      </w:r>
      <w:r w:rsidR="008C048A">
        <w:t>, the meetings and the correspondence</w:t>
      </w:r>
      <w:r w:rsidR="005D2A13" w:rsidRPr="00722378">
        <w:t xml:space="preserve"> is </w:t>
      </w:r>
      <w:r>
        <w:t>confidential. In other words,</w:t>
      </w:r>
      <w:r w:rsidR="005D2A13" w:rsidRPr="00722378">
        <w:t xml:space="preserve"> only the </w:t>
      </w:r>
      <w:r w:rsidR="006C3259">
        <w:t>initiation of</w:t>
      </w:r>
      <w:r w:rsidR="005D2A13" w:rsidRPr="00722378">
        <w:t xml:space="preserve"> the </w:t>
      </w:r>
      <w:r>
        <w:t>Rule of Law Framework</w:t>
      </w:r>
      <w:r w:rsidR="006C3259">
        <w:t xml:space="preserve"> </w:t>
      </w:r>
      <w:r w:rsidR="005D2A13" w:rsidRPr="00722378">
        <w:t xml:space="preserve">and </w:t>
      </w:r>
      <w:r w:rsidR="006C3259">
        <w:t>the sending of</w:t>
      </w:r>
      <w:r w:rsidR="005D2A13" w:rsidRPr="00722378">
        <w:t xml:space="preserve"> </w:t>
      </w:r>
      <w:r>
        <w:t>a</w:t>
      </w:r>
      <w:r w:rsidR="005D2A13" w:rsidRPr="00722378">
        <w:t xml:space="preserve"> </w:t>
      </w:r>
      <w:r w:rsidR="008C048A">
        <w:t>Rule of Law O</w:t>
      </w:r>
      <w:r w:rsidR="005D2A13" w:rsidRPr="00722378">
        <w:t>pinion will be made public.</w:t>
      </w:r>
      <w:r w:rsidR="005D2A13" w:rsidRPr="00722378">
        <w:rPr>
          <w:rStyle w:val="Voetnootmarkering"/>
        </w:rPr>
        <w:footnoteReference w:id="36"/>
      </w:r>
      <w:r w:rsidR="008C048A">
        <w:t xml:space="preserve"> </w:t>
      </w:r>
      <w:r w:rsidR="000B6C1F">
        <w:t>After all, t</w:t>
      </w:r>
      <w:r w:rsidR="008C048A">
        <w:t xml:space="preserve">he Commission </w:t>
      </w:r>
      <w:r w:rsidR="000B6C1F">
        <w:t>is of the opinion that</w:t>
      </w:r>
      <w:r w:rsidR="008C048A">
        <w:t xml:space="preserve"> </w:t>
      </w:r>
      <w:r w:rsidR="002E336E" w:rsidRPr="00722378">
        <w:t xml:space="preserve">full disclosure of the </w:t>
      </w:r>
      <w:r w:rsidR="000B6C1F">
        <w:t>dialogue within the context of the Rule of Law Framework</w:t>
      </w:r>
      <w:r w:rsidR="002E336E" w:rsidRPr="00722378">
        <w:t xml:space="preserve"> </w:t>
      </w:r>
      <w:r w:rsidR="000B6C1F">
        <w:t xml:space="preserve">would undermine the mutual trust between the Commission and the </w:t>
      </w:r>
      <w:r w:rsidR="002C0FDD">
        <w:t>concerned Member State</w:t>
      </w:r>
      <w:r w:rsidR="000B6C1F">
        <w:t xml:space="preserve"> which is necessary to find an appropriate solution.</w:t>
      </w:r>
      <w:r w:rsidR="002E336E" w:rsidRPr="00722378">
        <w:rPr>
          <w:rStyle w:val="Voetnootmarkering"/>
          <w:i/>
          <w:lang w:val="en-US"/>
        </w:rPr>
        <w:footnoteReference w:id="37"/>
      </w:r>
    </w:p>
    <w:p w14:paraId="2704CCD9" w14:textId="308F1E68" w:rsidR="005D2A13" w:rsidRDefault="002E336E" w:rsidP="005D2A13">
      <w:r>
        <w:t>T</w:t>
      </w:r>
      <w:r w:rsidRPr="00722378">
        <w:t xml:space="preserve">he confidential nature of </w:t>
      </w:r>
      <w:r w:rsidR="000B6C1F">
        <w:t>this first stage</w:t>
      </w:r>
      <w:r w:rsidRPr="00722378">
        <w:t xml:space="preserve"> and in particular </w:t>
      </w:r>
      <w:r w:rsidR="000B6C1F">
        <w:t xml:space="preserve">of </w:t>
      </w:r>
      <w:r w:rsidRPr="00722378">
        <w:t xml:space="preserve">the dialogue between the Commission and the </w:t>
      </w:r>
      <w:r w:rsidR="002C0FDD">
        <w:t>concerned Member State</w:t>
      </w:r>
      <w:r w:rsidRPr="00722378">
        <w:t xml:space="preserve"> will prevent the pressure </w:t>
      </w:r>
      <w:r w:rsidR="006C3259">
        <w:t>of ‘naming and shaming’</w:t>
      </w:r>
      <w:r w:rsidR="000B6C1F">
        <w:t>. Moreover, publishing a Rule of Law Opinion</w:t>
      </w:r>
      <w:r w:rsidR="008C048A">
        <w:t xml:space="preserve"> at this early stage</w:t>
      </w:r>
      <w:r w:rsidR="000B6C1F">
        <w:t xml:space="preserve"> of the procedure </w:t>
      </w:r>
      <w:r w:rsidRPr="00722378">
        <w:t xml:space="preserve">would contribute to the impartiality and objectivity of </w:t>
      </w:r>
      <w:r w:rsidR="008C048A">
        <w:t>the Rule of Law Framework</w:t>
      </w:r>
      <w:r w:rsidRPr="00722378">
        <w:t xml:space="preserve"> – values upon which </w:t>
      </w:r>
      <w:r w:rsidR="008C048A">
        <w:t>it</w:t>
      </w:r>
      <w:r w:rsidRPr="00722378">
        <w:t xml:space="preserve"> is based. It would even clarify how information gathering is carried out</w:t>
      </w:r>
      <w:r w:rsidR="00EE6BC6">
        <w:t xml:space="preserve">, what elements </w:t>
      </w:r>
      <w:r w:rsidR="006C3259">
        <w:t xml:space="preserve">will </w:t>
      </w:r>
      <w:r w:rsidR="00EE6BC6">
        <w:t>lead to the conclusion that a systemic threat to the rule of law exists</w:t>
      </w:r>
      <w:r w:rsidRPr="00722378">
        <w:t xml:space="preserve"> and how the procedure evolves from one stage to another.</w:t>
      </w:r>
      <w:r w:rsidR="00EE6BC6">
        <w:t xml:space="preserve"> I</w:t>
      </w:r>
      <w:r w:rsidRPr="00722378">
        <w:t>t would oblige the Commission to motivate its actions extensively</w:t>
      </w:r>
      <w:r w:rsidR="00EE6BC6">
        <w:t>. Moreover, this would</w:t>
      </w:r>
      <w:r w:rsidRPr="00722378">
        <w:t xml:space="preserve"> increase legal certainty for the Member States</w:t>
      </w:r>
      <w:r w:rsidR="00EE6BC6">
        <w:t xml:space="preserve">, as other Member States can evaluate their own actions in comparison to these of the </w:t>
      </w:r>
      <w:r w:rsidR="002C0FDD">
        <w:t>concerned Member State</w:t>
      </w:r>
      <w:r w:rsidR="00EE6BC6">
        <w:t xml:space="preserve"> and adjust where necessary in light of the assessment of the Commission</w:t>
      </w:r>
      <w:r w:rsidRPr="00722378">
        <w:t>.</w:t>
      </w:r>
    </w:p>
    <w:p w14:paraId="21D79D09" w14:textId="4568E9DB" w:rsidR="008D35F4" w:rsidRDefault="008D35F4" w:rsidP="0052485E">
      <w:pPr>
        <w:pStyle w:val="Kop4"/>
      </w:pPr>
      <w:bookmarkStart w:id="7" w:name="_Toc354987645"/>
      <w:r>
        <w:t>Second stage: Commission Recommendation</w:t>
      </w:r>
      <w:bookmarkEnd w:id="7"/>
    </w:p>
    <w:p w14:paraId="2AB46696" w14:textId="3EF5989C" w:rsidR="001C3D28" w:rsidRDefault="00EE6BC6" w:rsidP="001C3D28">
      <w:r>
        <w:t>However, w</w:t>
      </w:r>
      <w:r w:rsidR="001C3D28">
        <w:t xml:space="preserve">hen no satisfactory solution </w:t>
      </w:r>
      <w:r>
        <w:t>has been</w:t>
      </w:r>
      <w:r w:rsidR="001C3D28">
        <w:t xml:space="preserve"> found and objective evidence </w:t>
      </w:r>
      <w:r>
        <w:t xml:space="preserve">of a systemic threat </w:t>
      </w:r>
      <w:r w:rsidR="001C3D28">
        <w:t>exist</w:t>
      </w:r>
      <w:r w:rsidR="00C74407">
        <w:t>s</w:t>
      </w:r>
      <w:r w:rsidR="001C3D28">
        <w:t xml:space="preserve">, </w:t>
      </w:r>
      <w:r w:rsidR="00C74407">
        <w:t xml:space="preserve">the Commission will initiate </w:t>
      </w:r>
      <w:r w:rsidR="001C3D28">
        <w:t>the second stage</w:t>
      </w:r>
      <w:r>
        <w:t xml:space="preserve">. </w:t>
      </w:r>
      <w:r w:rsidR="004555F3">
        <w:t>During this</w:t>
      </w:r>
      <w:r w:rsidR="00C74407">
        <w:t xml:space="preserve"> stage</w:t>
      </w:r>
      <w:r w:rsidR="004555F3">
        <w:t xml:space="preserve">, the Commission issues </w:t>
      </w:r>
      <w:r>
        <w:t>a</w:t>
      </w:r>
      <w:r w:rsidR="001C3D28">
        <w:t xml:space="preserve"> ‘</w:t>
      </w:r>
      <w:r>
        <w:t>R</w:t>
      </w:r>
      <w:r w:rsidR="001C3D28">
        <w:t xml:space="preserve">ule of </w:t>
      </w:r>
      <w:r>
        <w:t>L</w:t>
      </w:r>
      <w:r w:rsidR="001C3D28">
        <w:t xml:space="preserve">aw </w:t>
      </w:r>
      <w:r>
        <w:t>R</w:t>
      </w:r>
      <w:r w:rsidR="001C3D28">
        <w:t>ecomm</w:t>
      </w:r>
      <w:r>
        <w:t>endation’, indicating</w:t>
      </w:r>
      <w:r w:rsidR="001C3D28">
        <w:t xml:space="preserve"> the reasons for concern</w:t>
      </w:r>
      <w:r w:rsidR="004555F3">
        <w:t xml:space="preserve">. Furthermore, </w:t>
      </w:r>
      <w:r w:rsidR="00B67F9D">
        <w:t>the Rule of Law Recommendation stipulates specific indications on ways and measures to resolve the rule of law issue.</w:t>
      </w:r>
      <w:r w:rsidR="00B67F9D">
        <w:rPr>
          <w:rStyle w:val="Voetnootmarkering"/>
        </w:rPr>
        <w:footnoteReference w:id="38"/>
      </w:r>
      <w:r w:rsidR="00B67F9D">
        <w:t xml:space="preserve"> The </w:t>
      </w:r>
      <w:r w:rsidR="002C0FDD">
        <w:t>concerned Member State</w:t>
      </w:r>
      <w:r w:rsidR="00B67F9D">
        <w:t xml:space="preserve"> has to implement the recommendations and consequently redress the issue within </w:t>
      </w:r>
      <w:r w:rsidR="001C3D28">
        <w:t xml:space="preserve">a </w:t>
      </w:r>
      <w:r w:rsidR="00B67F9D">
        <w:t xml:space="preserve">certain </w:t>
      </w:r>
      <w:r w:rsidR="001C3D28">
        <w:t>fixed time limit.</w:t>
      </w:r>
      <w:r w:rsidR="001C3D28">
        <w:rPr>
          <w:rStyle w:val="Voetnootmarkering"/>
        </w:rPr>
        <w:footnoteReference w:id="39"/>
      </w:r>
      <w:r w:rsidR="001C3D28">
        <w:t xml:space="preserve"> </w:t>
      </w:r>
      <w:r w:rsidR="00B67F9D">
        <w:t>The Rule of Law Recommendation, contrary the Rule of Law Opinion, will be made public</w:t>
      </w:r>
      <w:r w:rsidR="001C3D28">
        <w:t>.</w:t>
      </w:r>
      <w:r w:rsidR="001C3D28">
        <w:rPr>
          <w:rStyle w:val="Voetnootmarkering"/>
        </w:rPr>
        <w:footnoteReference w:id="40"/>
      </w:r>
    </w:p>
    <w:p w14:paraId="6EEC75F4" w14:textId="77777777" w:rsidR="00B11EF8" w:rsidRDefault="00B11EF8" w:rsidP="001C3D28"/>
    <w:p w14:paraId="49124DD1" w14:textId="1C7C6E93" w:rsidR="0052485E" w:rsidRPr="002F427E" w:rsidRDefault="0052485E" w:rsidP="0052485E">
      <w:pPr>
        <w:pStyle w:val="Kop4"/>
      </w:pPr>
      <w:bookmarkStart w:id="8" w:name="_Toc354987646"/>
      <w:r>
        <w:lastRenderedPageBreak/>
        <w:t>Third stage: Follow-up to the Commission Recommendation</w:t>
      </w:r>
      <w:bookmarkEnd w:id="8"/>
    </w:p>
    <w:p w14:paraId="31EBB088" w14:textId="64F1F82E" w:rsidR="001C3D28" w:rsidRPr="00CB7368" w:rsidRDefault="00B67F9D" w:rsidP="001C3D28">
      <w:r>
        <w:t>Fina</w:t>
      </w:r>
      <w:r w:rsidR="00B11EF8">
        <w:t>lly, the Commission will follow-</w:t>
      </w:r>
      <w:r>
        <w:t xml:space="preserve">up </w:t>
      </w:r>
      <w:r w:rsidR="008F5C13">
        <w:t xml:space="preserve">the concerned Member State’s rule of law compliance by monitoring </w:t>
      </w:r>
      <w:r>
        <w:t xml:space="preserve">the developments </w:t>
      </w:r>
      <w:r w:rsidR="006E7D30">
        <w:t>it makes</w:t>
      </w:r>
      <w:r w:rsidR="008F5C13">
        <w:t xml:space="preserve"> in light of the Rule of Law Recommendation. </w:t>
      </w:r>
      <w:r w:rsidR="001C3D28">
        <w:t xml:space="preserve">According to the Commission, this monitoring can be done by further exchanges with the Member State, whereby </w:t>
      </w:r>
      <w:r w:rsidR="008F5C13">
        <w:t>it will</w:t>
      </w:r>
      <w:r w:rsidR="001C3D28">
        <w:t xml:space="preserve"> verif</w:t>
      </w:r>
      <w:r w:rsidR="008F5C13">
        <w:t>y</w:t>
      </w:r>
      <w:r w:rsidR="001C3D28">
        <w:t xml:space="preserve"> whether the problematic actions still occur, or whether the Member State </w:t>
      </w:r>
      <w:r w:rsidR="008F5C13">
        <w:t xml:space="preserve">has </w:t>
      </w:r>
      <w:r w:rsidR="001C3D28">
        <w:t>implement</w:t>
      </w:r>
      <w:r w:rsidR="008F5C13">
        <w:t>ed</w:t>
      </w:r>
      <w:r w:rsidR="001C3D28">
        <w:t xml:space="preserve"> its commitments </w:t>
      </w:r>
      <w:r w:rsidR="006E7D30">
        <w:t>and</w:t>
      </w:r>
      <w:r w:rsidR="001C3D28">
        <w:t xml:space="preserve"> redress</w:t>
      </w:r>
      <w:r w:rsidR="00B11EF8">
        <w:t>ed</w:t>
      </w:r>
      <w:r w:rsidR="001C3D28">
        <w:t xml:space="preserve"> the problematic situation.</w:t>
      </w:r>
      <w:r w:rsidR="001C3D28" w:rsidRPr="00722378">
        <w:rPr>
          <w:rStyle w:val="Voetnootmarkering"/>
        </w:rPr>
        <w:footnoteReference w:id="41"/>
      </w:r>
      <w:r w:rsidR="001C3D28">
        <w:t xml:space="preserve"> </w:t>
      </w:r>
    </w:p>
    <w:p w14:paraId="2FEC3A96" w14:textId="341146A0" w:rsidR="00B94980" w:rsidRDefault="008F5C13" w:rsidP="008D35F4">
      <w:r>
        <w:t>I</w:t>
      </w:r>
      <w:r w:rsidR="001C3D28">
        <w:t>n case there is no satisfactory follow-up</w:t>
      </w:r>
      <w:r w:rsidR="00B11EF8">
        <w:t xml:space="preserve"> within the stipulated time-</w:t>
      </w:r>
      <w:r>
        <w:t>limit</w:t>
      </w:r>
      <w:r w:rsidR="001C3D28">
        <w:t>, the Commission prescribes the possibility to invoke Article 7 TEU.</w:t>
      </w:r>
      <w:r w:rsidR="001C3D28">
        <w:rPr>
          <w:rStyle w:val="Voetnootmarkering"/>
        </w:rPr>
        <w:footnoteReference w:id="42"/>
      </w:r>
      <w:r w:rsidR="001C3D28">
        <w:t xml:space="preserve"> </w:t>
      </w:r>
      <w:r w:rsidR="00EA7905">
        <w:t xml:space="preserve">The fact that </w:t>
      </w:r>
      <w:r w:rsidR="00B11EF8">
        <w:t xml:space="preserve">the </w:t>
      </w:r>
      <w:r w:rsidR="00EA7905">
        <w:t xml:space="preserve">Rule of Law Framework </w:t>
      </w:r>
      <w:r>
        <w:t>did not produce the desired outcome</w:t>
      </w:r>
      <w:r w:rsidR="006E7D30">
        <w:t xml:space="preserve"> and</w:t>
      </w:r>
      <w:r>
        <w:t xml:space="preserve"> </w:t>
      </w:r>
      <w:r w:rsidR="006E7D30">
        <w:t xml:space="preserve">the </w:t>
      </w:r>
      <w:r w:rsidR="002C0FDD">
        <w:t>concerned Member State</w:t>
      </w:r>
      <w:r w:rsidR="006E7D30">
        <w:t xml:space="preserve"> is</w:t>
      </w:r>
      <w:r w:rsidR="00B11EF8">
        <w:t xml:space="preserve"> still</w:t>
      </w:r>
      <w:r w:rsidR="006E7D30">
        <w:t xml:space="preserve"> threatening the rule of law </w:t>
      </w:r>
      <w:r w:rsidR="00EA7905">
        <w:t xml:space="preserve">without appropriate action </w:t>
      </w:r>
      <w:r w:rsidR="006E7D30">
        <w:t xml:space="preserve">to redress </w:t>
      </w:r>
      <w:r w:rsidR="00EA7905">
        <w:t xml:space="preserve">the </w:t>
      </w:r>
      <w:r w:rsidR="006E7D30">
        <w:t>non-compliance intrinsically leads to the emergence of</w:t>
      </w:r>
      <w:r w:rsidR="00EA7905">
        <w:t xml:space="preserve"> a serious and persistent breach of the rule of law by that Member State. </w:t>
      </w:r>
      <w:r w:rsidR="006E7D30">
        <w:t>Hence,</w:t>
      </w:r>
      <w:r w:rsidR="00EA7905">
        <w:t xml:space="preserve"> the substantive requirements for the activation of Article 7(2) TEU will be met. However, considering that</w:t>
      </w:r>
      <w:r w:rsidR="001C3D28">
        <w:t xml:space="preserve"> the Commission </w:t>
      </w:r>
      <w:r w:rsidR="001C3D28" w:rsidRPr="001C3D28">
        <w:rPr>
          <w:i/>
        </w:rPr>
        <w:t>“will assess the possibility of activating one of the mechanisms set out in Article 7 TEU”</w:t>
      </w:r>
      <w:r w:rsidR="001C3D28">
        <w:t xml:space="preserve">, the Commission does not commit itself to </w:t>
      </w:r>
      <w:r w:rsidR="00B61490">
        <w:t>subsequently activate</w:t>
      </w:r>
      <w:r w:rsidR="001C3D28">
        <w:t xml:space="preserve"> Article 7 TEU</w:t>
      </w:r>
      <w:r w:rsidR="00092B0A">
        <w:t xml:space="preserve"> when the Rule of Law Framework does not </w:t>
      </w:r>
      <w:r w:rsidR="00B61490">
        <w:t>produce</w:t>
      </w:r>
      <w:r w:rsidR="00092B0A">
        <w:t xml:space="preserve"> the desired result</w:t>
      </w:r>
      <w:r w:rsidR="00B11EF8">
        <w:t xml:space="preserve">. In any event, </w:t>
      </w:r>
      <w:r w:rsidR="00092B0A">
        <w:t>there is no obligation</w:t>
      </w:r>
      <w:r w:rsidR="00EA7905">
        <w:t xml:space="preserve"> for the Commission</w:t>
      </w:r>
      <w:r w:rsidR="00092B0A">
        <w:t xml:space="preserve"> to activate Article 7 TEU after failure of the Rule of Law Framework. </w:t>
      </w:r>
    </w:p>
    <w:p w14:paraId="74F5ED61" w14:textId="79ADD2AA" w:rsidR="00B94980" w:rsidRDefault="00C20ABF" w:rsidP="00B94980">
      <w:pPr>
        <w:pStyle w:val="Kop4"/>
      </w:pPr>
      <w:bookmarkStart w:id="9" w:name="_Toc354987647"/>
      <w:r>
        <w:t>Caveats on the Rule of Law Framework?</w:t>
      </w:r>
      <w:bookmarkEnd w:id="9"/>
    </w:p>
    <w:p w14:paraId="7715862D" w14:textId="7B8EC2FD" w:rsidR="00B94980" w:rsidRDefault="00B94980" w:rsidP="00B94980">
      <w:r>
        <w:t>T</w:t>
      </w:r>
      <w:r w:rsidRPr="00722378">
        <w:t>he Commission’s Rule of Law Framework cannot be considered as revolutionary.</w:t>
      </w:r>
      <w:r w:rsidRPr="00722378">
        <w:rPr>
          <w:rStyle w:val="Voetnootmarkering"/>
        </w:rPr>
        <w:footnoteReference w:id="43"/>
      </w:r>
      <w:r w:rsidRPr="00722378">
        <w:t xml:space="preserve"> </w:t>
      </w:r>
      <w:r>
        <w:t xml:space="preserve">First of all, the </w:t>
      </w:r>
      <w:r w:rsidRPr="00722378">
        <w:t xml:space="preserve">Rule of Law Framework in essence builds </w:t>
      </w:r>
      <w:r>
        <w:t>upon</w:t>
      </w:r>
      <w:r w:rsidRPr="00722378">
        <w:t xml:space="preserve"> constructive dialogue between the Commission and the </w:t>
      </w:r>
      <w:r w:rsidR="002C0FDD">
        <w:t>concerned Member State</w:t>
      </w:r>
      <w:r w:rsidR="00C20ABF">
        <w:t>.</w:t>
      </w:r>
      <w:r>
        <w:t xml:space="preserve"> </w:t>
      </w:r>
      <w:r w:rsidRPr="00722378">
        <w:t xml:space="preserve">Dialogue will only result in a positive outcome, if the </w:t>
      </w:r>
      <w:r w:rsidR="002C0FDD">
        <w:t>concerned Member State</w:t>
      </w:r>
      <w:r w:rsidRPr="00722378">
        <w:t xml:space="preserve"> is willing to cooperate.</w:t>
      </w:r>
      <w:r>
        <w:t xml:space="preserve"> </w:t>
      </w:r>
      <w:r w:rsidRPr="00722378">
        <w:t xml:space="preserve">Uncooperative behaviour will lead to unconstructive dialogue, jeopardising the effective functioning of the Rule of Law Framework. In line with the duty of sincere cooperation pursuant Article 4(3) TEU, the Commission expects that the </w:t>
      </w:r>
      <w:r w:rsidR="002C0FDD">
        <w:t>concerned Member State</w:t>
      </w:r>
      <w:r w:rsidRPr="00722378">
        <w:t xml:space="preserve"> will cooperate throughout the process and will refrain from adopting any irreversible measure in relation to the concern raised by the Commission.</w:t>
      </w:r>
      <w:r w:rsidRPr="00722378">
        <w:rPr>
          <w:rStyle w:val="Voetnootmarkering"/>
        </w:rPr>
        <w:footnoteReference w:id="44"/>
      </w:r>
      <w:r w:rsidRPr="00722378">
        <w:t xml:space="preserve"> </w:t>
      </w:r>
      <w:r w:rsidR="00F50EEA">
        <w:t xml:space="preserve">Although the Commission did not explicitly refer to the </w:t>
      </w:r>
      <w:r w:rsidR="00F50EEA">
        <w:lastRenderedPageBreak/>
        <w:t xml:space="preserve">infringement procedure </w:t>
      </w:r>
      <w:r w:rsidR="005C27FD">
        <w:t>set out in</w:t>
      </w:r>
      <w:r w:rsidR="00F50EEA">
        <w:t xml:space="preserve"> Article 258 TFEU, it could nevertheless </w:t>
      </w:r>
      <w:r w:rsidRPr="00722378">
        <w:t xml:space="preserve">launch </w:t>
      </w:r>
      <w:r w:rsidR="00F50EEA">
        <w:t>such</w:t>
      </w:r>
      <w:r w:rsidRPr="00722378">
        <w:t xml:space="preserve"> </w:t>
      </w:r>
      <w:r w:rsidR="00F50EEA">
        <w:t>a</w:t>
      </w:r>
      <w:r w:rsidRPr="00722378">
        <w:t xml:space="preserve"> procedure </w:t>
      </w:r>
      <w:r w:rsidR="005C27FD">
        <w:t>forcing a Member State to cooperate in accordance wi</w:t>
      </w:r>
      <w:r w:rsidR="00F50EEA">
        <w:t>t</w:t>
      </w:r>
      <w:r w:rsidR="005C27FD">
        <w:t xml:space="preserve">h the duty of sincere cooperation. The leverage of imposing a </w:t>
      </w:r>
      <w:r w:rsidRPr="00722378">
        <w:t>lump sum and</w:t>
      </w:r>
      <w:r w:rsidR="005C27FD">
        <w:t>/or</w:t>
      </w:r>
      <w:r w:rsidRPr="00722378">
        <w:t xml:space="preserve"> penalty payment</w:t>
      </w:r>
      <w:r w:rsidR="005C27FD">
        <w:t xml:space="preserve"> could contribute to increased cooperation and, ultimately, </w:t>
      </w:r>
      <w:r w:rsidR="00B11EF8">
        <w:t xml:space="preserve">to a </w:t>
      </w:r>
      <w:r w:rsidR="005C27FD">
        <w:t>swifter compliance with the rule of law</w:t>
      </w:r>
      <w:r w:rsidRPr="00722378">
        <w:t>.</w:t>
      </w:r>
      <w:r>
        <w:t xml:space="preserve"> However,</w:t>
      </w:r>
      <w:r w:rsidR="00C20ABF">
        <w:t xml:space="preserve"> it </w:t>
      </w:r>
      <w:r w:rsidR="005C27FD">
        <w:t>remains</w:t>
      </w:r>
      <w:r w:rsidR="00C20ABF">
        <w:t xml:space="preserve"> uncertain whether the Commission will effectively </w:t>
      </w:r>
      <w:r w:rsidR="005C27FD">
        <w:t>elaborate this possibility in practise.</w:t>
      </w:r>
    </w:p>
    <w:p w14:paraId="6E400126" w14:textId="631294CA" w:rsidR="007F5AD4" w:rsidRDefault="00F50EEA" w:rsidP="00970F46">
      <w:r>
        <w:t>As</w:t>
      </w:r>
      <w:r w:rsidR="00970F46" w:rsidRPr="00970F46">
        <w:t xml:space="preserve"> the Rule of Law Framework is merely built upon dialogue and is considered to be a ‘pre-Article 7 TEU mechanism’, </w:t>
      </w:r>
      <w:r>
        <w:t xml:space="preserve">this </w:t>
      </w:r>
      <w:r w:rsidR="00970F46" w:rsidRPr="00970F46">
        <w:t xml:space="preserve">ensures that </w:t>
      </w:r>
      <w:r w:rsidR="009362EE">
        <w:t>it</w:t>
      </w:r>
      <w:r w:rsidR="00970F46" w:rsidRPr="00970F46">
        <w:t xml:space="preserve"> does not create new legal consequences for the Member States.</w:t>
      </w:r>
      <w:r w:rsidR="00970F46" w:rsidRPr="00970F46">
        <w:rPr>
          <w:vertAlign w:val="superscript"/>
        </w:rPr>
        <w:footnoteReference w:id="45"/>
      </w:r>
      <w:r w:rsidR="00970F46" w:rsidRPr="00970F46">
        <w:t xml:space="preserve"> Nevertheless, criticism has been raised with regard to the competence of the Commission to establish the new Rule of Law Framework. The Council’s Legal Service, for instance, raised objection of the principle of </w:t>
      </w:r>
      <w:r w:rsidR="002C0FDD">
        <w:t>conferred powers</w:t>
      </w:r>
      <w:r w:rsidR="00970F46" w:rsidRPr="00970F46">
        <w:t xml:space="preserve"> enshrined in Article 5 TEU. The Council argued that the Commission has no competence to create </w:t>
      </w:r>
      <w:r w:rsidR="009362EE">
        <w:t>this Rule of Law Framework</w:t>
      </w:r>
      <w:r w:rsidR="00970F46" w:rsidRPr="00970F46">
        <w:t xml:space="preserve">, as the Treaties do not </w:t>
      </w:r>
      <w:r w:rsidR="002C0FDD">
        <w:t>provide</w:t>
      </w:r>
      <w:r w:rsidR="00970F46" w:rsidRPr="00970F46">
        <w:t xml:space="preserve"> a legal basis empowering the institutions to do so.</w:t>
      </w:r>
      <w:r w:rsidR="00970F46" w:rsidRPr="00970F46">
        <w:rPr>
          <w:vertAlign w:val="superscript"/>
        </w:rPr>
        <w:footnoteReference w:id="46"/>
      </w:r>
      <w:r w:rsidR="00970F46" w:rsidRPr="00970F46">
        <w:t xml:space="preserve"> The delimitation of competences, however, should not be </w:t>
      </w:r>
      <w:r w:rsidR="002C0FDD">
        <w:t>problematic</w:t>
      </w:r>
      <w:r w:rsidR="00970F46" w:rsidRPr="00970F46">
        <w:t xml:space="preserve"> for establishing a dialogue </w:t>
      </w:r>
      <w:r w:rsidR="002C0FDD">
        <w:t>between</w:t>
      </w:r>
      <w:r w:rsidR="00970F46" w:rsidRPr="00970F46">
        <w:t xml:space="preserve"> the Commission and the </w:t>
      </w:r>
      <w:r w:rsidR="002C0FDD" w:rsidRPr="00970F46">
        <w:t>concerned</w:t>
      </w:r>
      <w:r w:rsidR="002C0FDD">
        <w:t xml:space="preserve"> </w:t>
      </w:r>
      <w:r w:rsidR="00970F46" w:rsidRPr="00970F46">
        <w:t xml:space="preserve">Member State </w:t>
      </w:r>
      <w:r w:rsidR="009362EE">
        <w:t xml:space="preserve">due to </w:t>
      </w:r>
      <w:r w:rsidR="00970F46" w:rsidRPr="00970F46">
        <w:t xml:space="preserve">the explicit link </w:t>
      </w:r>
      <w:r w:rsidR="009362EE">
        <w:t>between</w:t>
      </w:r>
      <w:r w:rsidR="00970F46" w:rsidRPr="00970F46">
        <w:t xml:space="preserve"> Article 7 TEU </w:t>
      </w:r>
      <w:r w:rsidR="009362EE">
        <w:t>and the Rule of Law Framework</w:t>
      </w:r>
      <w:r w:rsidR="00970F46" w:rsidRPr="00970F46">
        <w:t xml:space="preserve">. </w:t>
      </w:r>
      <w:r w:rsidR="00B11EF8" w:rsidRPr="00970F46">
        <w:t xml:space="preserve">Moreover, the Commission itself highlights that the Rule of Law Framework is a mechanism </w:t>
      </w:r>
      <w:r w:rsidR="00B11EF8">
        <w:t>that</w:t>
      </w:r>
      <w:r w:rsidR="00B11EF8" w:rsidRPr="00970F46">
        <w:t xml:space="preserve"> precede</w:t>
      </w:r>
      <w:r w:rsidR="00B11EF8">
        <w:t>s</w:t>
      </w:r>
      <w:r w:rsidR="00B11EF8" w:rsidRPr="00970F46">
        <w:t xml:space="preserve"> and co</w:t>
      </w:r>
      <w:r w:rsidR="00B11EF8">
        <w:t>mplements Article 7 TEU</w:t>
      </w:r>
      <w:r w:rsidR="00B11EF8" w:rsidRPr="00970F46">
        <w:t xml:space="preserve">. </w:t>
      </w:r>
      <w:r w:rsidR="009362EE">
        <w:t>After all</w:t>
      </w:r>
      <w:r w:rsidR="00970F46" w:rsidRPr="00970F46">
        <w:t xml:space="preserve">, </w:t>
      </w:r>
      <w:r w:rsidR="009362EE">
        <w:t>the Commission has to issue a – reasoned – proposal in order to activate Article 7 TEU.</w:t>
      </w:r>
      <w:r w:rsidR="009362EE">
        <w:rPr>
          <w:rStyle w:val="Voetnootmarkering"/>
        </w:rPr>
        <w:footnoteReference w:id="47"/>
      </w:r>
      <w:r w:rsidR="00E87E81">
        <w:t xml:space="preserve"> </w:t>
      </w:r>
      <w:r w:rsidR="009362EE">
        <w:t>It</w:t>
      </w:r>
      <w:r w:rsidR="00970F46" w:rsidRPr="00970F46">
        <w:t xml:space="preserve"> can </w:t>
      </w:r>
      <w:r w:rsidR="002C0FDD">
        <w:t xml:space="preserve">be </w:t>
      </w:r>
      <w:r w:rsidR="00970F46" w:rsidRPr="00970F46">
        <w:t>presume</w:t>
      </w:r>
      <w:r w:rsidR="009362EE">
        <w:t>d</w:t>
      </w:r>
      <w:r w:rsidR="00970F46" w:rsidRPr="00970F46">
        <w:t xml:space="preserve"> that the </w:t>
      </w:r>
      <w:r w:rsidR="009362EE">
        <w:t>F</w:t>
      </w:r>
      <w:r w:rsidR="00970F46" w:rsidRPr="00970F46">
        <w:t xml:space="preserve">ramework </w:t>
      </w:r>
      <w:r w:rsidR="00B11EF8">
        <w:t>sets out</w:t>
      </w:r>
      <w:r w:rsidR="00970F46" w:rsidRPr="00970F46">
        <w:t xml:space="preserve"> </w:t>
      </w:r>
      <w:r w:rsidR="009362EE">
        <w:t xml:space="preserve">the </w:t>
      </w:r>
      <w:r w:rsidR="00970F46" w:rsidRPr="00970F46">
        <w:t>detailed guidelines</w:t>
      </w:r>
      <w:r w:rsidR="009362EE">
        <w:t xml:space="preserve"> </w:t>
      </w:r>
      <w:r w:rsidR="00E87E81">
        <w:t>concerning the working of Article 7 TEU</w:t>
      </w:r>
      <w:r w:rsidR="00B11EF8">
        <w:t xml:space="preserve"> or not</w:t>
      </w:r>
      <w:r w:rsidR="00E87E81">
        <w:t>, giving the Commission implied powers to assess its Member States’ behaviour</w:t>
      </w:r>
      <w:r w:rsidR="009F118C">
        <w:t>.</w:t>
      </w:r>
      <w:r w:rsidR="009F118C" w:rsidRPr="00970F46">
        <w:rPr>
          <w:vertAlign w:val="superscript"/>
        </w:rPr>
        <w:footnoteReference w:id="48"/>
      </w:r>
      <w:r w:rsidR="00970F46" w:rsidRPr="00970F46">
        <w:t xml:space="preserve"> </w:t>
      </w:r>
      <w:r w:rsidR="009F118C" w:rsidRPr="00970F46">
        <w:t xml:space="preserve">This implies, by determining whether </w:t>
      </w:r>
      <w:r w:rsidR="009F118C">
        <w:t>it will propose the activation of Article 7 TEU,</w:t>
      </w:r>
      <w:r w:rsidR="009F118C" w:rsidRPr="00970F46">
        <w:t xml:space="preserve"> that the Commission has to investigate any potential risk.</w:t>
      </w:r>
      <w:r w:rsidR="009F118C" w:rsidRPr="00970F46">
        <w:rPr>
          <w:vertAlign w:val="superscript"/>
        </w:rPr>
        <w:footnoteReference w:id="49"/>
      </w:r>
      <w:r w:rsidR="009F118C" w:rsidRPr="00970F46">
        <w:t xml:space="preserve"> </w:t>
      </w:r>
    </w:p>
    <w:p w14:paraId="36C4B61D" w14:textId="604358D8" w:rsidR="00B94980" w:rsidRDefault="00970F46" w:rsidP="00B94980">
      <w:r w:rsidRPr="00970F46">
        <w:t xml:space="preserve">Hence, the principle </w:t>
      </w:r>
      <w:r w:rsidR="007F5AD4">
        <w:t xml:space="preserve">of conferred power </w:t>
      </w:r>
      <w:r w:rsidRPr="00970F46">
        <w:t xml:space="preserve">can in principle not be an issue considering its link to Article 7 TEU. However, </w:t>
      </w:r>
      <w:r w:rsidR="00A9020D">
        <w:t xml:space="preserve">this intrinsic link between the Rule of Law Framework and Article 7 TEU </w:t>
      </w:r>
      <w:r w:rsidR="00D25ED1">
        <w:t xml:space="preserve">hinders the effective functioning and consequently the effective </w:t>
      </w:r>
      <w:r w:rsidRPr="00970F46">
        <w:t>enforce</w:t>
      </w:r>
      <w:r w:rsidR="00D25ED1">
        <w:t>ment of the rule of law in the Member States.</w:t>
      </w:r>
      <w:r w:rsidR="00C03686" w:rsidRPr="00C03686">
        <w:rPr>
          <w:rStyle w:val="Voetnootmarkering"/>
        </w:rPr>
        <w:t xml:space="preserve"> </w:t>
      </w:r>
      <w:r w:rsidR="00C03686" w:rsidRPr="00722378">
        <w:rPr>
          <w:rStyle w:val="Voetnootmarkering"/>
        </w:rPr>
        <w:footnoteReference w:id="50"/>
      </w:r>
      <w:r w:rsidR="00D25ED1">
        <w:t xml:space="preserve"> An U</w:t>
      </w:r>
      <w:r w:rsidR="00C20ABF">
        <w:t xml:space="preserve">nsatisfactory </w:t>
      </w:r>
      <w:r w:rsidR="00D25ED1">
        <w:t>outcome in the third and final stage</w:t>
      </w:r>
      <w:r w:rsidR="00C20ABF">
        <w:t xml:space="preserve"> results in the possibility to propose the </w:t>
      </w:r>
      <w:r w:rsidR="00C20ABF">
        <w:lastRenderedPageBreak/>
        <w:t xml:space="preserve">activation of Article 7 TEU. </w:t>
      </w:r>
      <w:r w:rsidR="00D25ED1">
        <w:t xml:space="preserve">There is no doubt though that </w:t>
      </w:r>
      <w:r w:rsidR="00B94980">
        <w:t xml:space="preserve">Article 7 TEU </w:t>
      </w:r>
      <w:r w:rsidR="005A6B57">
        <w:t>has shortcomings</w:t>
      </w:r>
      <w:r w:rsidR="00B94980">
        <w:t xml:space="preserve">. </w:t>
      </w:r>
      <w:r w:rsidR="00B94980" w:rsidRPr="008D35F4">
        <w:t xml:space="preserve">In essence, </w:t>
      </w:r>
      <w:r w:rsidR="00B94980">
        <w:t>Article 7 TEU</w:t>
      </w:r>
      <w:r w:rsidR="00B94980" w:rsidRPr="008D35F4">
        <w:t xml:space="preserve"> merely confers powers to political institutions, giving both the European Council and the Council a wide margin of discretion. The Council, on the one hand, </w:t>
      </w:r>
      <w:r w:rsidR="00B94980" w:rsidRPr="008D35F4">
        <w:rPr>
          <w:i/>
        </w:rPr>
        <w:t xml:space="preserve">may </w:t>
      </w:r>
      <w:r w:rsidR="00B94980" w:rsidRPr="008D35F4">
        <w:t>determine whether there is a clear risk of a serious breach of the rule of law.</w:t>
      </w:r>
      <w:r w:rsidR="00B94980" w:rsidRPr="008D35F4">
        <w:rPr>
          <w:vertAlign w:val="superscript"/>
        </w:rPr>
        <w:footnoteReference w:id="51"/>
      </w:r>
      <w:r w:rsidR="00B94980" w:rsidRPr="008D35F4">
        <w:t xml:space="preserve"> In turn, the European Council </w:t>
      </w:r>
      <w:r w:rsidR="00B94980" w:rsidRPr="008D35F4">
        <w:rPr>
          <w:i/>
        </w:rPr>
        <w:t>may de</w:t>
      </w:r>
      <w:r w:rsidR="00B94980" w:rsidRPr="008D35F4">
        <w:t>termine whether a serious and persistent breach exists.</w:t>
      </w:r>
      <w:r w:rsidR="00B94980" w:rsidRPr="008D35F4">
        <w:rPr>
          <w:vertAlign w:val="superscript"/>
        </w:rPr>
        <w:footnoteReference w:id="52"/>
      </w:r>
      <w:r w:rsidR="00B94980" w:rsidRPr="008D35F4">
        <w:t xml:space="preserve"> Ultimately, if the European Council determines that such a breach exists, the Council </w:t>
      </w:r>
      <w:r w:rsidR="00B94980" w:rsidRPr="008D35F4">
        <w:rPr>
          <w:i/>
        </w:rPr>
        <w:t>may</w:t>
      </w:r>
      <w:r w:rsidR="00B94980" w:rsidRPr="008D35F4">
        <w:t xml:space="preserve"> impose sanctions.</w:t>
      </w:r>
      <w:r w:rsidR="00B94980" w:rsidRPr="008D35F4">
        <w:rPr>
          <w:vertAlign w:val="superscript"/>
        </w:rPr>
        <w:footnoteReference w:id="53"/>
      </w:r>
      <w:r w:rsidR="00B94980" w:rsidRPr="008D35F4">
        <w:t xml:space="preserve"> </w:t>
      </w:r>
      <w:r w:rsidR="00B94980">
        <w:t xml:space="preserve">Consequently, </w:t>
      </w:r>
      <w:r w:rsidR="00B11EF8">
        <w:t>Article 7 TEU only contains possibilities instead of obligations for the political institutions. T</w:t>
      </w:r>
      <w:r w:rsidR="00B94980" w:rsidRPr="008D35F4">
        <w:t>he Court o</w:t>
      </w:r>
      <w:r w:rsidR="00B94980">
        <w:t>f Justice of the European Union</w:t>
      </w:r>
      <w:r w:rsidR="00B94980" w:rsidRPr="008D35F4">
        <w:t xml:space="preserve"> </w:t>
      </w:r>
      <w:r w:rsidR="00B11EF8">
        <w:t xml:space="preserve">only </w:t>
      </w:r>
      <w:r w:rsidR="00B94980" w:rsidRPr="008D35F4">
        <w:t xml:space="preserve">has explicitly restricted jurisdiction. According to Article 269 TFEU, the </w:t>
      </w:r>
      <w:r w:rsidR="00B94980">
        <w:t>Court of Justice of the European Union</w:t>
      </w:r>
      <w:r w:rsidR="00B94980" w:rsidRPr="008D35F4">
        <w:t xml:space="preserve"> </w:t>
      </w:r>
      <w:r w:rsidR="00B11EF8" w:rsidRPr="008D35F4">
        <w:t xml:space="preserve">merely </w:t>
      </w:r>
      <w:r w:rsidR="00B94980" w:rsidRPr="008D35F4">
        <w:t xml:space="preserve">has </w:t>
      </w:r>
      <w:r w:rsidR="00B11EF8">
        <w:t>the power</w:t>
      </w:r>
      <w:r w:rsidR="00B94980" w:rsidRPr="008D35F4">
        <w:t xml:space="preserve"> to review the legality of a decision pursuant Article 7 TEU </w:t>
      </w:r>
      <w:r w:rsidR="00B94980">
        <w:t>in light of</w:t>
      </w:r>
      <w:r w:rsidR="00B94980" w:rsidRPr="008D35F4">
        <w:t xml:space="preserve"> the procedural rules. Additionally, the high majority thresholds </w:t>
      </w:r>
      <w:r w:rsidR="00B94980">
        <w:t xml:space="preserve">– respectively unanimity and four fifth majority – </w:t>
      </w:r>
      <w:r w:rsidR="00B94980" w:rsidRPr="008D35F4">
        <w:t xml:space="preserve">complicate the activation of the mechanism and, </w:t>
      </w:r>
      <w:r w:rsidR="00B94980">
        <w:t>subsequently</w:t>
      </w:r>
      <w:r w:rsidR="00B94980" w:rsidRPr="008D35F4">
        <w:t xml:space="preserve">, the imposition of sanctions against non-compliant Member States. </w:t>
      </w:r>
    </w:p>
    <w:p w14:paraId="2A7D7EA1" w14:textId="6243C7DD" w:rsidR="00970F46" w:rsidRDefault="00B11EF8" w:rsidP="00970F46">
      <w:r>
        <w:t>Therefore</w:t>
      </w:r>
      <w:r w:rsidR="005A6B57" w:rsidRPr="005A6B57">
        <w:t xml:space="preserve">, </w:t>
      </w:r>
      <w:r w:rsidR="005A6B57">
        <w:t>it is unlikely that the</w:t>
      </w:r>
      <w:r w:rsidR="005A6B57" w:rsidRPr="005A6B57">
        <w:t xml:space="preserve"> Rule of Law Framework will </w:t>
      </w:r>
      <w:r w:rsidR="00B42C24">
        <w:t xml:space="preserve">result in the compliance </w:t>
      </w:r>
      <w:r>
        <w:t>with the rule of law by</w:t>
      </w:r>
      <w:r w:rsidR="005A6B57">
        <w:t xml:space="preserve"> a deviant Member State. </w:t>
      </w:r>
      <w:r w:rsidR="005A6B57" w:rsidRPr="005A6B57">
        <w:t xml:space="preserve">The mechanism depends too much on dialogue and </w:t>
      </w:r>
      <w:r w:rsidR="005A6B57">
        <w:t xml:space="preserve">its </w:t>
      </w:r>
      <w:r w:rsidR="00B42C24">
        <w:t>relation</w:t>
      </w:r>
      <w:r w:rsidR="005A6B57">
        <w:t xml:space="preserve"> with Article 7 TEU. </w:t>
      </w:r>
      <w:r w:rsidR="005A6B57" w:rsidRPr="005A6B57">
        <w:t xml:space="preserve">The incentives are too low – </w:t>
      </w:r>
      <w:r>
        <w:t xml:space="preserve">non-binding </w:t>
      </w:r>
      <w:r w:rsidR="005A6B57" w:rsidRPr="005A6B57">
        <w:t>dialogue and recommendations will not force unwilling Member States to redress the situation.</w:t>
      </w:r>
      <w:r w:rsidR="005A6B57">
        <w:t xml:space="preserve"> </w:t>
      </w:r>
      <w:r w:rsidR="00B42C24">
        <w:t>To date, t</w:t>
      </w:r>
      <w:r w:rsidR="005A6B57">
        <w:t>he first</w:t>
      </w:r>
      <w:r w:rsidR="00B42C24">
        <w:t xml:space="preserve"> and </w:t>
      </w:r>
      <w:r w:rsidR="005A6B57">
        <w:t xml:space="preserve">only </w:t>
      </w:r>
      <w:r w:rsidR="002C144A">
        <w:t xml:space="preserve">practical </w:t>
      </w:r>
      <w:r w:rsidR="005A6B57">
        <w:t xml:space="preserve">application of the Rule of Law Framework </w:t>
      </w:r>
      <w:r w:rsidR="00970F46">
        <w:t>demonstrate</w:t>
      </w:r>
      <w:r w:rsidR="005A6B57">
        <w:t>s</w:t>
      </w:r>
      <w:r w:rsidR="00970F46">
        <w:t xml:space="preserve"> </w:t>
      </w:r>
      <w:r w:rsidR="002C144A">
        <w:t xml:space="preserve">– even </w:t>
      </w:r>
      <w:r w:rsidR="00970F46">
        <w:t xml:space="preserve">emphasises </w:t>
      </w:r>
      <w:r w:rsidR="002C144A">
        <w:t xml:space="preserve">– </w:t>
      </w:r>
      <w:r w:rsidR="00970F46">
        <w:t>the</w:t>
      </w:r>
      <w:r>
        <w:t>se</w:t>
      </w:r>
      <w:r w:rsidR="00970F46">
        <w:t xml:space="preserve"> caveats of the Rule of Law Framework. </w:t>
      </w:r>
    </w:p>
    <w:p w14:paraId="42F1A189" w14:textId="57612E44" w:rsidR="00601458" w:rsidRDefault="00601458" w:rsidP="00601458">
      <w:pPr>
        <w:pStyle w:val="Kop3"/>
      </w:pPr>
      <w:bookmarkStart w:id="10" w:name="_Toc354987648"/>
      <w:r>
        <w:t>Putting theory into practise</w:t>
      </w:r>
      <w:r w:rsidR="005D2A13">
        <w:t>:</w:t>
      </w:r>
      <w:r>
        <w:t xml:space="preserve"> </w:t>
      </w:r>
      <w:r w:rsidR="005D2A13">
        <w:t>f</w:t>
      </w:r>
      <w:r>
        <w:t xml:space="preserve">irst </w:t>
      </w:r>
      <w:r w:rsidR="005D2A13">
        <w:t>application</w:t>
      </w:r>
      <w:r>
        <w:t xml:space="preserve"> </w:t>
      </w:r>
      <w:r w:rsidR="005D2A13">
        <w:t>of the Rule of Law Framework</w:t>
      </w:r>
      <w:r>
        <w:t xml:space="preserve"> </w:t>
      </w:r>
      <w:r w:rsidR="005D2A13">
        <w:t>in</w:t>
      </w:r>
      <w:r>
        <w:t xml:space="preserve"> the rule of law crisis </w:t>
      </w:r>
      <w:r w:rsidR="005D2A13">
        <w:t>of</w:t>
      </w:r>
      <w:r>
        <w:t xml:space="preserve"> Poland</w:t>
      </w:r>
      <w:bookmarkEnd w:id="10"/>
    </w:p>
    <w:p w14:paraId="2B839FF9" w14:textId="21FA8CE7" w:rsidR="00F35D01" w:rsidRDefault="005C27FD" w:rsidP="00F35D01">
      <w:pPr>
        <w:pStyle w:val="Kop4"/>
      </w:pPr>
      <w:bookmarkStart w:id="11" w:name="_Toc354987649"/>
      <w:r>
        <w:t>The run-up to the activation of the Rule of Law Framework</w:t>
      </w:r>
      <w:bookmarkEnd w:id="11"/>
    </w:p>
    <w:p w14:paraId="2ED40CA9" w14:textId="40D444AF" w:rsidR="00095FFD" w:rsidRDefault="00095FFD" w:rsidP="00095FFD">
      <w:r>
        <w:t xml:space="preserve">Contrary to Article 7 TEU, the </w:t>
      </w:r>
      <w:r w:rsidRPr="00722378">
        <w:t xml:space="preserve">Commission’s Rule of Law Framework has </w:t>
      </w:r>
      <w:r w:rsidR="00B11EF8">
        <w:t xml:space="preserve">already </w:t>
      </w:r>
      <w:r w:rsidRPr="00722378">
        <w:t xml:space="preserve">been activated for the first time in January 2016 </w:t>
      </w:r>
      <w:r>
        <w:t xml:space="preserve">following the </w:t>
      </w:r>
      <w:r w:rsidR="00B11EF8">
        <w:t xml:space="preserve">rule of law </w:t>
      </w:r>
      <w:r>
        <w:t>developments in Poland,</w:t>
      </w:r>
      <w:r w:rsidR="003D07FF">
        <w:t xml:space="preserve"> potentially</w:t>
      </w:r>
      <w:r>
        <w:t xml:space="preserve"> threatening the rule of law. A</w:t>
      </w:r>
      <w:r w:rsidRPr="00722378">
        <w:t>t the end of 2015</w:t>
      </w:r>
      <w:r>
        <w:t>, t</w:t>
      </w:r>
      <w:r w:rsidRPr="00722378">
        <w:t>he rule of law in Poland has been brought into disrespect due to the constitutional reforms</w:t>
      </w:r>
      <w:r w:rsidR="003D07FF">
        <w:t xml:space="preserve"> adopted by the newly elected Polish </w:t>
      </w:r>
      <w:r w:rsidR="001A44F6">
        <w:t>Government (</w:t>
      </w:r>
      <w:r w:rsidR="003D07FF">
        <w:rPr>
          <w:i/>
        </w:rPr>
        <w:t>Sejm</w:t>
      </w:r>
      <w:r w:rsidR="001A44F6">
        <w:t>)</w:t>
      </w:r>
      <w:r w:rsidRPr="00722378">
        <w:t xml:space="preserve"> which </w:t>
      </w:r>
      <w:r>
        <w:t xml:space="preserve">ultimately </w:t>
      </w:r>
      <w:r w:rsidRPr="00722378">
        <w:t>led to a dispute</w:t>
      </w:r>
      <w:r>
        <w:t xml:space="preserve"> between the legislative and the judicial power.</w:t>
      </w:r>
      <w:r w:rsidR="003D07FF">
        <w:t xml:space="preserve"> </w:t>
      </w:r>
    </w:p>
    <w:p w14:paraId="430A1B48" w14:textId="6F6043AA" w:rsidR="00947279" w:rsidRPr="00947279" w:rsidRDefault="003D07FF" w:rsidP="00095FFD">
      <w:r>
        <w:lastRenderedPageBreak/>
        <w:t xml:space="preserve">This dispute </w:t>
      </w:r>
      <w:r w:rsidR="001A44F6">
        <w:t xml:space="preserve">started by an act of the former </w:t>
      </w:r>
      <w:r w:rsidR="004366DE">
        <w:rPr>
          <w:i/>
        </w:rPr>
        <w:t>Sejm</w:t>
      </w:r>
      <w:r w:rsidR="004366DE">
        <w:t>, elect</w:t>
      </w:r>
      <w:r w:rsidR="00B11EF8">
        <w:t>ing</w:t>
      </w:r>
      <w:r w:rsidR="004366DE">
        <w:t xml:space="preserve"> the successors of the five judges whose term would end in 2015, namely three needed to be replaced in November (hereinafter the ‘November Judges’) and two in December (hereinafter the ‘December Judges’). </w:t>
      </w:r>
      <w:r w:rsidR="001A44F6">
        <w:t>In November 2015, national election</w:t>
      </w:r>
      <w:r w:rsidR="00B11EF8">
        <w:t>s</w:t>
      </w:r>
      <w:r w:rsidR="001A44F6">
        <w:t xml:space="preserve"> found place</w:t>
      </w:r>
      <w:r w:rsidR="004366DE">
        <w:t xml:space="preserve"> and </w:t>
      </w:r>
      <w:r w:rsidR="00A04E8B">
        <w:t>a new</w:t>
      </w:r>
      <w:r w:rsidR="004366DE">
        <w:t xml:space="preserve"> </w:t>
      </w:r>
      <w:r w:rsidR="004366DE">
        <w:rPr>
          <w:i/>
        </w:rPr>
        <w:t xml:space="preserve">Sejm </w:t>
      </w:r>
      <w:r w:rsidR="00A04E8B">
        <w:t>was elected</w:t>
      </w:r>
      <w:r w:rsidR="001A44F6">
        <w:t xml:space="preserve">. </w:t>
      </w:r>
      <w:r w:rsidR="00A04E8B">
        <w:t xml:space="preserve">Upon the instalment of the newly elected </w:t>
      </w:r>
      <w:r w:rsidR="00A04E8B">
        <w:rPr>
          <w:i/>
        </w:rPr>
        <w:t>Sejm</w:t>
      </w:r>
      <w:r w:rsidR="00A04E8B">
        <w:t xml:space="preserve">, they adopted resolutions invalidating the election of the five judges and electing five new judges. </w:t>
      </w:r>
      <w:r w:rsidR="00535710">
        <w:t>As a result of an appeal</w:t>
      </w:r>
      <w:r w:rsidR="00947279">
        <w:t>,</w:t>
      </w:r>
      <w:r w:rsidR="00535710">
        <w:t xml:space="preserve"> the Polish Constitutional Tribunal had the opportunity to review </w:t>
      </w:r>
      <w:r w:rsidR="00947279">
        <w:t xml:space="preserve">the Act of the former </w:t>
      </w:r>
      <w:r w:rsidR="00947279">
        <w:rPr>
          <w:i/>
        </w:rPr>
        <w:t>Sejm</w:t>
      </w:r>
      <w:r w:rsidR="00535710">
        <w:t xml:space="preserve">. On 3 December 2015, the Constitutional Tribunal rendered the decision that the election of the November Judges was constitutional as the mandate of the former judges expired before the end of the term of the former </w:t>
      </w:r>
      <w:r w:rsidR="00535710">
        <w:rPr>
          <w:i/>
        </w:rPr>
        <w:t>Sejm</w:t>
      </w:r>
      <w:r w:rsidR="00535710">
        <w:t xml:space="preserve">. </w:t>
      </w:r>
      <w:r w:rsidR="00947279">
        <w:t xml:space="preserve">The election of the December Judges by the former </w:t>
      </w:r>
      <w:r w:rsidR="00947279">
        <w:rPr>
          <w:i/>
        </w:rPr>
        <w:t>Sejm,</w:t>
      </w:r>
      <w:r w:rsidR="00947279">
        <w:t xml:space="preserve"> however, was unconstitutional as the mandate of the former judges expired after the </w:t>
      </w:r>
      <w:r w:rsidR="00B5180D">
        <w:t>instalment</w:t>
      </w:r>
      <w:r w:rsidR="00947279">
        <w:t xml:space="preserve"> of the new </w:t>
      </w:r>
      <w:r w:rsidR="00947279">
        <w:rPr>
          <w:i/>
        </w:rPr>
        <w:t>Sejm.</w:t>
      </w:r>
      <w:r w:rsidR="00947279">
        <w:t xml:space="preserve"> As a consequence, the new </w:t>
      </w:r>
      <w:r w:rsidR="00947279">
        <w:rPr>
          <w:i/>
        </w:rPr>
        <w:t>Sejm</w:t>
      </w:r>
      <w:r w:rsidR="00947279">
        <w:t xml:space="preserve"> had to allow the November Judges to take up their position in the Constitutional Tribunal instead of the judges they elected. The December Judges, on the contrary, where </w:t>
      </w:r>
      <w:r w:rsidR="000C5C4E">
        <w:t xml:space="preserve">rightfully </w:t>
      </w:r>
      <w:r w:rsidR="00947279">
        <w:t xml:space="preserve">replaced </w:t>
      </w:r>
      <w:r w:rsidR="000C5C4E">
        <w:t xml:space="preserve">by the new </w:t>
      </w:r>
      <w:r w:rsidR="000C5C4E" w:rsidRPr="000C5C4E">
        <w:rPr>
          <w:i/>
        </w:rPr>
        <w:t>Sejm</w:t>
      </w:r>
      <w:r w:rsidR="000C5C4E">
        <w:t>.</w:t>
      </w:r>
      <w:r w:rsidR="00947279">
        <w:t xml:space="preserve"> </w:t>
      </w:r>
    </w:p>
    <w:p w14:paraId="54D9554E" w14:textId="458A24F4" w:rsidR="00947279" w:rsidRPr="00D92A13" w:rsidRDefault="00947279" w:rsidP="00095FFD">
      <w:r>
        <w:t xml:space="preserve">In addition, the </w:t>
      </w:r>
      <w:r w:rsidR="00B5180D">
        <w:t xml:space="preserve">newly elected </w:t>
      </w:r>
      <w:r>
        <w:rPr>
          <w:i/>
        </w:rPr>
        <w:t xml:space="preserve">Sejm </w:t>
      </w:r>
      <w:r>
        <w:t xml:space="preserve">amended </w:t>
      </w:r>
      <w:r w:rsidR="00367B6B">
        <w:t xml:space="preserve">twice </w:t>
      </w:r>
      <w:r>
        <w:t>the Act on the Constitutional Tribunal</w:t>
      </w:r>
      <w:r w:rsidR="000C5C4E">
        <w:t xml:space="preserve"> at a very short notice</w:t>
      </w:r>
      <w:r>
        <w:t xml:space="preserve">. </w:t>
      </w:r>
      <w:r w:rsidR="00367B6B">
        <w:t>The first amendment</w:t>
      </w:r>
      <w:r w:rsidR="00367B6B">
        <w:rPr>
          <w:rStyle w:val="Voetnootmarkering"/>
        </w:rPr>
        <w:footnoteReference w:id="54"/>
      </w:r>
      <w:r w:rsidR="00367B6B">
        <w:t xml:space="preserve"> </w:t>
      </w:r>
      <w:r>
        <w:t>introduced a three-year tenure of office for the President of the Constitutional Tribunal, renewable once, and terminated the tenure of the incumbent President and Vice-President.</w:t>
      </w:r>
      <w:r>
        <w:rPr>
          <w:rStyle w:val="Voetnootmarkering"/>
        </w:rPr>
        <w:footnoteReference w:id="55"/>
      </w:r>
      <w:r w:rsidR="00367B6B">
        <w:t xml:space="preserve"> The second amendment</w:t>
      </w:r>
      <w:r w:rsidR="00367B6B">
        <w:rPr>
          <w:rStyle w:val="Voetnootmarkering"/>
        </w:rPr>
        <w:footnoteReference w:id="56"/>
      </w:r>
      <w:r w:rsidR="00367B6B">
        <w:t xml:space="preserve"> </w:t>
      </w:r>
      <w:r w:rsidR="00372185">
        <w:t xml:space="preserve">altered to a great extent the functioning of the Constitutional Tribunal. Changes such as the attendance quorum, the voting majority, sequence of the cases and disciplinary proceedings were </w:t>
      </w:r>
      <w:r w:rsidR="00B11EF8">
        <w:t>adopted</w:t>
      </w:r>
      <w:r w:rsidR="00372185">
        <w:t>.</w:t>
      </w:r>
      <w:r w:rsidR="00D92A13">
        <w:rPr>
          <w:rStyle w:val="Voetnootmarkering"/>
        </w:rPr>
        <w:footnoteReference w:id="57"/>
      </w:r>
      <w:r w:rsidR="00372185">
        <w:t xml:space="preserve"> </w:t>
      </w:r>
      <w:r w:rsidR="00D92A13">
        <w:t>In the judgments of respectively 9 December 2015 and 9 March 2016, the Constitutional Tribunal analysed the</w:t>
      </w:r>
      <w:r w:rsidR="00B11EF8">
        <w:t>se</w:t>
      </w:r>
      <w:r w:rsidR="00D92A13">
        <w:t xml:space="preserve"> amendments and concluded that they both were unconstitutional because they</w:t>
      </w:r>
      <w:r w:rsidR="00B11EF8" w:rsidRPr="00B11EF8">
        <w:t xml:space="preserve"> </w:t>
      </w:r>
      <w:r w:rsidR="00B11EF8">
        <w:t>were undermining</w:t>
      </w:r>
      <w:r w:rsidR="00D92A13">
        <w:t xml:space="preserve">, among other things, the independence of the judiciary. The </w:t>
      </w:r>
      <w:r w:rsidR="00D92A13">
        <w:rPr>
          <w:i/>
        </w:rPr>
        <w:t>Sejm</w:t>
      </w:r>
      <w:r w:rsidR="00D92A13">
        <w:t xml:space="preserve">, however, </w:t>
      </w:r>
      <w:r w:rsidR="00B11EF8">
        <w:t>claimed</w:t>
      </w:r>
      <w:r w:rsidR="00D92A13">
        <w:t xml:space="preserve"> that the Constitutional Tribunal did not rule in accordance with</w:t>
      </w:r>
      <w:r w:rsidR="00B64DFE">
        <w:t xml:space="preserve"> the new legislation. </w:t>
      </w:r>
      <w:r w:rsidR="00B5180D">
        <w:t>Consequently</w:t>
      </w:r>
      <w:r w:rsidR="00B64DFE">
        <w:t>, they consistently refused to publish the judgments of the Constitutional Tribunal, including all judgments rendered after the judgment of 9 March</w:t>
      </w:r>
      <w:r w:rsidR="00B5180D">
        <w:t xml:space="preserve"> 2016</w:t>
      </w:r>
      <w:r w:rsidR="00B64DFE">
        <w:t xml:space="preserve">. </w:t>
      </w:r>
    </w:p>
    <w:p w14:paraId="44AA1C90" w14:textId="20416936" w:rsidR="00F35D01" w:rsidRDefault="00F35D01" w:rsidP="00F35D01">
      <w:pPr>
        <w:pStyle w:val="Kop4"/>
      </w:pPr>
      <w:bookmarkStart w:id="12" w:name="_Toc354987650"/>
      <w:r>
        <w:t>First stage: Commission Assessment</w:t>
      </w:r>
      <w:bookmarkEnd w:id="12"/>
    </w:p>
    <w:p w14:paraId="62EE6A35" w14:textId="26D4A4D9" w:rsidR="0013210F" w:rsidRDefault="00B64DFE" w:rsidP="0036671C">
      <w:r>
        <w:t xml:space="preserve">These constitutional developments </w:t>
      </w:r>
      <w:r w:rsidRPr="00722378">
        <w:t xml:space="preserve">concerning the composition </w:t>
      </w:r>
      <w:r>
        <w:t xml:space="preserve">and functioning </w:t>
      </w:r>
      <w:r w:rsidRPr="00722378">
        <w:t xml:space="preserve">of </w:t>
      </w:r>
      <w:r>
        <w:t xml:space="preserve">the Constitutional Tribunal and the persistent </w:t>
      </w:r>
      <w:r w:rsidRPr="00722378">
        <w:t>refusal to publish judgments rendered by the Constitutional Tribunal</w:t>
      </w:r>
      <w:r>
        <w:t xml:space="preserve"> </w:t>
      </w:r>
      <w:r>
        <w:lastRenderedPageBreak/>
        <w:t>raised concerns with respect to the</w:t>
      </w:r>
      <w:r w:rsidR="00B5180D">
        <w:t xml:space="preserve"> rule of law</w:t>
      </w:r>
      <w:r>
        <w:t xml:space="preserve"> compliance </w:t>
      </w:r>
      <w:r w:rsidR="00B5180D">
        <w:t>by Poland</w:t>
      </w:r>
      <w:r w:rsidRPr="00722378">
        <w:t>.</w:t>
      </w:r>
      <w:r w:rsidRPr="00722378">
        <w:rPr>
          <w:rStyle w:val="Voetnootmarkering"/>
        </w:rPr>
        <w:footnoteReference w:id="58"/>
      </w:r>
      <w:r>
        <w:t xml:space="preserve"> </w:t>
      </w:r>
      <w:r w:rsidR="00F06522">
        <w:t xml:space="preserve">Therefore, the Commission decided on 13 January </w:t>
      </w:r>
      <w:r w:rsidR="00B5180D">
        <w:t xml:space="preserve">2016 </w:t>
      </w:r>
      <w:r w:rsidR="00F06522">
        <w:t>to initiate for the first time its Rule of Law Framework</w:t>
      </w:r>
      <w:r w:rsidR="00B5180D">
        <w:t>,</w:t>
      </w:r>
      <w:r w:rsidR="00F06522">
        <w:t xml:space="preserve"> </w:t>
      </w:r>
      <w:r w:rsidR="00B5180D">
        <w:t>establishing</w:t>
      </w:r>
      <w:r w:rsidR="00F06522">
        <w:t xml:space="preserve"> constructive dialogue. </w:t>
      </w:r>
      <w:r w:rsidR="00F06522" w:rsidRPr="00722378">
        <w:t>Poland</w:t>
      </w:r>
      <w:r w:rsidR="00F06522">
        <w:t xml:space="preserve">, however, </w:t>
      </w:r>
      <w:r w:rsidR="00F06522" w:rsidRPr="00722378">
        <w:t>has shown little cooperative spirit.</w:t>
      </w:r>
      <w:r w:rsidR="00F06522" w:rsidRPr="00722378">
        <w:rPr>
          <w:rStyle w:val="Voetnootmarkering"/>
        </w:rPr>
        <w:footnoteReference w:id="59"/>
      </w:r>
      <w:r w:rsidR="00F06522" w:rsidRPr="00722378">
        <w:t xml:space="preserve"> Moreover, the leader of the ruling Law and Justice Party is of the opinion that the Framework is contrary to EU law.</w:t>
      </w:r>
      <w:r w:rsidR="00F06522" w:rsidRPr="00722378">
        <w:rPr>
          <w:rStyle w:val="Voetnootmarkering"/>
        </w:rPr>
        <w:footnoteReference w:id="60"/>
      </w:r>
      <w:r w:rsidR="00F06522" w:rsidRPr="00722378">
        <w:t xml:space="preserve"> </w:t>
      </w:r>
    </w:p>
    <w:p w14:paraId="74BE2DFC" w14:textId="3D4D24BF" w:rsidR="00095FFD" w:rsidRDefault="0013210F" w:rsidP="0036671C">
      <w:r>
        <w:t xml:space="preserve">Finally, five months after the activation of the Rule of Law Framework, the Commission </w:t>
      </w:r>
      <w:r w:rsidR="00B5180D">
        <w:t>has</w:t>
      </w:r>
      <w:r>
        <w:t xml:space="preserve"> </w:t>
      </w:r>
      <w:r w:rsidR="0036671C" w:rsidRPr="00722378">
        <w:t>adopt</w:t>
      </w:r>
      <w:r w:rsidR="00B5180D">
        <w:t>ed</w:t>
      </w:r>
      <w:r w:rsidR="00B5180D" w:rsidRPr="00B5180D">
        <w:t xml:space="preserve"> </w:t>
      </w:r>
      <w:r w:rsidR="00B5180D" w:rsidRPr="00722378">
        <w:t>on 1 June 2016</w:t>
      </w:r>
      <w:r>
        <w:t xml:space="preserve"> </w:t>
      </w:r>
      <w:r w:rsidR="0036671C" w:rsidRPr="00722378">
        <w:t>a Rule of Law Opinion</w:t>
      </w:r>
      <w:r>
        <w:t>.</w:t>
      </w:r>
      <w:r w:rsidR="0036671C" w:rsidRPr="00722378">
        <w:rPr>
          <w:rStyle w:val="Voetnootmarkering"/>
        </w:rPr>
        <w:footnoteReference w:id="61"/>
      </w:r>
      <w:r w:rsidR="0036671C" w:rsidRPr="00722378">
        <w:t xml:space="preserve"> </w:t>
      </w:r>
      <w:r>
        <w:t xml:space="preserve">As mentioned before, the content of the dialogue and the Rule of Law Opinion is confidential. Hence, the Commission announced </w:t>
      </w:r>
      <w:r w:rsidR="00B11EF8">
        <w:t>the content of the Rule of Law Opinion</w:t>
      </w:r>
      <w:r w:rsidR="00B11EF8" w:rsidRPr="00722378">
        <w:t xml:space="preserve"> </w:t>
      </w:r>
      <w:r w:rsidRPr="00722378">
        <w:t xml:space="preserve">during a press conference </w:t>
      </w:r>
      <w:r w:rsidR="0036671C" w:rsidRPr="00722378">
        <w:t xml:space="preserve">in a very generalised manner. </w:t>
      </w:r>
      <w:r>
        <w:t>Namely, t</w:t>
      </w:r>
      <w:r w:rsidR="0036671C" w:rsidRPr="00722378">
        <w:t xml:space="preserve">he Commission raised three concerns </w:t>
      </w:r>
      <w:r w:rsidR="00476EE7">
        <w:t>related to:</w:t>
      </w:r>
      <w:r w:rsidR="0036671C" w:rsidRPr="00722378">
        <w:t xml:space="preserve"> the appointment of judges to the Constitutional Tribunal</w:t>
      </w:r>
      <w:r w:rsidR="00476EE7">
        <w:t xml:space="preserve"> and the implementation of the judgments of the Constitutional Tribunal concerning these appointments</w:t>
      </w:r>
      <w:r w:rsidR="0036671C" w:rsidRPr="00722378">
        <w:t xml:space="preserve">, the laws amending the </w:t>
      </w:r>
      <w:r w:rsidR="00476EE7">
        <w:t>Act on the</w:t>
      </w:r>
      <w:r w:rsidR="0036671C" w:rsidRPr="00722378">
        <w:t xml:space="preserve"> Constitutional Tribunal</w:t>
      </w:r>
      <w:r w:rsidR="00B5180D">
        <w:t>,</w:t>
      </w:r>
      <w:r w:rsidR="0036671C" w:rsidRPr="00722378">
        <w:t xml:space="preserve"> and the effectiveness of the Constitutional review of new legislation.</w:t>
      </w:r>
      <w:r w:rsidR="0036671C" w:rsidRPr="00722378">
        <w:rPr>
          <w:rStyle w:val="Voetnootmarkering"/>
        </w:rPr>
        <w:footnoteReference w:id="62"/>
      </w:r>
      <w:r w:rsidR="00476EE7">
        <w:t xml:space="preserve"> However</w:t>
      </w:r>
      <w:r w:rsidR="00B11EF8">
        <w:t>,</w:t>
      </w:r>
      <w:r w:rsidR="00476EE7">
        <w:t xml:space="preserve"> at this point of time, more details were not released, as the Commission is of the opinion that this </w:t>
      </w:r>
      <w:r w:rsidR="00476EE7" w:rsidRPr="00722378">
        <w:rPr>
          <w:i/>
        </w:rPr>
        <w:t xml:space="preserve">“would undermine the protection of the purpose of the ongoing investigation; </w:t>
      </w:r>
      <w:r w:rsidR="00B11EF8">
        <w:rPr>
          <w:i/>
        </w:rPr>
        <w:t>(…)</w:t>
      </w:r>
      <w:r w:rsidR="00476EE7" w:rsidRPr="00722378">
        <w:rPr>
          <w:i/>
        </w:rPr>
        <w:t xml:space="preserve"> disclosure of the document at this point in time would affect the climate of mutual trust between the authorities of the Member State and the Commission, which is required to enable them to find a solution and prevent the emergence of a systemic threat to the rule of law.</w:t>
      </w:r>
      <w:r w:rsidR="00476EE7" w:rsidRPr="00722378">
        <w:rPr>
          <w:i/>
          <w:lang w:val="en-US"/>
        </w:rPr>
        <w:t>”</w:t>
      </w:r>
      <w:r w:rsidR="00476EE7" w:rsidRPr="00722378">
        <w:rPr>
          <w:rStyle w:val="Voetnootmarkering"/>
          <w:i/>
          <w:lang w:val="en-US"/>
        </w:rPr>
        <w:footnoteReference w:id="63"/>
      </w:r>
      <w:r w:rsidR="00476EE7">
        <w:rPr>
          <w:i/>
          <w:lang w:val="en-US"/>
        </w:rPr>
        <w:t xml:space="preserve"> </w:t>
      </w:r>
      <w:r w:rsidR="0036671C" w:rsidRPr="00722378">
        <w:t xml:space="preserve">Meanwhile, the Council of Europe, in particular the Venice Commission, </w:t>
      </w:r>
      <w:r w:rsidR="00476EE7">
        <w:t xml:space="preserve">had </w:t>
      </w:r>
      <w:r w:rsidR="0036671C" w:rsidRPr="00722378">
        <w:t xml:space="preserve">already </w:t>
      </w:r>
      <w:r w:rsidR="00476EE7">
        <w:t xml:space="preserve">adopted and </w:t>
      </w:r>
      <w:r w:rsidR="00B5180D">
        <w:t xml:space="preserve">even </w:t>
      </w:r>
      <w:r w:rsidR="00476EE7">
        <w:t xml:space="preserve">published </w:t>
      </w:r>
      <w:r w:rsidR="0036671C" w:rsidRPr="00722378">
        <w:t xml:space="preserve">an extensive </w:t>
      </w:r>
      <w:r w:rsidR="00476EE7">
        <w:t>o</w:t>
      </w:r>
      <w:r w:rsidR="0036671C" w:rsidRPr="00722378">
        <w:t>pinion on the situation in Poland.</w:t>
      </w:r>
      <w:r w:rsidR="00476EE7">
        <w:rPr>
          <w:rStyle w:val="Voetnootmarkering"/>
        </w:rPr>
        <w:footnoteReference w:id="64"/>
      </w:r>
      <w:r w:rsidR="0036671C" w:rsidRPr="00722378">
        <w:t xml:space="preserve"> </w:t>
      </w:r>
      <w:r w:rsidR="00D61AFF">
        <w:t xml:space="preserve">In a later stage, the Commission </w:t>
      </w:r>
      <w:r w:rsidR="00E422E1">
        <w:t>granted</w:t>
      </w:r>
      <w:r w:rsidR="00D61AFF">
        <w:t xml:space="preserve"> the full disclosure of the Rule of Law Opinion because the Commission had already issued the Rule of Law Recommendation.</w:t>
      </w:r>
      <w:r w:rsidR="0036671C" w:rsidRPr="00722378">
        <w:rPr>
          <w:rStyle w:val="Voetnootmarkering"/>
        </w:rPr>
        <w:footnoteReference w:id="65"/>
      </w:r>
      <w:r w:rsidR="00476EE7">
        <w:t xml:space="preserve"> </w:t>
      </w:r>
    </w:p>
    <w:p w14:paraId="6D202644" w14:textId="072C53F6" w:rsidR="00D61AFF" w:rsidRDefault="00E422E1" w:rsidP="0036671C">
      <w:r>
        <w:t xml:space="preserve">In its Rule of Law Opinion, the Commission focuses on the assessment of the three concerns. Firstly, the Commission emphasised the need to implement the judgments regarding the appointment of the </w:t>
      </w:r>
      <w:r>
        <w:lastRenderedPageBreak/>
        <w:t>judges of the Constitutional Tribunal.</w:t>
      </w:r>
      <w:r w:rsidR="00656C4F">
        <w:rPr>
          <w:rStyle w:val="Voetnootmarkering"/>
        </w:rPr>
        <w:footnoteReference w:id="66"/>
      </w:r>
      <w:r>
        <w:t xml:space="preserve"> In other words, the November Judges appointed by the former </w:t>
      </w:r>
      <w:r>
        <w:rPr>
          <w:i/>
        </w:rPr>
        <w:t>Sejm</w:t>
      </w:r>
      <w:r>
        <w:t xml:space="preserve"> should take up their function of judge in the Constitutional Tribunal. Secondly, the Commission adjudicated that </w:t>
      </w:r>
      <w:r w:rsidR="00656C4F">
        <w:t>the amendments of 22 December 2015 to the Act of the Constitutional Tribunal are undermining the effectiveness of the Constitutional Tribunal as a guarantor of the Constitution.</w:t>
      </w:r>
      <w:r w:rsidR="00656C4F">
        <w:rPr>
          <w:rStyle w:val="Voetnootmarkering"/>
        </w:rPr>
        <w:footnoteReference w:id="67"/>
      </w:r>
      <w:r w:rsidR="00656C4F">
        <w:t xml:space="preserve"> Moreover, these measures raise concerns regarding the separation of powers and the integrity and independence of the judiciary.</w:t>
      </w:r>
      <w:r w:rsidR="00656C4F">
        <w:rPr>
          <w:rStyle w:val="Voetnootmarkering"/>
        </w:rPr>
        <w:footnoteReference w:id="68"/>
      </w:r>
      <w:r w:rsidR="00656C4F">
        <w:t xml:space="preserve"> This was already proclaimed by the Constitutional Tribunal itself</w:t>
      </w:r>
      <w:r w:rsidR="00B11EF8">
        <w:t xml:space="preserve"> and the Venice Commission</w:t>
      </w:r>
      <w:r w:rsidR="00656C4F">
        <w:t>. However, the Polish government refused to publish the judgement</w:t>
      </w:r>
      <w:r w:rsidR="00B11EF8">
        <w:t>s</w:t>
      </w:r>
      <w:r w:rsidR="00656C4F">
        <w:t>, creating legal uncertainty.</w:t>
      </w:r>
      <w:r w:rsidR="00656C4F">
        <w:rPr>
          <w:rStyle w:val="Voetnootmarkering"/>
        </w:rPr>
        <w:footnoteReference w:id="69"/>
      </w:r>
      <w:r w:rsidR="00656C4F">
        <w:t xml:space="preserve"> To conclude, the Commission </w:t>
      </w:r>
      <w:r w:rsidR="00B11EF8">
        <w:t>claims</w:t>
      </w:r>
      <w:r w:rsidR="00656C4F">
        <w:t xml:space="preserve"> that the </w:t>
      </w:r>
      <w:r w:rsidR="00B84A33">
        <w:t>Constitutional Tribunal is hindered to perform an effective constitutional review due to the legislative reforms.</w:t>
      </w:r>
      <w:r w:rsidR="00B84A33">
        <w:rPr>
          <w:rStyle w:val="Voetnootmarkering"/>
        </w:rPr>
        <w:footnoteReference w:id="70"/>
      </w:r>
      <w:r w:rsidR="00B84A33">
        <w:t xml:space="preserve"> </w:t>
      </w:r>
    </w:p>
    <w:p w14:paraId="6A351555" w14:textId="5B3248D6" w:rsidR="00B84A33" w:rsidRPr="00E422E1" w:rsidRDefault="00B84A33" w:rsidP="0036671C">
      <w:r>
        <w:t xml:space="preserve">As a consequence, the Commission had to conclude that a systemic threat to the rule of law emerged in Poland. </w:t>
      </w:r>
      <w:r w:rsidR="00580588">
        <w:t>P</w:t>
      </w:r>
      <w:r>
        <w:t xml:space="preserve">ersistent refusal to publish </w:t>
      </w:r>
      <w:r w:rsidR="00580588">
        <w:t xml:space="preserve">and implement </w:t>
      </w:r>
      <w:r>
        <w:t xml:space="preserve">judgments of the Constitutional Tribunal declaring the legislative actions and reforms </w:t>
      </w:r>
      <w:r w:rsidR="00B11EF8">
        <w:t xml:space="preserve">implemented by the </w:t>
      </w:r>
      <w:r w:rsidR="00B11EF8">
        <w:rPr>
          <w:i/>
        </w:rPr>
        <w:t xml:space="preserve">Sejm </w:t>
      </w:r>
      <w:r>
        <w:t>unconstitutional d</w:t>
      </w:r>
      <w:r w:rsidR="00580588">
        <w:t xml:space="preserve">emonstrates without doubt that safeguard measures established at national level to secure the rule of law are </w:t>
      </w:r>
      <w:r w:rsidR="00307B6C">
        <w:t xml:space="preserve">systematically and adversely </w:t>
      </w:r>
      <w:r w:rsidR="00580588">
        <w:t>affect</w:t>
      </w:r>
      <w:r w:rsidR="00B5180D">
        <w:t>ed and therefore</w:t>
      </w:r>
      <w:r w:rsidR="00307B6C">
        <w:t xml:space="preserve"> consists of</w:t>
      </w:r>
      <w:r w:rsidR="00B5180D">
        <w:t xml:space="preserve"> a systemic threat to the rule of law. </w:t>
      </w:r>
      <w:r w:rsidR="00307B6C">
        <w:t>It</w:t>
      </w:r>
      <w:r w:rsidR="00B5180D">
        <w:t xml:space="preserve"> could even </w:t>
      </w:r>
      <w:r w:rsidR="00307B6C">
        <w:t>be claimed</w:t>
      </w:r>
      <w:r w:rsidR="00B5180D">
        <w:t xml:space="preserve"> that the threshold of a serious and persistent breach to trigger Article 7 TEU has already been reached, especially considering the impact of the amendments to the Act of the Constitutional Tribunal on the effectiveness of the Constitutional Tribunal.</w:t>
      </w:r>
      <w:r w:rsidR="00307B6C">
        <w:t xml:space="preserve"> In contrast, the Commission decides to proceed with the second stage of the Rule of Law Framework.</w:t>
      </w:r>
    </w:p>
    <w:p w14:paraId="00B5A3B6" w14:textId="4F273D1D" w:rsidR="00F35D01" w:rsidRDefault="00E2196F" w:rsidP="00F35D01">
      <w:pPr>
        <w:pStyle w:val="Kop4"/>
      </w:pPr>
      <w:bookmarkStart w:id="13" w:name="_Toc354987651"/>
      <w:r>
        <w:t xml:space="preserve">Second stage: </w:t>
      </w:r>
      <w:r w:rsidR="00F35D01">
        <w:t>Commission Recommendation</w:t>
      </w:r>
      <w:bookmarkEnd w:id="13"/>
    </w:p>
    <w:p w14:paraId="0ED8A3FF" w14:textId="75E40E08" w:rsidR="00B5180D" w:rsidRDefault="0036671C" w:rsidP="0036671C">
      <w:r w:rsidRPr="00722378">
        <w:t xml:space="preserve">Poland has had the opportunity to submit their observations upon which further constructive dialogue </w:t>
      </w:r>
      <w:r w:rsidR="00580588">
        <w:t>is</w:t>
      </w:r>
      <w:r w:rsidRPr="00722378">
        <w:t xml:space="preserve"> based in order to find solutions. </w:t>
      </w:r>
      <w:r w:rsidR="00580588">
        <w:t xml:space="preserve">Instead, the </w:t>
      </w:r>
      <w:r w:rsidR="00580588">
        <w:rPr>
          <w:i/>
        </w:rPr>
        <w:t xml:space="preserve">Sejm </w:t>
      </w:r>
      <w:r w:rsidRPr="00722378">
        <w:t>adopted</w:t>
      </w:r>
      <w:r w:rsidR="00580588">
        <w:t xml:space="preserve"> on 22 July 2016</w:t>
      </w:r>
      <w:r w:rsidRPr="00722378">
        <w:t xml:space="preserve"> a new </w:t>
      </w:r>
      <w:r w:rsidR="00580588">
        <w:t>Act</w:t>
      </w:r>
      <w:r w:rsidRPr="00722378">
        <w:t xml:space="preserve"> on the Constitutional Tribunal</w:t>
      </w:r>
      <w:r w:rsidR="005255CA">
        <w:t xml:space="preserve"> (hereinafter ‘New Act’)</w:t>
      </w:r>
      <w:r w:rsidRPr="00722378">
        <w:t xml:space="preserve">. </w:t>
      </w:r>
      <w:r w:rsidR="00307B6C">
        <w:t>Upon f</w:t>
      </w:r>
      <w:r w:rsidRPr="00722378">
        <w:t>urther assessment</w:t>
      </w:r>
      <w:r w:rsidR="00307B6C">
        <w:t>,</w:t>
      </w:r>
      <w:r w:rsidRPr="00722378">
        <w:t xml:space="preserve"> the Commission </w:t>
      </w:r>
      <w:r w:rsidR="00307B6C">
        <w:t>concluded</w:t>
      </w:r>
      <w:r w:rsidRPr="00722378">
        <w:t xml:space="preserve"> that this was no satisfactory remedy, as concerns related to the rule of law still existed. As a result, the </w:t>
      </w:r>
      <w:r w:rsidRPr="00722378">
        <w:lastRenderedPageBreak/>
        <w:t>Commission instigated the second stage</w:t>
      </w:r>
      <w:r w:rsidR="00580588">
        <w:t xml:space="preserve"> by issuing </w:t>
      </w:r>
      <w:r w:rsidRPr="00722378">
        <w:t>on 27 July 2016 a recommendation regarding the rule of law in Poland.</w:t>
      </w:r>
      <w:r w:rsidR="00580588">
        <w:rPr>
          <w:rStyle w:val="Voetnootmarkering"/>
        </w:rPr>
        <w:footnoteReference w:id="71"/>
      </w:r>
      <w:r w:rsidRPr="00722378">
        <w:t xml:space="preserve"> </w:t>
      </w:r>
    </w:p>
    <w:p w14:paraId="42C08FEE" w14:textId="24921303" w:rsidR="00B5180D" w:rsidRDefault="0047794D" w:rsidP="0036671C">
      <w:r>
        <w:t>The Rule of Law Recommendation reflects to a great extent the content of the Rule of Law Opinion. It highlights</w:t>
      </w:r>
      <w:r w:rsidR="00307B6C">
        <w:t>,</w:t>
      </w:r>
      <w:r>
        <w:t xml:space="preserve"> however</w:t>
      </w:r>
      <w:r w:rsidR="00307B6C">
        <w:t>,</w:t>
      </w:r>
      <w:r>
        <w:t xml:space="preserve"> the issue of the effective functioning of the </w:t>
      </w:r>
      <w:r w:rsidR="005255CA">
        <w:t>Constitutional Tribunal.</w:t>
      </w:r>
      <w:r w:rsidR="005255CA">
        <w:rPr>
          <w:rStyle w:val="Voetnootmarkering"/>
        </w:rPr>
        <w:footnoteReference w:id="72"/>
      </w:r>
      <w:r w:rsidR="005255CA">
        <w:t xml:space="preserve"> The Commission acknowledges that the New Act contains certain improvements </w:t>
      </w:r>
      <w:r w:rsidR="00307B6C">
        <w:t>such as</w:t>
      </w:r>
      <w:r w:rsidR="005255CA">
        <w:t xml:space="preserve"> the voting majorities, the sequence rule, </w:t>
      </w:r>
      <w:r w:rsidR="00307B6C">
        <w:t xml:space="preserve">and </w:t>
      </w:r>
      <w:r w:rsidR="005255CA">
        <w:t xml:space="preserve">disciplinary proceedings. Nevertheless, certain provisions </w:t>
      </w:r>
      <w:r w:rsidR="00307B6C">
        <w:t>containing</w:t>
      </w:r>
      <w:r w:rsidR="005255CA">
        <w:t xml:space="preserve"> rule of law </w:t>
      </w:r>
      <w:r w:rsidR="00307B6C">
        <w:t xml:space="preserve">violations </w:t>
      </w:r>
      <w:r w:rsidR="005255CA">
        <w:t>remain unchanged</w:t>
      </w:r>
      <w:r w:rsidR="00307B6C">
        <w:t>. Moreover, new concerns have been introduced. For instance, t</w:t>
      </w:r>
      <w:r w:rsidR="005255CA">
        <w:t xml:space="preserve">he Public Prosecutor-General, </w:t>
      </w:r>
      <w:r w:rsidR="00361AD1">
        <w:t>who is also the Minister of Justice, appear</w:t>
      </w:r>
      <w:r w:rsidR="00307B6C">
        <w:t>s</w:t>
      </w:r>
      <w:r w:rsidR="00361AD1">
        <w:t xml:space="preserve"> to have the possibility to delay or even prevent </w:t>
      </w:r>
      <w:r w:rsidR="00307B6C">
        <w:t>the</w:t>
      </w:r>
      <w:r w:rsidR="00361AD1">
        <w:t xml:space="preserve"> examination of certain cases by deciding not to participate at the hearing.</w:t>
      </w:r>
      <w:r w:rsidR="00361AD1">
        <w:rPr>
          <w:rStyle w:val="Voetnootmarkering"/>
        </w:rPr>
        <w:footnoteReference w:id="73"/>
      </w:r>
      <w:r w:rsidR="00361AD1">
        <w:t xml:space="preserve"> Indeed, absence of the Public Prosecutor-General will prevent </w:t>
      </w:r>
      <w:r w:rsidR="00307B6C">
        <w:t xml:space="preserve">an </w:t>
      </w:r>
      <w:r w:rsidR="00361AD1">
        <w:t>examination of the case when the New Act foresees in the obligation to participate in the hearings, such as in cases examined by the full bench.</w:t>
      </w:r>
      <w:r w:rsidR="00361AD1">
        <w:rPr>
          <w:rStyle w:val="Voetnootmarkering"/>
        </w:rPr>
        <w:footnoteReference w:id="74"/>
      </w:r>
      <w:r w:rsidR="00361AD1">
        <w:t xml:space="preserve"> </w:t>
      </w:r>
    </w:p>
    <w:p w14:paraId="59E85668" w14:textId="14D089A7" w:rsidR="00ED289A" w:rsidRDefault="00361AD1" w:rsidP="0036671C">
      <w:r>
        <w:t xml:space="preserve">Hence, the situation in Poland regarding the rule of law still consists </w:t>
      </w:r>
      <w:r w:rsidR="00307B6C">
        <w:t>of</w:t>
      </w:r>
      <w:r>
        <w:t xml:space="preserve"> a sys</w:t>
      </w:r>
      <w:r w:rsidR="00CC1F9D">
        <w:t>temic threat to the rule of law, whereby the Constitutional Tribunal is prevented from fully ensuring an effective constitutional review adversely effecting its integrity, stability, and proper functioning, which is one of the essential safeguards of the rule of law.</w:t>
      </w:r>
      <w:r w:rsidR="00CC1F9D">
        <w:rPr>
          <w:rStyle w:val="Voetnootmarkering"/>
        </w:rPr>
        <w:footnoteReference w:id="75"/>
      </w:r>
      <w:r w:rsidR="00CC1F9D">
        <w:t xml:space="preserve"> Therefore, the Commission recommends</w:t>
      </w:r>
      <w:r w:rsidR="00307B6C">
        <w:t>,</w:t>
      </w:r>
      <w:r w:rsidR="00CC1F9D">
        <w:t xml:space="preserve"> first of all</w:t>
      </w:r>
      <w:r w:rsidR="00307B6C">
        <w:t>,</w:t>
      </w:r>
      <w:r w:rsidR="00CC1F9D">
        <w:t xml:space="preserve"> that all judgments of the Constitutional Tribunal have to be published and implemented.</w:t>
      </w:r>
      <w:r w:rsidR="00CC1F9D">
        <w:rPr>
          <w:rStyle w:val="Voetnootmarkering"/>
        </w:rPr>
        <w:footnoteReference w:id="76"/>
      </w:r>
      <w:r w:rsidR="00CC1F9D">
        <w:t xml:space="preserve"> Secondly, it urges </w:t>
      </w:r>
      <w:r w:rsidR="00307B6C">
        <w:t>conformity of t</w:t>
      </w:r>
      <w:r w:rsidR="00CC1F9D">
        <w:t xml:space="preserve">he New Act </w:t>
      </w:r>
      <w:r w:rsidR="00307B6C">
        <w:t>with</w:t>
      </w:r>
      <w:r w:rsidR="00CC1F9D">
        <w:t xml:space="preserve"> the already rendered judgments of the Constitutional Tribunal and the Opinion of the Venice Commission of 11 March 2016.</w:t>
      </w:r>
      <w:r w:rsidR="00CC1F9D">
        <w:rPr>
          <w:rStyle w:val="Voetnootmarkering"/>
        </w:rPr>
        <w:footnoteReference w:id="77"/>
      </w:r>
      <w:r w:rsidR="00CC1F9D">
        <w:t xml:space="preserve"> Moreover, the Constitutional Tribunal should have the opportunity to review the New Act before it enters into force.</w:t>
      </w:r>
      <w:r w:rsidR="00CC1F9D">
        <w:rPr>
          <w:rStyle w:val="Voetnootmarkering"/>
        </w:rPr>
        <w:footnoteReference w:id="78"/>
      </w:r>
      <w:r w:rsidR="00CC1F9D">
        <w:t xml:space="preserve"> </w:t>
      </w:r>
      <w:r w:rsidR="00307B6C">
        <w:t>L</w:t>
      </w:r>
      <w:r w:rsidR="00CC1F9D">
        <w:t xml:space="preserve">astly, the Polish authorities have to refrain from actions or public statements that could further undermine the legitimacy and efficiency of </w:t>
      </w:r>
      <w:r w:rsidR="00CC1F9D">
        <w:lastRenderedPageBreak/>
        <w:t>the Constitutional Tribunal.</w:t>
      </w:r>
      <w:r w:rsidR="00CC1F9D">
        <w:rPr>
          <w:rStyle w:val="Voetnootmarkering"/>
        </w:rPr>
        <w:footnoteReference w:id="79"/>
      </w:r>
      <w:r w:rsidR="00CC1F9D">
        <w:t xml:space="preserve"> These recommendations had to be implemented w</w:t>
      </w:r>
      <w:r w:rsidR="0036671C" w:rsidRPr="00722378">
        <w:t>ithin a 3</w:t>
      </w:r>
      <w:r w:rsidR="00ED289A">
        <w:t xml:space="preserve">-month timeframe. </w:t>
      </w:r>
    </w:p>
    <w:p w14:paraId="5856B91F" w14:textId="104BC40C" w:rsidR="00F35D01" w:rsidRDefault="00E2196F" w:rsidP="00F35D01">
      <w:pPr>
        <w:pStyle w:val="Kop4"/>
      </w:pPr>
      <w:bookmarkStart w:id="14" w:name="_Toc354987652"/>
      <w:r>
        <w:t xml:space="preserve">Third stage: </w:t>
      </w:r>
      <w:r w:rsidR="00F35D01">
        <w:t>Follow-up</w:t>
      </w:r>
      <w:r>
        <w:t xml:space="preserve"> to Commission Recommendation</w:t>
      </w:r>
      <w:bookmarkEnd w:id="14"/>
    </w:p>
    <w:p w14:paraId="0A51C14E" w14:textId="451F40C8" w:rsidR="005B2FB1" w:rsidRDefault="005B2FB1" w:rsidP="00B873B9">
      <w:r>
        <w:t xml:space="preserve">During this timeframe, the Constitutional Tribunal reviewed </w:t>
      </w:r>
      <w:r w:rsidR="002C5154">
        <w:t xml:space="preserve">on 11 August 2016 </w:t>
      </w:r>
      <w:r>
        <w:t xml:space="preserve">the New Act before its entry into force in accordance with the Rule of Law Recommendation of the Commission. Various provisions </w:t>
      </w:r>
      <w:r w:rsidR="002C5154">
        <w:t xml:space="preserve">– similar to the one’s that raised concerns in the context of the Rule of Law Framework – </w:t>
      </w:r>
      <w:r>
        <w:t>were found unconstitutional</w:t>
      </w:r>
      <w:r w:rsidR="002C5154">
        <w:t xml:space="preserve">. The Constitutional Tribunal adjudicated that those provisions were contrary to the principle of separation and balance of power, independence of courts and tribunals from other branches, integrity and efficiency of public institutions, and independence of judges. Again, the </w:t>
      </w:r>
      <w:r w:rsidR="002C5154">
        <w:rPr>
          <w:i/>
        </w:rPr>
        <w:t xml:space="preserve">Sejm </w:t>
      </w:r>
      <w:r w:rsidR="002C5154">
        <w:t xml:space="preserve">did not recognise these concerns and refused to publish the judgment. Moreover, the New Act entered into force. As a counterbalance, the </w:t>
      </w:r>
      <w:r w:rsidR="002C5154">
        <w:rPr>
          <w:i/>
        </w:rPr>
        <w:t>Sejm</w:t>
      </w:r>
      <w:r w:rsidR="002C5154">
        <w:t xml:space="preserve"> decided to publish a number of judgments of the Constitutional Tribunal, with the exception of the judgments of 9 March 2016 and 11 August 2016, including the following judgments.</w:t>
      </w:r>
    </w:p>
    <w:p w14:paraId="622BD1B0" w14:textId="5B84E057" w:rsidR="00B873B9" w:rsidRPr="00722378" w:rsidRDefault="00B873B9" w:rsidP="00B873B9">
      <w:r w:rsidRPr="00722378">
        <w:t>Th</w:t>
      </w:r>
      <w:r>
        <w:t>is</w:t>
      </w:r>
      <w:r w:rsidRPr="00722378">
        <w:t xml:space="preserve"> deadline </w:t>
      </w:r>
      <w:r>
        <w:t xml:space="preserve">has </w:t>
      </w:r>
      <w:r w:rsidRPr="00722378">
        <w:t>passed</w:t>
      </w:r>
      <w:r>
        <w:t xml:space="preserve">, but </w:t>
      </w:r>
      <w:r w:rsidRPr="00722378">
        <w:t xml:space="preserve">none of the recommendations </w:t>
      </w:r>
      <w:r>
        <w:t>have been carried out</w:t>
      </w:r>
      <w:r w:rsidRPr="00722378">
        <w:t>. Moreover, on 27 October</w:t>
      </w:r>
      <w:r>
        <w:t xml:space="preserve"> 2016</w:t>
      </w:r>
      <w:r w:rsidRPr="00722378">
        <w:t xml:space="preserve"> the Polish Ministry of Foreign Affairs has stated that the recommendations were incompatible with the interests of the Polish state.</w:t>
      </w:r>
      <w:r w:rsidRPr="00722378">
        <w:rPr>
          <w:rStyle w:val="Voetnootmarkering"/>
        </w:rPr>
        <w:footnoteReference w:id="80"/>
      </w:r>
      <w:r w:rsidRPr="00722378">
        <w:t xml:space="preserve"> </w:t>
      </w:r>
      <w:r w:rsidR="00077282">
        <w:t>T</w:t>
      </w:r>
      <w:r w:rsidR="00077282" w:rsidRPr="00722378">
        <w:t>he Polish Ministry of Foreign Affairs is of the opinion that the Commission is interfering in the internal affairs of Poland, without adhering to the principles such as respect for sovereignty, subsidiarity and national identity.</w:t>
      </w:r>
      <w:r w:rsidR="00077282" w:rsidRPr="00722378">
        <w:rPr>
          <w:rStyle w:val="Voetnootmarkering"/>
        </w:rPr>
        <w:footnoteReference w:id="81"/>
      </w:r>
      <w:r w:rsidR="00077282" w:rsidRPr="00722378">
        <w:t xml:space="preserve"> </w:t>
      </w:r>
      <w:r w:rsidR="005B2FB1">
        <w:t>The Commission has pursued its assessment on the basis of incorrect assumptions which lead to unwarranted conclusions.</w:t>
      </w:r>
      <w:r w:rsidR="005B2FB1">
        <w:rPr>
          <w:rStyle w:val="Voetnootmarkering"/>
        </w:rPr>
        <w:footnoteReference w:id="82"/>
      </w:r>
    </w:p>
    <w:p w14:paraId="6EDCA1E3" w14:textId="4729EB5B" w:rsidR="0036671C" w:rsidRPr="00722378" w:rsidRDefault="00D40694" w:rsidP="0036671C">
      <w:r>
        <w:t xml:space="preserve">This is quite contradictory, </w:t>
      </w:r>
      <w:r w:rsidR="00307B6C">
        <w:t>because</w:t>
      </w:r>
      <w:r>
        <w:t xml:space="preserve"> not only the Commission, but more importantly also the Polish Constitutional Tribunal itself proclaimed concerns in light of the rule of law in various judgments. </w:t>
      </w:r>
      <w:r>
        <w:lastRenderedPageBreak/>
        <w:t>Furthermore, the Venice Commission repeated its rule of law concerns</w:t>
      </w:r>
      <w:r w:rsidR="0036671C" w:rsidRPr="00722378">
        <w:t>.</w:t>
      </w:r>
      <w:r>
        <w:rPr>
          <w:rStyle w:val="Voetnootmarkering"/>
        </w:rPr>
        <w:footnoteReference w:id="83"/>
      </w:r>
      <w:r w:rsidR="0036671C" w:rsidRPr="00722378">
        <w:t xml:space="preserve"> Improvements have been made; however, </w:t>
      </w:r>
      <w:r>
        <w:t>it</w:t>
      </w:r>
      <w:r w:rsidR="0036671C" w:rsidRPr="00722378">
        <w:t xml:space="preserve"> argued that the effects of the improvements are too limited</w:t>
      </w:r>
      <w:r>
        <w:t xml:space="preserve"> as a consequence of which </w:t>
      </w:r>
      <w:r w:rsidRPr="00722378">
        <w:t>the work of the Constitutional Tribunal would be considerably delayed and obstructed</w:t>
      </w:r>
      <w:r>
        <w:t>.</w:t>
      </w:r>
      <w:r w:rsidR="0036671C" w:rsidRPr="00722378">
        <w:rPr>
          <w:rStyle w:val="Voetnootmarkering"/>
        </w:rPr>
        <w:footnoteReference w:id="84"/>
      </w:r>
      <w:r w:rsidR="0036671C" w:rsidRPr="00722378">
        <w:t xml:space="preserve"> Moreover, it would make the Constitutional Tribunal's work ineffective and eventually undermine the independence of the judiciary.</w:t>
      </w:r>
    </w:p>
    <w:p w14:paraId="32E0B31A" w14:textId="197E1D49" w:rsidR="00095FFD" w:rsidRDefault="00095FFD" w:rsidP="00095FFD">
      <w:pPr>
        <w:pStyle w:val="Kop4"/>
      </w:pPr>
      <w:bookmarkStart w:id="15" w:name="_Toc354987653"/>
      <w:r>
        <w:t>Relaunch of the second stage</w:t>
      </w:r>
      <w:bookmarkEnd w:id="15"/>
    </w:p>
    <w:p w14:paraId="2591B6BF" w14:textId="3645562D" w:rsidR="007B0B48" w:rsidRDefault="00307B6C" w:rsidP="00095FFD">
      <w:r>
        <w:t>Once again, i</w:t>
      </w:r>
      <w:r w:rsidR="008802F4">
        <w:t xml:space="preserve">nstead of issuing a reasoned proposal </w:t>
      </w:r>
      <w:r w:rsidR="00E83C01">
        <w:t>to initiate</w:t>
      </w:r>
      <w:r w:rsidR="008802F4">
        <w:t xml:space="preserve"> Article 7 TEU, the Commission </w:t>
      </w:r>
      <w:r w:rsidR="00E83C01">
        <w:t xml:space="preserve">adopted </w:t>
      </w:r>
      <w:r>
        <w:t xml:space="preserve">a </w:t>
      </w:r>
      <w:r w:rsidR="00E83C01">
        <w:t>Rule of Law Recommendation ‘complementary’ to the Rule of Law Recommendation of 27 July 2016.</w:t>
      </w:r>
      <w:r w:rsidR="009D4816">
        <w:rPr>
          <w:rStyle w:val="Voetnootmarkering"/>
        </w:rPr>
        <w:footnoteReference w:id="85"/>
      </w:r>
      <w:r w:rsidR="00E83C01">
        <w:t xml:space="preserve"> </w:t>
      </w:r>
      <w:r w:rsidR="00FF735B">
        <w:t xml:space="preserve">The complementary Rule of Law Recommendation repeats in essence the first one. Besides, it also focuses on the newly adopted Law on the status of judges and Law on the organisation and proceedings that are an implicit implementation of the judgment of 11 August 2016. On the other hand, </w:t>
      </w:r>
      <w:r w:rsidR="007B0B48">
        <w:t xml:space="preserve">new concerns such as the reintroduction of disciplinary proceedings are submitted. The recommendations </w:t>
      </w:r>
      <w:r>
        <w:t>in essence</w:t>
      </w:r>
      <w:r w:rsidR="007B0B48">
        <w:t xml:space="preserve"> remain the same.</w:t>
      </w:r>
      <w:r w:rsidR="007B0B48" w:rsidRPr="007B0B48">
        <w:t xml:space="preserve"> </w:t>
      </w:r>
    </w:p>
    <w:p w14:paraId="39AD1B6F" w14:textId="746870E4" w:rsidR="009D4816" w:rsidRDefault="007B0B48" w:rsidP="00095FFD">
      <w:r>
        <w:t>Hence, the Commission extends the follow-up phase with a complementary recommendation allowing the Member State more time to solve the rule of law problems – or</w:t>
      </w:r>
      <w:r w:rsidR="00307B6C">
        <w:t>,</w:t>
      </w:r>
      <w:r>
        <w:t xml:space="preserve"> in other terms</w:t>
      </w:r>
      <w:r w:rsidR="00307B6C">
        <w:t>,</w:t>
      </w:r>
      <w:r>
        <w:t xml:space="preserve"> allowing itself more time to postpone the activation of Article 7 TEU. The Polish authorities have to solve the problem within a time-limit of two months. </w:t>
      </w:r>
      <w:r w:rsidR="009D4816">
        <w:t xml:space="preserve">The response to the complementary Rule of Law Recommendation is slightly more positive than the previous one. </w:t>
      </w:r>
      <w:r w:rsidR="003C7C69">
        <w:t>Indeed, t</w:t>
      </w:r>
      <w:r w:rsidR="009D4816">
        <w:t xml:space="preserve">he Polish authorities recognise the consolidation of a democratic rule of law in Poland, including stable grounds for the operation of the Constitutional </w:t>
      </w:r>
      <w:r w:rsidR="003C7C69">
        <w:t xml:space="preserve">Tribunal </w:t>
      </w:r>
      <w:r w:rsidR="009D4816">
        <w:t xml:space="preserve">to be </w:t>
      </w:r>
      <w:r w:rsidR="003C7C69">
        <w:t>its</w:t>
      </w:r>
      <w:r w:rsidR="009D4816">
        <w:t xml:space="preserve"> overriding goal.</w:t>
      </w:r>
      <w:r w:rsidR="003C7C69">
        <w:rPr>
          <w:rStyle w:val="Voetnootmarkering"/>
        </w:rPr>
        <w:footnoteReference w:id="86"/>
      </w:r>
      <w:r w:rsidR="003C7C69">
        <w:t xml:space="preserve"> </w:t>
      </w:r>
      <w:r w:rsidR="0050124E">
        <w:t>However, Poland does still not recognise that the dispute over the rules governing the functioning of the Constitutional Tribunal is a systemic threat to the rule of law.</w:t>
      </w:r>
    </w:p>
    <w:p w14:paraId="165D6F28" w14:textId="25F30168" w:rsidR="00095FFD" w:rsidRPr="00307B6C" w:rsidRDefault="009D4816" w:rsidP="00095FFD">
      <w:r>
        <w:lastRenderedPageBreak/>
        <w:t>R</w:t>
      </w:r>
      <w:r w:rsidR="007B0B48">
        <w:t>emarkably, the Commission re</w:t>
      </w:r>
      <w:r>
        <w:t xml:space="preserve">fers to the possibility to directly invoke Article 7 TEU </w:t>
      </w:r>
      <w:r>
        <w:rPr>
          <w:i/>
        </w:rPr>
        <w:t>“should a sudden deterioration in a Member State require a stronger action from the EU”</w:t>
      </w:r>
      <w:r>
        <w:t>.</w:t>
      </w:r>
      <w:r>
        <w:rPr>
          <w:rStyle w:val="Voetnootmarkering"/>
        </w:rPr>
        <w:footnoteReference w:id="87"/>
      </w:r>
      <w:r>
        <w:t xml:space="preserve"> Despite the Rule of Law Opinion, the first Rule of Law Recommendation, the two opinions of the Venice Commission and the judgments of the</w:t>
      </w:r>
      <w:r w:rsidR="0050124E">
        <w:t xml:space="preserve"> its own</w:t>
      </w:r>
      <w:r>
        <w:t xml:space="preserve"> Constitutional Tribunal, Poland has consistently followed the path </w:t>
      </w:r>
      <w:r w:rsidR="00240FB5">
        <w:t>of</w:t>
      </w:r>
      <w:r>
        <w:t xml:space="preserve"> disrespect </w:t>
      </w:r>
      <w:r w:rsidR="00240FB5">
        <w:t xml:space="preserve">for </w:t>
      </w:r>
      <w:r>
        <w:t xml:space="preserve">the rule of law. </w:t>
      </w:r>
      <w:r w:rsidR="0050124E">
        <w:t xml:space="preserve">The dispute in Poland between the judiciary and the legislature has been </w:t>
      </w:r>
      <w:r w:rsidR="00307B6C">
        <w:t>on</w:t>
      </w:r>
      <w:r w:rsidR="0050124E">
        <w:t xml:space="preserve">going for almost two years without dramatic improvements. </w:t>
      </w:r>
      <w:r w:rsidR="003C7C69">
        <w:t xml:space="preserve">The consistent refusal to publish judgments of the Constitutional Tribunal, the </w:t>
      </w:r>
      <w:r w:rsidR="00240FB5">
        <w:t>repeated</w:t>
      </w:r>
      <w:r w:rsidR="003C7C69">
        <w:t xml:space="preserve"> </w:t>
      </w:r>
      <w:r w:rsidR="00240FB5">
        <w:t>introduction</w:t>
      </w:r>
      <w:r w:rsidR="003C7C69">
        <w:t xml:space="preserve"> </w:t>
      </w:r>
      <w:r w:rsidR="00240FB5">
        <w:t xml:space="preserve">of new laws </w:t>
      </w:r>
      <w:r w:rsidR="003C7C69">
        <w:t>deteriorating the effective</w:t>
      </w:r>
      <w:r w:rsidR="00240FB5">
        <w:t xml:space="preserve"> functioning</w:t>
      </w:r>
      <w:r w:rsidR="003C7C69">
        <w:t xml:space="preserve"> of the Constitutional Tribunal</w:t>
      </w:r>
      <w:r w:rsidR="00240FB5">
        <w:t xml:space="preserve">, and the reaction of the Polish authorities on the </w:t>
      </w:r>
      <w:r w:rsidR="0050124E">
        <w:t xml:space="preserve">Commission’s </w:t>
      </w:r>
      <w:r w:rsidR="00240FB5">
        <w:t>opinion</w:t>
      </w:r>
      <w:r w:rsidR="0050124E">
        <w:t xml:space="preserve"> and recommendations and on the Venice Commission’s opinions d</w:t>
      </w:r>
      <w:r w:rsidR="00240FB5">
        <w:t>emonstrate</w:t>
      </w:r>
      <w:r w:rsidR="003C7C69">
        <w:t xml:space="preserve"> </w:t>
      </w:r>
      <w:r w:rsidR="0050124E">
        <w:t xml:space="preserve">as such </w:t>
      </w:r>
      <w:r w:rsidR="00240FB5">
        <w:t xml:space="preserve">a deterioration </w:t>
      </w:r>
      <w:r w:rsidR="0050124E">
        <w:t xml:space="preserve">regarding rule of law compliance </w:t>
      </w:r>
      <w:r w:rsidR="00240FB5">
        <w:t>in Poland</w:t>
      </w:r>
      <w:r w:rsidR="00307B6C">
        <w:t xml:space="preserve">. Hence, </w:t>
      </w:r>
      <w:r w:rsidR="00240FB5">
        <w:t>a stronger action from the EU</w:t>
      </w:r>
      <w:r w:rsidR="00307B6C">
        <w:t xml:space="preserve"> is required</w:t>
      </w:r>
      <w:r w:rsidR="00240FB5">
        <w:t xml:space="preserve">. </w:t>
      </w:r>
      <w:r w:rsidR="008C0195">
        <w:t>Furthermore, t</w:t>
      </w:r>
      <w:r w:rsidR="0050124E">
        <w:t xml:space="preserve">he threat to the rule of law has </w:t>
      </w:r>
      <w:r w:rsidR="008C0195">
        <w:t xml:space="preserve">developed not merely into a clear risk of a serious breach of the rule of law, but definitely into a serious and persistent breach. </w:t>
      </w:r>
      <w:r w:rsidR="0050124E">
        <w:t xml:space="preserve">Nevertheless, </w:t>
      </w:r>
      <w:r w:rsidR="0050124E" w:rsidRPr="00307B6C">
        <w:t>the Commission is not taking any specific actions whatsoever. This</w:t>
      </w:r>
      <w:r w:rsidR="008C0195" w:rsidRPr="00307B6C">
        <w:t>,</w:t>
      </w:r>
      <w:r w:rsidR="0050124E" w:rsidRPr="00307B6C">
        <w:t xml:space="preserve"> unfortunately</w:t>
      </w:r>
      <w:r w:rsidR="008C0195" w:rsidRPr="00307B6C">
        <w:t>,</w:t>
      </w:r>
      <w:r w:rsidR="0050124E" w:rsidRPr="00307B6C">
        <w:t xml:space="preserve"> manifests that the Rule of Law Framework does not provide the Commission, nor the EU, an effective mecha</w:t>
      </w:r>
      <w:r w:rsidR="008C0195" w:rsidRPr="00307B6C">
        <w:t xml:space="preserve">nism to enforce the rule of law, although it can be considered to be </w:t>
      </w:r>
      <w:r w:rsidR="008C0195" w:rsidRPr="00307B6C">
        <w:rPr>
          <w:i/>
          <w:iCs/>
        </w:rPr>
        <w:t>“a timid step in the right direction”</w:t>
      </w:r>
      <w:r w:rsidR="008C0195" w:rsidRPr="00307B6C">
        <w:t>.</w:t>
      </w:r>
      <w:r w:rsidR="008C0195" w:rsidRPr="00307B6C">
        <w:rPr>
          <w:rStyle w:val="Voetnootmarkering"/>
        </w:rPr>
        <w:footnoteReference w:id="88"/>
      </w:r>
      <w:r w:rsidR="008C0195" w:rsidRPr="00307B6C">
        <w:t>The creation of new legal instruments suggests the raise of awareness among the EU</w:t>
      </w:r>
      <w:r w:rsidR="000562E7" w:rsidRPr="00307B6C">
        <w:t xml:space="preserve"> </w:t>
      </w:r>
      <w:r w:rsidR="008C0195" w:rsidRPr="00307B6C">
        <w:t>institutions to acquire an effective enforcement mechanism of the rule of law. This is the first step towards the effective enforcement of the compliance with the rule of law by the Member States.</w:t>
      </w:r>
    </w:p>
    <w:p w14:paraId="5A1B05C1" w14:textId="099893DA" w:rsidR="009F31D1" w:rsidRPr="00175770" w:rsidRDefault="009F31D1" w:rsidP="00601458">
      <w:pPr>
        <w:pStyle w:val="Kop2"/>
      </w:pPr>
      <w:bookmarkStart w:id="16" w:name="_Toc354987654"/>
      <w:r w:rsidRPr="00175770">
        <w:t>The Council</w:t>
      </w:r>
      <w:r w:rsidR="008C3067" w:rsidRPr="00175770">
        <w:t>’</w:t>
      </w:r>
      <w:r w:rsidRPr="00175770">
        <w:t xml:space="preserve">s </w:t>
      </w:r>
      <w:r w:rsidR="00EC030B">
        <w:t xml:space="preserve">inaction as </w:t>
      </w:r>
      <w:r w:rsidRPr="00175770">
        <w:t>reaction</w:t>
      </w:r>
      <w:bookmarkEnd w:id="16"/>
    </w:p>
    <w:p w14:paraId="5D84947A" w14:textId="0F9FDFFF" w:rsidR="008C3067" w:rsidRPr="00D86D25" w:rsidRDefault="00D12191" w:rsidP="008C3067">
      <w:r>
        <w:rPr>
          <w:lang w:eastAsia="en-US"/>
        </w:rPr>
        <w:t>Apart from</w:t>
      </w:r>
      <w:r w:rsidR="00B3615A">
        <w:rPr>
          <w:lang w:eastAsia="en-US"/>
        </w:rPr>
        <w:t xml:space="preserve"> the ineffective working of the Rule of Law Framework, t</w:t>
      </w:r>
      <w:r w:rsidR="008C3067" w:rsidRPr="00722378">
        <w:rPr>
          <w:lang w:eastAsia="en-US"/>
        </w:rPr>
        <w:t>he Council of Ministers did not support the Commission’s initiative. Instead, it focused on questioning the Commission’s legal power to adopt a Rule of Law Framework.</w:t>
      </w:r>
      <w:r w:rsidR="00B3615A">
        <w:rPr>
          <w:lang w:eastAsia="en-US"/>
        </w:rPr>
        <w:t xml:space="preserve"> </w:t>
      </w:r>
      <w:r w:rsidR="007F5AD4">
        <w:rPr>
          <w:lang w:eastAsia="en-US"/>
        </w:rPr>
        <w:t>The Council</w:t>
      </w:r>
      <w:r w:rsidR="008C3067" w:rsidRPr="00722378">
        <w:t xml:space="preserve"> recognised that the EU has a key role in the development of a new mechanism by referring to </w:t>
      </w:r>
      <w:r w:rsidR="007F5AD4">
        <w:t>its</w:t>
      </w:r>
      <w:r w:rsidR="008C3067" w:rsidRPr="00722378">
        <w:t xml:space="preserve"> role as </w:t>
      </w:r>
      <w:r w:rsidR="007F5AD4">
        <w:t xml:space="preserve">an </w:t>
      </w:r>
      <w:r w:rsidR="006110AB" w:rsidRPr="00722378">
        <w:rPr>
          <w:i/>
        </w:rPr>
        <w:t>“</w:t>
      </w:r>
      <w:r w:rsidR="008C3067" w:rsidRPr="00722378">
        <w:rPr>
          <w:i/>
        </w:rPr>
        <w:t>anchor for reforms in the areas of the rule of law and fundamental rights for several third countries</w:t>
      </w:r>
      <w:r w:rsidR="006110AB" w:rsidRPr="00722378">
        <w:rPr>
          <w:i/>
          <w:lang w:val="en-US"/>
        </w:rPr>
        <w:t>”</w:t>
      </w:r>
      <w:r w:rsidR="008C3067" w:rsidRPr="00722378">
        <w:t>.</w:t>
      </w:r>
      <w:r w:rsidR="007F5AD4">
        <w:rPr>
          <w:rStyle w:val="Voetnootmarkering"/>
        </w:rPr>
        <w:footnoteReference w:id="89"/>
      </w:r>
      <w:r w:rsidR="008C3067" w:rsidRPr="00722378">
        <w:t xml:space="preserve"> </w:t>
      </w:r>
      <w:r>
        <w:t>T</w:t>
      </w:r>
      <w:r w:rsidR="00D86D25">
        <w:t xml:space="preserve">he Council </w:t>
      </w:r>
      <w:r>
        <w:t xml:space="preserve">considers </w:t>
      </w:r>
      <w:r w:rsidR="00D86D25">
        <w:t xml:space="preserve">itself </w:t>
      </w:r>
      <w:r>
        <w:t xml:space="preserve">as </w:t>
      </w:r>
      <w:r w:rsidR="00307B6C">
        <w:t xml:space="preserve">the </w:t>
      </w:r>
      <w:r>
        <w:lastRenderedPageBreak/>
        <w:t>pivotal figure to</w:t>
      </w:r>
      <w:r w:rsidR="00D86D25">
        <w:t xml:space="preserve"> accompany future developments of a new EU Framework to strengthen the rule of law, taking its ‘responsibilities’</w:t>
      </w:r>
      <w:r>
        <w:t>,</w:t>
      </w:r>
      <w:r w:rsidRPr="00D12191">
        <w:t xml:space="preserve"> </w:t>
      </w:r>
      <w:r>
        <w:t xml:space="preserve">instead </w:t>
      </w:r>
      <w:r w:rsidRPr="00722378">
        <w:t>of the Commission</w:t>
      </w:r>
      <w:r>
        <w:t xml:space="preserve"> as the guardian of the Treaties</w:t>
      </w:r>
      <w:r w:rsidR="00D86D25">
        <w:t>.</w:t>
      </w:r>
      <w:r w:rsidR="008C3067" w:rsidRPr="00722378">
        <w:rPr>
          <w:rStyle w:val="Voetnootmarkering"/>
          <w:i/>
        </w:rPr>
        <w:footnoteReference w:id="90"/>
      </w:r>
      <w:r w:rsidR="008C3067" w:rsidRPr="00722378">
        <w:rPr>
          <w:i/>
        </w:rPr>
        <w:t xml:space="preserve"> </w:t>
      </w:r>
    </w:p>
    <w:p w14:paraId="03E323E1" w14:textId="018E4A9A" w:rsidR="00D12191" w:rsidRDefault="00547E5C" w:rsidP="008C3067">
      <w:pPr>
        <w:rPr>
          <w:i/>
          <w:lang w:val="en-US"/>
        </w:rPr>
      </w:pPr>
      <w:r w:rsidRPr="00722378">
        <w:t xml:space="preserve">Hence, the Council established a constructive dialogue </w:t>
      </w:r>
      <w:r w:rsidR="006534CA">
        <w:t>between</w:t>
      </w:r>
      <w:r w:rsidRPr="00722378">
        <w:t xml:space="preserve"> the Member States based on a </w:t>
      </w:r>
      <w:r w:rsidR="001040E3" w:rsidRPr="00722378">
        <w:t>non-partisan</w:t>
      </w:r>
      <w:r w:rsidRPr="00722378">
        <w:t xml:space="preserve"> and evidence-based approach, </w:t>
      </w:r>
      <w:r w:rsidR="00643D39">
        <w:t>considering</w:t>
      </w:r>
      <w:r w:rsidRPr="00722378">
        <w:t xml:space="preserve"> the principles of objectivity, non-discrimination and equal treatment of all Member States.</w:t>
      </w:r>
      <w:r w:rsidRPr="00722378">
        <w:rPr>
          <w:rStyle w:val="Voetnootmarkering"/>
        </w:rPr>
        <w:footnoteReference w:id="91"/>
      </w:r>
      <w:r w:rsidR="00575F4D" w:rsidRPr="00722378">
        <w:t xml:space="preserve"> </w:t>
      </w:r>
      <w:r w:rsidR="00EC030B">
        <w:t>Despite the statement of the Council</w:t>
      </w:r>
      <w:r w:rsidR="00643D39" w:rsidRPr="00722378">
        <w:t xml:space="preserve"> that the dialogue will be conducted on the basis of an ‘inclusive approach’</w:t>
      </w:r>
      <w:r w:rsidR="00307B6C">
        <w:t xml:space="preserve"> – whatever that means</w:t>
      </w:r>
      <w:r w:rsidR="00575F4D" w:rsidRPr="00722378">
        <w:t xml:space="preserve">, dialogue will be </w:t>
      </w:r>
      <w:r w:rsidR="00EC030B">
        <w:t xml:space="preserve">limited to </w:t>
      </w:r>
      <w:r w:rsidR="00575F4D" w:rsidRPr="00722378">
        <w:t xml:space="preserve">thematic </w:t>
      </w:r>
      <w:r w:rsidR="00D12191">
        <w:t>debates confined to one specific topic each year</w:t>
      </w:r>
      <w:r w:rsidR="00575F4D" w:rsidRPr="00722378">
        <w:t>.</w:t>
      </w:r>
      <w:r w:rsidR="00FB1908" w:rsidRPr="00722378">
        <w:rPr>
          <w:rStyle w:val="Voetnootmarkering"/>
        </w:rPr>
        <w:footnoteReference w:id="92"/>
      </w:r>
      <w:r w:rsidR="00575F4D" w:rsidRPr="00722378">
        <w:t xml:space="preserve"> </w:t>
      </w:r>
      <w:r w:rsidR="006C4E52" w:rsidRPr="00722378">
        <w:t xml:space="preserve">The first annual </w:t>
      </w:r>
      <w:r w:rsidR="00575F4D" w:rsidRPr="00722378">
        <w:t xml:space="preserve">Rule of Law Dialogue at the end of 2015, for instance, related on the one hand to </w:t>
      </w:r>
      <w:r w:rsidR="003F55FC">
        <w:t>“</w:t>
      </w:r>
      <w:r w:rsidR="00575F4D" w:rsidRPr="00722378">
        <w:t>tolerance and respect: preventing and combating anti-Semitic and anti-Muslim hatred in Europe</w:t>
      </w:r>
      <w:r w:rsidR="003F55FC">
        <w:t>”</w:t>
      </w:r>
      <w:r w:rsidR="00EC030B">
        <w:t xml:space="preserve">, and on the other hand </w:t>
      </w:r>
      <w:r w:rsidR="003F55FC">
        <w:t>“</w:t>
      </w:r>
      <w:r w:rsidR="00575F4D" w:rsidRPr="00722378">
        <w:t>the rule of law in the age of digitalisation</w:t>
      </w:r>
      <w:r w:rsidR="003F55FC">
        <w:t>”</w:t>
      </w:r>
      <w:r w:rsidR="00EC030B">
        <w:t>. D</w:t>
      </w:r>
      <w:r w:rsidR="00EC030B" w:rsidRPr="00722378">
        <w:t>uring the Rule of Law Dialogue</w:t>
      </w:r>
      <w:r w:rsidR="00EC030B">
        <w:t>,</w:t>
      </w:r>
      <w:r w:rsidR="00EC030B" w:rsidRPr="00722378">
        <w:t xml:space="preserve"> </w:t>
      </w:r>
      <w:r w:rsidR="00D12191">
        <w:t>t</w:t>
      </w:r>
      <w:r w:rsidR="00EC030B">
        <w:t>he Council</w:t>
      </w:r>
      <w:r w:rsidR="00575F4D" w:rsidRPr="00722378">
        <w:t xml:space="preserve"> </w:t>
      </w:r>
      <w:r w:rsidR="00B23DEA">
        <w:t xml:space="preserve">has particularly </w:t>
      </w:r>
      <w:r w:rsidR="00575F4D" w:rsidRPr="00722378">
        <w:t xml:space="preserve">discussed the areas in which the Member States see a need for EU action to further strengthen the rule of law. </w:t>
      </w:r>
      <w:r w:rsidR="00B23DEA">
        <w:t>Further</w:t>
      </w:r>
      <w:r w:rsidR="00575F4D" w:rsidRPr="00722378">
        <w:t xml:space="preserve">, </w:t>
      </w:r>
      <w:r w:rsidR="00575F4D" w:rsidRPr="00722378">
        <w:rPr>
          <w:i/>
        </w:rPr>
        <w:t>“Member States were invited to share one example of a best practise and one example of a challenge encountered at national level in relation to the respect for the rule of law, as well as the approach to respond to that challenge</w:t>
      </w:r>
      <w:r w:rsidR="00575F4D" w:rsidRPr="00722378">
        <w:t>.</w:t>
      </w:r>
      <w:r w:rsidR="00575F4D" w:rsidRPr="00722378">
        <w:rPr>
          <w:i/>
          <w:lang w:val="en-US"/>
        </w:rPr>
        <w:t>”</w:t>
      </w:r>
      <w:r w:rsidR="00575F4D" w:rsidRPr="00722378">
        <w:rPr>
          <w:rStyle w:val="Voetnootmarkering"/>
          <w:i/>
          <w:lang w:val="en-US"/>
        </w:rPr>
        <w:footnoteReference w:id="93"/>
      </w:r>
      <w:r w:rsidR="00FB1908" w:rsidRPr="00722378">
        <w:rPr>
          <w:i/>
          <w:lang w:val="en-US"/>
        </w:rPr>
        <w:t xml:space="preserve"> </w:t>
      </w:r>
    </w:p>
    <w:p w14:paraId="6FE21EDB" w14:textId="77777777" w:rsidR="00D12191" w:rsidRPr="00722378" w:rsidRDefault="006C4E52" w:rsidP="00D12191">
      <w:pPr>
        <w:rPr>
          <w:lang w:val="en-US"/>
        </w:rPr>
      </w:pPr>
      <w:r w:rsidRPr="00722378">
        <w:rPr>
          <w:lang w:val="en-US"/>
        </w:rPr>
        <w:t xml:space="preserve">Hence, the </w:t>
      </w:r>
      <w:r w:rsidR="00FA09AE">
        <w:rPr>
          <w:lang w:val="en-US"/>
        </w:rPr>
        <w:t xml:space="preserve">Council’s </w:t>
      </w:r>
      <w:r w:rsidRPr="00722378">
        <w:rPr>
          <w:lang w:val="en-US"/>
        </w:rPr>
        <w:t xml:space="preserve">Rule of Law Dialogue seems to </w:t>
      </w:r>
      <w:r w:rsidR="00643D39">
        <w:rPr>
          <w:lang w:val="en-US"/>
        </w:rPr>
        <w:t xml:space="preserve">have </w:t>
      </w:r>
      <w:r w:rsidR="00FA09AE">
        <w:rPr>
          <w:lang w:val="en-US"/>
        </w:rPr>
        <w:t>any</w:t>
      </w:r>
      <w:r w:rsidR="00643D39">
        <w:rPr>
          <w:lang w:val="en-US"/>
        </w:rPr>
        <w:t xml:space="preserve"> intention</w:t>
      </w:r>
      <w:r w:rsidRPr="00722378">
        <w:rPr>
          <w:lang w:val="en-US"/>
        </w:rPr>
        <w:t xml:space="preserve"> to confront Member States with rule of law concerns that appear </w:t>
      </w:r>
      <w:r w:rsidR="00FA09AE">
        <w:rPr>
          <w:lang w:val="en-US"/>
        </w:rPr>
        <w:t>at the</w:t>
      </w:r>
      <w:r w:rsidRPr="00722378">
        <w:rPr>
          <w:lang w:val="en-US"/>
        </w:rPr>
        <w:t xml:space="preserve"> national level.</w:t>
      </w:r>
      <w:r w:rsidRPr="00722378">
        <w:rPr>
          <w:rStyle w:val="Voetnootmarkering"/>
          <w:lang w:val="en-US"/>
        </w:rPr>
        <w:footnoteReference w:id="94"/>
      </w:r>
      <w:r w:rsidRPr="00722378">
        <w:rPr>
          <w:lang w:val="en-US"/>
        </w:rPr>
        <w:t xml:space="preserve"> </w:t>
      </w:r>
      <w:r w:rsidR="00D12191">
        <w:rPr>
          <w:lang w:val="en-US"/>
        </w:rPr>
        <w:t>Sadly</w:t>
      </w:r>
      <w:r w:rsidR="00D12191" w:rsidRPr="00722378">
        <w:rPr>
          <w:lang w:val="en-US"/>
        </w:rPr>
        <w:t xml:space="preserve">, </w:t>
      </w:r>
      <w:r w:rsidR="00D12191">
        <w:rPr>
          <w:lang w:val="en-US"/>
        </w:rPr>
        <w:t>in response</w:t>
      </w:r>
      <w:r w:rsidR="00D12191" w:rsidRPr="00722378">
        <w:rPr>
          <w:lang w:val="en-US"/>
        </w:rPr>
        <w:t xml:space="preserve"> to a fear that has been expressed, the </w:t>
      </w:r>
      <w:r w:rsidR="00D12191">
        <w:rPr>
          <w:lang w:val="en-US"/>
        </w:rPr>
        <w:t xml:space="preserve">dialogue was demarcated within the very specific limits of the </w:t>
      </w:r>
      <w:r w:rsidR="00D12191" w:rsidRPr="00722378">
        <w:rPr>
          <w:lang w:val="en-US"/>
        </w:rPr>
        <w:t>thematic debates</w:t>
      </w:r>
      <w:r w:rsidR="00D12191">
        <w:rPr>
          <w:lang w:val="en-US"/>
        </w:rPr>
        <w:t xml:space="preserve"> that have been decided on in advance</w:t>
      </w:r>
      <w:r w:rsidR="00D12191" w:rsidRPr="00722378">
        <w:rPr>
          <w:lang w:val="en-US"/>
        </w:rPr>
        <w:t>.</w:t>
      </w:r>
      <w:r w:rsidR="00D12191" w:rsidRPr="00722378">
        <w:rPr>
          <w:rStyle w:val="Voetnootmarkering"/>
          <w:lang w:val="en-US"/>
        </w:rPr>
        <w:footnoteReference w:id="95"/>
      </w:r>
      <w:r w:rsidR="00D12191" w:rsidRPr="00722378">
        <w:rPr>
          <w:lang w:val="en-US"/>
        </w:rPr>
        <w:t xml:space="preserve"> </w:t>
      </w:r>
    </w:p>
    <w:p w14:paraId="44C6D5A7" w14:textId="2E2D51EC" w:rsidR="006C4E52" w:rsidRDefault="00FA09AE" w:rsidP="008C3067">
      <w:pPr>
        <w:rPr>
          <w:lang w:val="en-US"/>
        </w:rPr>
      </w:pPr>
      <w:r>
        <w:rPr>
          <w:lang w:val="en-US"/>
        </w:rPr>
        <w:t>The proposal</w:t>
      </w:r>
      <w:r w:rsidR="00653B3D" w:rsidRPr="00722378">
        <w:rPr>
          <w:lang w:val="en-US"/>
        </w:rPr>
        <w:t xml:space="preserve"> of the Council</w:t>
      </w:r>
      <w:r w:rsidR="00643D39">
        <w:rPr>
          <w:lang w:val="en-US"/>
        </w:rPr>
        <w:t>’s</w:t>
      </w:r>
      <w:r w:rsidR="00653B3D" w:rsidRPr="00722378">
        <w:rPr>
          <w:lang w:val="en-US"/>
        </w:rPr>
        <w:t xml:space="preserve"> Legal Service </w:t>
      </w:r>
      <w:r>
        <w:rPr>
          <w:lang w:val="en-US"/>
        </w:rPr>
        <w:t>to establish</w:t>
      </w:r>
      <w:r w:rsidR="00653B3D" w:rsidRPr="00722378">
        <w:rPr>
          <w:lang w:val="en-US"/>
        </w:rPr>
        <w:t xml:space="preserve"> a peer review system </w:t>
      </w:r>
      <w:r w:rsidRPr="00722378">
        <w:rPr>
          <w:lang w:val="en-US"/>
        </w:rPr>
        <w:t xml:space="preserve">on the basis of an intergovernmental agreement </w:t>
      </w:r>
      <w:r>
        <w:rPr>
          <w:lang w:val="en-US"/>
        </w:rPr>
        <w:t xml:space="preserve">between all the Member States </w:t>
      </w:r>
      <w:r w:rsidR="00653B3D" w:rsidRPr="00722378">
        <w:rPr>
          <w:lang w:val="en-US"/>
        </w:rPr>
        <w:t xml:space="preserve">has been completely </w:t>
      </w:r>
      <w:r>
        <w:rPr>
          <w:lang w:val="en-US"/>
        </w:rPr>
        <w:t>ignored</w:t>
      </w:r>
      <w:r w:rsidR="00653B3D" w:rsidRPr="00722378">
        <w:rPr>
          <w:lang w:val="en-US"/>
        </w:rPr>
        <w:t>.</w:t>
      </w:r>
      <w:r w:rsidR="00F469AD" w:rsidRPr="00722378">
        <w:rPr>
          <w:rStyle w:val="Voetnootmarkering"/>
          <w:lang w:val="en-US"/>
        </w:rPr>
        <w:footnoteReference w:id="96"/>
      </w:r>
      <w:r w:rsidR="00653B3D" w:rsidRPr="00722378">
        <w:rPr>
          <w:lang w:val="en-US"/>
        </w:rPr>
        <w:t xml:space="preserve"> Moreover, t</w:t>
      </w:r>
      <w:r w:rsidR="006C4E52" w:rsidRPr="00722378">
        <w:rPr>
          <w:lang w:val="en-US"/>
        </w:rPr>
        <w:t xml:space="preserve">his mechanism is in no sense comparable to the Rule of </w:t>
      </w:r>
      <w:r>
        <w:rPr>
          <w:lang w:val="en-US"/>
        </w:rPr>
        <w:t>Law Framework of the Commission,</w:t>
      </w:r>
      <w:r w:rsidR="006C4E52" w:rsidRPr="00722378">
        <w:rPr>
          <w:lang w:val="en-US"/>
        </w:rPr>
        <w:t xml:space="preserve"> </w:t>
      </w:r>
      <w:r>
        <w:rPr>
          <w:lang w:val="en-US"/>
        </w:rPr>
        <w:t>n</w:t>
      </w:r>
      <w:r w:rsidR="006C4E52" w:rsidRPr="00722378">
        <w:rPr>
          <w:lang w:val="en-US"/>
        </w:rPr>
        <w:t>either can it be considered an added value to the original</w:t>
      </w:r>
      <w:r w:rsidR="00F46766" w:rsidRPr="00722378">
        <w:rPr>
          <w:lang w:val="en-US"/>
        </w:rPr>
        <w:t xml:space="preserve"> enforcement framew</w:t>
      </w:r>
      <w:r w:rsidR="00111E89" w:rsidRPr="00722378">
        <w:rPr>
          <w:lang w:val="en-US"/>
        </w:rPr>
        <w:t xml:space="preserve">ork the EU has at its disposal to govern rule of law compliance. </w:t>
      </w:r>
    </w:p>
    <w:p w14:paraId="44D43F21" w14:textId="54CAA372" w:rsidR="00D603A7" w:rsidRPr="00722378" w:rsidRDefault="006110AB" w:rsidP="00601458">
      <w:pPr>
        <w:pStyle w:val="Kop2"/>
      </w:pPr>
      <w:bookmarkStart w:id="17" w:name="_Toc354987655"/>
      <w:r w:rsidRPr="00722378">
        <w:lastRenderedPageBreak/>
        <w:t xml:space="preserve">Cooperation instead of opposition: the </w:t>
      </w:r>
      <w:r w:rsidR="0003669D" w:rsidRPr="00722378">
        <w:t>Parliament</w:t>
      </w:r>
      <w:r w:rsidRPr="00722378">
        <w:rPr>
          <w:lang w:eastAsia="en-US"/>
        </w:rPr>
        <w:t>’s Inter-Institutional Pact</w:t>
      </w:r>
      <w:bookmarkEnd w:id="17"/>
    </w:p>
    <w:p w14:paraId="54E4D60E" w14:textId="39492C73" w:rsidR="00D603A7" w:rsidRPr="00722378" w:rsidRDefault="00D12191" w:rsidP="00CD2E4D">
      <w:r>
        <w:t>In turn, the Parliament believes that</w:t>
      </w:r>
      <w:r w:rsidR="00F469AD" w:rsidRPr="00722378">
        <w:t xml:space="preserve"> too many mechanisms and processes exist at EU level to promote, protect and safeguard the values of Article 2 TEU.</w:t>
      </w:r>
      <w:r w:rsidR="00F469AD" w:rsidRPr="00722378">
        <w:rPr>
          <w:rStyle w:val="Voetnootmarkering"/>
        </w:rPr>
        <w:footnoteReference w:id="97"/>
      </w:r>
      <w:r w:rsidR="00F469AD" w:rsidRPr="00722378">
        <w:t xml:space="preserve"> </w:t>
      </w:r>
      <w:r w:rsidR="003B6731" w:rsidRPr="00722378">
        <w:t xml:space="preserve">The various mechanisms </w:t>
      </w:r>
      <w:r>
        <w:t>contrasting</w:t>
      </w:r>
      <w:r w:rsidR="004E4B14" w:rsidRPr="00722378">
        <w:t xml:space="preserve"> rules </w:t>
      </w:r>
      <w:r w:rsidR="009C366E">
        <w:t>and</w:t>
      </w:r>
      <w:r w:rsidR="004E4B14" w:rsidRPr="00722378">
        <w:t xml:space="preserve"> </w:t>
      </w:r>
      <w:r w:rsidR="003B6731" w:rsidRPr="00722378">
        <w:t>procedures</w:t>
      </w:r>
      <w:r w:rsidR="004E4B14" w:rsidRPr="00722378">
        <w:t xml:space="preserve">, </w:t>
      </w:r>
      <w:r w:rsidR="009C366E">
        <w:t>empowering</w:t>
      </w:r>
      <w:r w:rsidR="004E4B14" w:rsidRPr="00722378">
        <w:t xml:space="preserve"> </w:t>
      </w:r>
      <w:r w:rsidR="003B6731" w:rsidRPr="00722378">
        <w:t xml:space="preserve">different </w:t>
      </w:r>
      <w:r w:rsidR="004E4B14" w:rsidRPr="00722378">
        <w:t>institutions</w:t>
      </w:r>
      <w:r w:rsidR="009C366E">
        <w:t xml:space="preserve"> to act</w:t>
      </w:r>
      <w:r w:rsidR="003B6731" w:rsidRPr="00722378">
        <w:t xml:space="preserve">. </w:t>
      </w:r>
      <w:r w:rsidR="009C366E">
        <w:t xml:space="preserve">As a consequence, cooperation between the various institutions </w:t>
      </w:r>
      <w:r>
        <w:t>is non-existent</w:t>
      </w:r>
      <w:r w:rsidR="009C366E">
        <w:t xml:space="preserve"> and </w:t>
      </w:r>
      <w:r w:rsidR="003B6731" w:rsidRPr="00722378">
        <w:t xml:space="preserve">inter-institutional </w:t>
      </w:r>
      <w:r>
        <w:t>rivalry</w:t>
      </w:r>
      <w:r w:rsidR="009C366E">
        <w:t xml:space="preserve"> emerges</w:t>
      </w:r>
      <w:r w:rsidR="009E15D6" w:rsidRPr="00722378">
        <w:t xml:space="preserve">, </w:t>
      </w:r>
      <w:r w:rsidR="004E4B14" w:rsidRPr="00722378">
        <w:t xml:space="preserve">as the Council's reaction on the Commission's establishment of the Rule of Law Framework </w:t>
      </w:r>
      <w:r w:rsidR="009C366E">
        <w:t>demonstrate</w:t>
      </w:r>
      <w:r w:rsidR="003B6731" w:rsidRPr="00722378">
        <w:t>.</w:t>
      </w:r>
      <w:r w:rsidR="003B6731" w:rsidRPr="00722378">
        <w:rPr>
          <w:rStyle w:val="Voetnootmarkering"/>
        </w:rPr>
        <w:footnoteReference w:id="98"/>
      </w:r>
      <w:r w:rsidR="003B6731" w:rsidRPr="00722378">
        <w:t xml:space="preserve"> </w:t>
      </w:r>
      <w:r>
        <w:t>Therefore</w:t>
      </w:r>
      <w:r w:rsidR="00F469AD" w:rsidRPr="00722378">
        <w:t xml:space="preserve">, the </w:t>
      </w:r>
      <w:r w:rsidR="0003669D" w:rsidRPr="00722378">
        <w:t>Parliament</w:t>
      </w:r>
      <w:r w:rsidR="00F469AD" w:rsidRPr="00722378">
        <w:t xml:space="preserve"> proposed an inter-institutional pact</w:t>
      </w:r>
      <w:r w:rsidR="009C366E">
        <w:t xml:space="preserve"> – </w:t>
      </w:r>
      <w:r w:rsidR="009C366E" w:rsidRPr="00722378">
        <w:t>‘European Union Pact on Democracy, the Rule of Law and Fundamental rights’</w:t>
      </w:r>
      <w:r w:rsidR="009C366E">
        <w:t xml:space="preserve"> </w:t>
      </w:r>
      <w:r w:rsidR="009C366E" w:rsidRPr="00722378">
        <w:t>(hereinafter ‘DRF</w:t>
      </w:r>
      <w:r w:rsidR="00561AA2">
        <w:t>-</w:t>
      </w:r>
      <w:r w:rsidR="009C366E" w:rsidRPr="00722378">
        <w:t>Pact’)</w:t>
      </w:r>
      <w:r w:rsidR="009C366E">
        <w:t xml:space="preserve"> – in order</w:t>
      </w:r>
      <w:r w:rsidR="00F469AD" w:rsidRPr="00722378">
        <w:t xml:space="preserve"> </w:t>
      </w:r>
      <w:r w:rsidR="009C366E">
        <w:t xml:space="preserve">to </w:t>
      </w:r>
      <w:r w:rsidR="00F469AD" w:rsidRPr="00722378">
        <w:t>clarify the scope of EU</w:t>
      </w:r>
      <w:r w:rsidR="000562E7">
        <w:t xml:space="preserve"> </w:t>
      </w:r>
      <w:r w:rsidR="00F469AD" w:rsidRPr="00722378">
        <w:t>action as well as the division of competences between the EU</w:t>
      </w:r>
      <w:r w:rsidR="000562E7">
        <w:t xml:space="preserve"> </w:t>
      </w:r>
      <w:r w:rsidR="00F469AD" w:rsidRPr="00722378">
        <w:t xml:space="preserve">institutions and the Member States. </w:t>
      </w:r>
      <w:r w:rsidR="009C366E">
        <w:t>I</w:t>
      </w:r>
      <w:r w:rsidR="00307B6C">
        <w:t>t</w:t>
      </w:r>
      <w:r w:rsidR="009C366E">
        <w:t xml:space="preserve"> tries to</w:t>
      </w:r>
      <w:r w:rsidR="00F469AD" w:rsidRPr="00722378">
        <w:t xml:space="preserve"> overcome </w:t>
      </w:r>
      <w:r w:rsidR="006110AB" w:rsidRPr="00722378">
        <w:t>the</w:t>
      </w:r>
      <w:r w:rsidR="00D603A7" w:rsidRPr="00722378">
        <w:t xml:space="preserve"> gap between the proclamation of the values and the compliance by the Member States and the institutions </w:t>
      </w:r>
      <w:r w:rsidR="00307B6C">
        <w:t>with</w:t>
      </w:r>
      <w:r w:rsidR="00D603A7" w:rsidRPr="00722378">
        <w:t xml:space="preserve"> the</w:t>
      </w:r>
      <w:r w:rsidR="00307B6C">
        <w:t>se</w:t>
      </w:r>
      <w:r w:rsidR="00D603A7" w:rsidRPr="00722378">
        <w:t xml:space="preserve"> principles.</w:t>
      </w:r>
      <w:r w:rsidR="00D603A7" w:rsidRPr="00722378">
        <w:rPr>
          <w:rStyle w:val="Voetnootmarkering"/>
        </w:rPr>
        <w:footnoteReference w:id="99"/>
      </w:r>
      <w:r w:rsidR="00D603A7" w:rsidRPr="00722378">
        <w:t xml:space="preserve"> </w:t>
      </w:r>
    </w:p>
    <w:p w14:paraId="4BB405D9" w14:textId="4C818FDF" w:rsidR="00E1261F" w:rsidRDefault="009E15D6" w:rsidP="00CD2E4D">
      <w:r w:rsidRPr="00722378">
        <w:t xml:space="preserve">This </w:t>
      </w:r>
      <w:r w:rsidR="004E4B14" w:rsidRPr="00722378">
        <w:t>DRF</w:t>
      </w:r>
      <w:r w:rsidR="00561AA2">
        <w:t>-</w:t>
      </w:r>
      <w:r w:rsidRPr="00722378">
        <w:t>Pact</w:t>
      </w:r>
      <w:r w:rsidR="00561AA2">
        <w:t>, however,</w:t>
      </w:r>
      <w:r w:rsidRPr="00722378">
        <w:t xml:space="preserve"> does not have the aim to create a new mechanism </w:t>
      </w:r>
      <w:r w:rsidR="00561AA2">
        <w:t>as</w:t>
      </w:r>
      <w:r w:rsidR="00D12191">
        <w:t xml:space="preserve"> this</w:t>
      </w:r>
      <w:r w:rsidR="00561AA2">
        <w:t xml:space="preserve"> was the case with </w:t>
      </w:r>
      <w:r w:rsidRPr="00722378">
        <w:t xml:space="preserve">the proposals of the Commission and the Council. </w:t>
      </w:r>
      <w:r w:rsidR="00FD094F" w:rsidRPr="00722378">
        <w:t>There is</w:t>
      </w:r>
      <w:r w:rsidR="00275109" w:rsidRPr="00722378">
        <w:t xml:space="preserve"> after all</w:t>
      </w:r>
      <w:r w:rsidR="00FD094F" w:rsidRPr="00722378">
        <w:t xml:space="preserve"> no need to reinvent the wheels.</w:t>
      </w:r>
      <w:r w:rsidRPr="00722378">
        <w:t xml:space="preserve"> </w:t>
      </w:r>
      <w:r w:rsidR="00B90CB6">
        <w:t>I</w:t>
      </w:r>
      <w:r w:rsidRPr="00722378">
        <w:t xml:space="preserve">t builds upon </w:t>
      </w:r>
      <w:r w:rsidR="009C366E" w:rsidRPr="00722378">
        <w:t xml:space="preserve">the existing mechanisms </w:t>
      </w:r>
      <w:r w:rsidRPr="00722378">
        <w:t xml:space="preserve">and integrates </w:t>
      </w:r>
      <w:r w:rsidR="009C366E">
        <w:t xml:space="preserve">them </w:t>
      </w:r>
      <w:r w:rsidRPr="00722378">
        <w:t>into one single framework to govern not only the rule of law, but also democracy and human rights.</w:t>
      </w:r>
      <w:r w:rsidRPr="00722378">
        <w:rPr>
          <w:rStyle w:val="Voetnootmarkering"/>
        </w:rPr>
        <w:footnoteReference w:id="100"/>
      </w:r>
      <w:r w:rsidR="00783B86" w:rsidRPr="00722378">
        <w:t xml:space="preserve"> </w:t>
      </w:r>
      <w:r w:rsidR="00FD094F" w:rsidRPr="00722378">
        <w:t>The</w:t>
      </w:r>
      <w:r w:rsidR="00275109" w:rsidRPr="00722378">
        <w:t xml:space="preserve"> </w:t>
      </w:r>
      <w:r w:rsidR="00B90CB6">
        <w:t>DRF Pact</w:t>
      </w:r>
      <w:r w:rsidR="00275109" w:rsidRPr="00722378">
        <w:t xml:space="preserve"> consists of three separate, however intertwined phases, namely the DRF Scoreboard, the DRF Semester and the DRF Policy</w:t>
      </w:r>
      <w:r w:rsidR="00E1261F" w:rsidRPr="00722378">
        <w:t xml:space="preserve"> Cycle in the institutions. </w:t>
      </w:r>
    </w:p>
    <w:p w14:paraId="7FDE12CC" w14:textId="7C434AF7" w:rsidR="00561AA2" w:rsidRDefault="00561AA2" w:rsidP="00CD2E4D">
      <w:r>
        <w:t>Contrary to the crisis-driven approach of Article 7 TEU and the Rule of Law Framework, the DRF-Pact will be based on a permanent and periodic monitoring of the Member States. Namely, the first cycle of the DRP-Pact is</w:t>
      </w:r>
      <w:r w:rsidR="0016016D" w:rsidRPr="00722378">
        <w:t xml:space="preserve"> </w:t>
      </w:r>
      <w:r w:rsidR="00E1261F" w:rsidRPr="00722378">
        <w:t>a DRF</w:t>
      </w:r>
      <w:r>
        <w:t>-Scoreboard upon which DRF-</w:t>
      </w:r>
      <w:r w:rsidR="0016016D" w:rsidRPr="00722378">
        <w:t>Report</w:t>
      </w:r>
      <w:r>
        <w:t>s</w:t>
      </w:r>
      <w:r w:rsidR="0016016D" w:rsidRPr="00722378">
        <w:t xml:space="preserve"> with country-specific recommendations</w:t>
      </w:r>
      <w:r w:rsidR="00E1261F" w:rsidRPr="00722378">
        <w:t xml:space="preserve"> </w:t>
      </w:r>
      <w:r>
        <w:t>will be built</w:t>
      </w:r>
      <w:r w:rsidR="0016016D" w:rsidRPr="00722378">
        <w:t>.</w:t>
      </w:r>
      <w:r w:rsidR="001D7144" w:rsidRPr="00722378">
        <w:rPr>
          <w:rStyle w:val="Voetnootmarkering"/>
        </w:rPr>
        <w:footnoteReference w:id="101"/>
      </w:r>
      <w:r w:rsidR="0016016D" w:rsidRPr="00722378">
        <w:t xml:space="preserve"> </w:t>
      </w:r>
      <w:r w:rsidR="00364BFA">
        <w:t xml:space="preserve">It, therefore, </w:t>
      </w:r>
      <w:r w:rsidR="00364BFA" w:rsidRPr="00722378">
        <w:t>resembles the C</w:t>
      </w:r>
      <w:r w:rsidR="00364BFA">
        <w:t xml:space="preserve">ooperation and </w:t>
      </w:r>
      <w:r w:rsidR="00364BFA" w:rsidRPr="00722378">
        <w:t>V</w:t>
      </w:r>
      <w:r w:rsidR="00364BFA">
        <w:t xml:space="preserve">erification Mechanism (hereinafter ‘CVM’) that was established by the Commission for Bulgaria and Romania, as both Member States had to improve the compliance with the rule of law after their accession. </w:t>
      </w:r>
      <w:r w:rsidR="00AB07B7">
        <w:t xml:space="preserve">The CVM can be criticised as it creates differentiation among the various Member States and lacks of sanctioning power for the </w:t>
      </w:r>
      <w:r w:rsidR="00AB07B7">
        <w:lastRenderedPageBreak/>
        <w:t>Commission in case of non</w:t>
      </w:r>
      <w:r w:rsidR="00307B6C">
        <w:t>-</w:t>
      </w:r>
      <w:r w:rsidR="00AB07B7">
        <w:t xml:space="preserve">compliance. However, it </w:t>
      </w:r>
      <w:r w:rsidR="00AB07B7" w:rsidRPr="00722378">
        <w:t>constitute</w:t>
      </w:r>
      <w:r w:rsidR="00AB07B7">
        <w:t>s</w:t>
      </w:r>
      <w:r w:rsidR="00AB07B7" w:rsidRPr="00722378">
        <w:t xml:space="preserve"> a permanent and periodic monitoring and evaluation process for Member States’ compliance</w:t>
      </w:r>
      <w:r w:rsidR="00D12191">
        <w:t>.</w:t>
      </w:r>
      <w:r w:rsidR="00AB07B7">
        <w:t xml:space="preserve"> </w:t>
      </w:r>
      <w:r w:rsidR="00D12191">
        <w:t>A</w:t>
      </w:r>
      <w:r w:rsidR="00AB07B7">
        <w:rPr>
          <w:sz w:val="23"/>
          <w:szCs w:val="23"/>
        </w:rPr>
        <w:t>s a consequence</w:t>
      </w:r>
      <w:r w:rsidR="00D12191">
        <w:rPr>
          <w:sz w:val="23"/>
          <w:szCs w:val="23"/>
        </w:rPr>
        <w:t>,</w:t>
      </w:r>
      <w:r w:rsidR="00AB07B7">
        <w:rPr>
          <w:sz w:val="23"/>
          <w:szCs w:val="23"/>
        </w:rPr>
        <w:t xml:space="preserve"> Member States are subject to continuous scrutiny of the Commission.</w:t>
      </w:r>
      <w:r w:rsidR="00D12191">
        <w:rPr>
          <w:sz w:val="23"/>
          <w:szCs w:val="23"/>
        </w:rPr>
        <w:t xml:space="preserve"> T</w:t>
      </w:r>
      <w:r w:rsidR="00AB07B7">
        <w:rPr>
          <w:sz w:val="23"/>
          <w:szCs w:val="23"/>
        </w:rPr>
        <w:t>he first cycle of the DRF-Pact</w:t>
      </w:r>
      <w:r w:rsidR="00D12191">
        <w:rPr>
          <w:sz w:val="23"/>
          <w:szCs w:val="23"/>
        </w:rPr>
        <w:t>, thus,</w:t>
      </w:r>
      <w:r w:rsidR="00AB07B7">
        <w:rPr>
          <w:sz w:val="23"/>
          <w:szCs w:val="23"/>
        </w:rPr>
        <w:t xml:space="preserve"> </w:t>
      </w:r>
      <w:r w:rsidR="008C1CC5">
        <w:rPr>
          <w:sz w:val="23"/>
          <w:szCs w:val="23"/>
        </w:rPr>
        <w:t>depends on the positive features, yet acknowledges the limitations of the CVM by</w:t>
      </w:r>
      <w:r w:rsidR="00364BFA" w:rsidRPr="00722378">
        <w:t xml:space="preserve"> extending the scope </w:t>
      </w:r>
      <w:r w:rsidR="00364BFA" w:rsidRPr="00722378">
        <w:rPr>
          <w:i/>
        </w:rPr>
        <w:t xml:space="preserve">ratione </w:t>
      </w:r>
      <w:r w:rsidR="00364BFA" w:rsidRPr="00722378">
        <w:t xml:space="preserve">as well as the scope </w:t>
      </w:r>
      <w:r w:rsidR="00364BFA" w:rsidRPr="00722378">
        <w:rPr>
          <w:i/>
        </w:rPr>
        <w:t>ratione materiae</w:t>
      </w:r>
      <w:r w:rsidR="00364BFA" w:rsidRPr="00722378">
        <w:t xml:space="preserve"> </w:t>
      </w:r>
      <w:r w:rsidR="00D12191">
        <w:t>, as monitoring is respectively applicable to all Member States and relates to all fundamental values.</w:t>
      </w:r>
      <w:r w:rsidR="00364BFA" w:rsidRPr="00722378">
        <w:rPr>
          <w:rStyle w:val="Voetnootmarkering"/>
        </w:rPr>
        <w:footnoteReference w:id="102"/>
      </w:r>
      <w:r w:rsidR="00364BFA">
        <w:t xml:space="preserve"> </w:t>
      </w:r>
    </w:p>
    <w:p w14:paraId="7256C1DD" w14:textId="1F5100B0" w:rsidR="009E15D6" w:rsidRPr="00722378" w:rsidRDefault="001D7144" w:rsidP="00CD2E4D">
      <w:r w:rsidRPr="00722378">
        <w:t>The Commission has to draw up the DRF</w:t>
      </w:r>
      <w:r w:rsidR="008C1CC5">
        <w:t>-</w:t>
      </w:r>
      <w:r w:rsidRPr="00722378">
        <w:t>Report in consultation with a panel of independent experts</w:t>
      </w:r>
      <w:r w:rsidR="004607E0" w:rsidRPr="00722378">
        <w:t>, using all kind o</w:t>
      </w:r>
      <w:r w:rsidR="00C6312C" w:rsidRPr="00722378">
        <w:t>f information from for instance</w:t>
      </w:r>
      <w:r w:rsidR="004607E0" w:rsidRPr="00722378">
        <w:t xml:space="preserve"> the Venice Commission, the FRA, other specialised EU-agencies, Member States, experts, academics, case law of the </w:t>
      </w:r>
      <w:r w:rsidR="000562E7">
        <w:t>Court of Justice of the European Union</w:t>
      </w:r>
      <w:r w:rsidR="004607E0" w:rsidRPr="00722378">
        <w:t xml:space="preserve"> and the European Court of Human Rights,</w:t>
      </w:r>
      <w:r w:rsidR="008C1CC5">
        <w:t xml:space="preserve"> and</w:t>
      </w:r>
      <w:r w:rsidR="004607E0" w:rsidRPr="00722378">
        <w:t xml:space="preserve"> other international organisations</w:t>
      </w:r>
      <w:r w:rsidRPr="00722378">
        <w:t>.</w:t>
      </w:r>
      <w:r w:rsidRPr="00722378">
        <w:rPr>
          <w:rStyle w:val="Voetnootmarkering"/>
        </w:rPr>
        <w:footnoteReference w:id="103"/>
      </w:r>
      <w:r w:rsidR="00CB38DB" w:rsidRPr="00722378">
        <w:t xml:space="preserve"> </w:t>
      </w:r>
      <w:r w:rsidR="00C6312C" w:rsidRPr="00722378">
        <w:t>This panel of independent experts will contribute to the objectivity of the assessment, as the experts have to carry out a qualitative and quantitative assessment on a</w:t>
      </w:r>
      <w:r w:rsidR="008C1CC5">
        <w:t>n</w:t>
      </w:r>
      <w:r w:rsidR="00C6312C" w:rsidRPr="00722378">
        <w:t xml:space="preserve"> anonymous and independent basis.</w:t>
      </w:r>
      <w:r w:rsidR="00C6312C" w:rsidRPr="00722378">
        <w:rPr>
          <w:rStyle w:val="Voetnootmarkering"/>
        </w:rPr>
        <w:footnoteReference w:id="104"/>
      </w:r>
      <w:r w:rsidR="00C6312C" w:rsidRPr="00722378">
        <w:t xml:space="preserve"> </w:t>
      </w:r>
      <w:r w:rsidR="003B0A22">
        <w:t>C</w:t>
      </w:r>
      <w:r w:rsidR="00C6312C" w:rsidRPr="00722378">
        <w:t xml:space="preserve">onsultation </w:t>
      </w:r>
      <w:r w:rsidR="003B0A22">
        <w:t>of</w:t>
      </w:r>
      <w:r w:rsidR="00C6312C" w:rsidRPr="00722378">
        <w:t xml:space="preserve"> a panel of independent experts</w:t>
      </w:r>
      <w:r w:rsidR="00A149A6" w:rsidRPr="00722378">
        <w:t xml:space="preserve"> </w:t>
      </w:r>
      <w:r w:rsidR="003B0A22">
        <w:t>enables the Parliament to overcome</w:t>
      </w:r>
      <w:r w:rsidR="00B90CB6">
        <w:t xml:space="preserve"> </w:t>
      </w:r>
      <w:r w:rsidR="008C1CC5">
        <w:t>criticism</w:t>
      </w:r>
      <w:r w:rsidR="00C6312C" w:rsidRPr="00722378">
        <w:t xml:space="preserve"> </w:t>
      </w:r>
      <w:r w:rsidR="00DB012E" w:rsidRPr="00722378">
        <w:t xml:space="preserve">concerning the objectivity </w:t>
      </w:r>
      <w:r w:rsidR="00A149A6" w:rsidRPr="00722378">
        <w:t>and impartiality of the Commission's Rule of Law Framework. Article 2 TEU violations are always political</w:t>
      </w:r>
      <w:r w:rsidR="00490BA7">
        <w:t>ly</w:t>
      </w:r>
      <w:r w:rsidR="00A149A6" w:rsidRPr="00722378">
        <w:t xml:space="preserve"> sensitive. As a consequence, Member States consider actions from the Commission in order to redress the situation to be </w:t>
      </w:r>
      <w:r w:rsidR="008C1CC5">
        <w:t>an infringement o</w:t>
      </w:r>
      <w:r w:rsidR="00490BA7">
        <w:t>n</w:t>
      </w:r>
      <w:r w:rsidR="008C1CC5">
        <w:t xml:space="preserve"> the</w:t>
      </w:r>
      <w:r w:rsidR="00490BA7">
        <w:t>ir</w:t>
      </w:r>
      <w:r w:rsidR="008C1CC5">
        <w:t xml:space="preserve"> </w:t>
      </w:r>
      <w:r w:rsidR="00A149A6" w:rsidRPr="00722378">
        <w:t xml:space="preserve">national sovereignty. </w:t>
      </w:r>
      <w:r w:rsidR="00B90CB6">
        <w:t>I</w:t>
      </w:r>
      <w:r w:rsidR="00A149A6" w:rsidRPr="00722378">
        <w:t xml:space="preserve">ndependency and anonymity </w:t>
      </w:r>
      <w:r w:rsidR="00B90CB6">
        <w:t xml:space="preserve">from an independent panel of experts </w:t>
      </w:r>
      <w:r w:rsidR="00A149A6" w:rsidRPr="00722378">
        <w:t xml:space="preserve">are </w:t>
      </w:r>
      <w:r w:rsidR="00B90CB6">
        <w:t xml:space="preserve">therefore </w:t>
      </w:r>
      <w:r w:rsidR="00A149A6" w:rsidRPr="00722378">
        <w:t xml:space="preserve">required to draw up reports in an impartial and objective manner. </w:t>
      </w:r>
      <w:r w:rsidR="00307B6C">
        <w:t>Hence, t</w:t>
      </w:r>
      <w:r w:rsidR="00490BA7">
        <w:t xml:space="preserve">his first cycle of DRF-Pact </w:t>
      </w:r>
      <w:r w:rsidR="005D730E" w:rsidRPr="00722378">
        <w:t xml:space="preserve">is the required missing phase in the EU's rule of law </w:t>
      </w:r>
      <w:r w:rsidR="00307B6C">
        <w:t>enforcement</w:t>
      </w:r>
      <w:r w:rsidR="00B90CB6">
        <w:t xml:space="preserve"> </w:t>
      </w:r>
      <w:r w:rsidR="00490BA7">
        <w:t>to date</w:t>
      </w:r>
      <w:r w:rsidR="00B90CB6">
        <w:t>.</w:t>
      </w:r>
    </w:p>
    <w:p w14:paraId="135EB758" w14:textId="03074046" w:rsidR="00A149A6" w:rsidRPr="00722378" w:rsidRDefault="00A149A6" w:rsidP="00CD2E4D">
      <w:r w:rsidRPr="00722378">
        <w:t xml:space="preserve">The DRF Scoreboard and Country Specific Reports will be the basis </w:t>
      </w:r>
      <w:r w:rsidR="00490BA7">
        <w:t>of</w:t>
      </w:r>
      <w:r w:rsidRPr="00722378">
        <w:t xml:space="preserve"> the second cycle, namely the DRF Semester, whereby both the </w:t>
      </w:r>
      <w:r w:rsidR="00490BA7">
        <w:t xml:space="preserve">role of the </w:t>
      </w:r>
      <w:r w:rsidR="0003669D" w:rsidRPr="00722378">
        <w:t>Parliament</w:t>
      </w:r>
      <w:r w:rsidRPr="00722378">
        <w:t xml:space="preserve"> and the C</w:t>
      </w:r>
      <w:r w:rsidR="00D66CEE" w:rsidRPr="00722378">
        <w:t xml:space="preserve">ouncil </w:t>
      </w:r>
      <w:r w:rsidR="00490BA7">
        <w:t>are crucial</w:t>
      </w:r>
      <w:r w:rsidR="00D66CEE" w:rsidRPr="00722378">
        <w:t xml:space="preserve">. </w:t>
      </w:r>
      <w:r w:rsidR="005C43EA">
        <w:t>W</w:t>
      </w:r>
      <w:r w:rsidR="00490BA7">
        <w:t xml:space="preserve">ithin the context of </w:t>
      </w:r>
      <w:r w:rsidR="00D66CEE" w:rsidRPr="00722378">
        <w:t xml:space="preserve">the Rule of Law Dialogue and </w:t>
      </w:r>
      <w:r w:rsidR="005D730E" w:rsidRPr="00722378">
        <w:t xml:space="preserve">an </w:t>
      </w:r>
      <w:r w:rsidR="00D66CEE" w:rsidRPr="00722378">
        <w:t>inter-parliamentary debate</w:t>
      </w:r>
      <w:r w:rsidR="005C43EA" w:rsidRPr="005C43EA">
        <w:t xml:space="preserve"> </w:t>
      </w:r>
      <w:r w:rsidR="005C43EA">
        <w:t>respectively</w:t>
      </w:r>
      <w:r w:rsidR="00490BA7">
        <w:t>, the Council and the Parliament</w:t>
      </w:r>
      <w:r w:rsidR="00D66CEE" w:rsidRPr="00722378">
        <w:t xml:space="preserve"> will hold an annual </w:t>
      </w:r>
      <w:r w:rsidR="003B0A22">
        <w:t>debate concerning these reports. Ultimately, these debates will result</w:t>
      </w:r>
      <w:r w:rsidR="00D66CEE" w:rsidRPr="00722378">
        <w:t xml:space="preserve"> </w:t>
      </w:r>
      <w:r w:rsidR="00D66CEE" w:rsidRPr="00722378">
        <w:lastRenderedPageBreak/>
        <w:t xml:space="preserve">in the adoption of Council Conclusions and a Resolution of the </w:t>
      </w:r>
      <w:r w:rsidR="0003669D" w:rsidRPr="00722378">
        <w:t>Parliament</w:t>
      </w:r>
      <w:r w:rsidR="00D66CEE" w:rsidRPr="00722378">
        <w:t>.</w:t>
      </w:r>
      <w:r w:rsidR="00D66CEE" w:rsidRPr="00722378">
        <w:rPr>
          <w:rStyle w:val="Voetnootmarkering"/>
        </w:rPr>
        <w:footnoteReference w:id="105"/>
      </w:r>
      <w:r w:rsidR="00D66CEE" w:rsidRPr="00722378">
        <w:t xml:space="preserve"> </w:t>
      </w:r>
      <w:r w:rsidR="005C43EA">
        <w:t>Considering the</w:t>
      </w:r>
      <w:r w:rsidR="00D66CEE" w:rsidRPr="00722378">
        <w:t xml:space="preserve"> conclusions of </w:t>
      </w:r>
      <w:r w:rsidR="0003669D" w:rsidRPr="00722378">
        <w:t xml:space="preserve">both the Council and the Parliament, the Commission can </w:t>
      </w:r>
      <w:r w:rsidR="005C43EA">
        <w:t>either</w:t>
      </w:r>
      <w:r w:rsidR="0003669D" w:rsidRPr="00722378">
        <w:t xml:space="preserve"> launch </w:t>
      </w:r>
      <w:r w:rsidR="00566591" w:rsidRPr="00722378">
        <w:t xml:space="preserve">a systemic infringement procedure </w:t>
      </w:r>
      <w:r w:rsidR="005C43EA">
        <w:t>or a</w:t>
      </w:r>
      <w:r w:rsidR="00566591" w:rsidRPr="00722378">
        <w:t xml:space="preserve"> peer review under Article 70 TFEU on the other hand. </w:t>
      </w:r>
    </w:p>
    <w:p w14:paraId="0EF94CCA" w14:textId="6207C47A" w:rsidR="00FE04B2" w:rsidRPr="00722378" w:rsidRDefault="006E3711" w:rsidP="00FE04B2">
      <w:pPr>
        <w:rPr>
          <w:szCs w:val="24"/>
        </w:rPr>
      </w:pPr>
      <w:r w:rsidRPr="00722378">
        <w:t>The Systemic Infringement P</w:t>
      </w:r>
      <w:r w:rsidR="00566591" w:rsidRPr="00722378">
        <w:t xml:space="preserve">rocedure has been proposed by </w:t>
      </w:r>
      <w:r w:rsidR="00566591" w:rsidRPr="00722378">
        <w:rPr>
          <w:i/>
          <w:iCs/>
          <w:smallCaps/>
        </w:rPr>
        <w:t>Scheppele</w:t>
      </w:r>
      <w:r w:rsidR="00566591" w:rsidRPr="00722378">
        <w:t xml:space="preserve"> and </w:t>
      </w:r>
      <w:r w:rsidR="003B0A22">
        <w:t>extends</w:t>
      </w:r>
      <w:r w:rsidR="00566591" w:rsidRPr="00722378">
        <w:t xml:space="preserve"> the infringement </w:t>
      </w:r>
      <w:r w:rsidR="005C43EA">
        <w:t>procedure under</w:t>
      </w:r>
      <w:r w:rsidR="00566591" w:rsidRPr="00722378">
        <w:t xml:space="preserve"> Article 258 TFEU.</w:t>
      </w:r>
      <w:r w:rsidR="00566591" w:rsidRPr="00722378">
        <w:rPr>
          <w:rStyle w:val="Voetnootmarkering"/>
        </w:rPr>
        <w:footnoteReference w:id="106"/>
      </w:r>
      <w:r w:rsidR="00566591" w:rsidRPr="00722378">
        <w:t xml:space="preserve"> </w:t>
      </w:r>
      <w:r w:rsidR="005C43EA">
        <w:t>T</w:t>
      </w:r>
      <w:r w:rsidR="00566591" w:rsidRPr="00722378">
        <w:rPr>
          <w:szCs w:val="24"/>
        </w:rPr>
        <w:t xml:space="preserve">he Commission will </w:t>
      </w:r>
      <w:r w:rsidR="003B0A22">
        <w:rPr>
          <w:szCs w:val="24"/>
        </w:rPr>
        <w:t>determine</w:t>
      </w:r>
      <w:r w:rsidR="00566591" w:rsidRPr="00722378">
        <w:rPr>
          <w:szCs w:val="24"/>
        </w:rPr>
        <w:t xml:space="preserve"> systemic complaints </w:t>
      </w:r>
      <w:r w:rsidR="003B0A22">
        <w:rPr>
          <w:szCs w:val="24"/>
        </w:rPr>
        <w:t>with respect to a certain</w:t>
      </w:r>
      <w:r w:rsidR="00566591" w:rsidRPr="00722378">
        <w:rPr>
          <w:szCs w:val="24"/>
        </w:rPr>
        <w:t xml:space="preserve"> Member State by bundling a group of individual infringement actions together under the banner of </w:t>
      </w:r>
      <w:r w:rsidR="003B0A22">
        <w:rPr>
          <w:szCs w:val="24"/>
        </w:rPr>
        <w:t xml:space="preserve">an infringement procedure in light of </w:t>
      </w:r>
      <w:r w:rsidR="00566591" w:rsidRPr="00722378">
        <w:rPr>
          <w:szCs w:val="24"/>
        </w:rPr>
        <w:t xml:space="preserve">Article 2 TEU. </w:t>
      </w:r>
      <w:r w:rsidR="003B0A22">
        <w:rPr>
          <w:szCs w:val="24"/>
        </w:rPr>
        <w:t>As a consequence, infring</w:t>
      </w:r>
      <w:r w:rsidR="00FE04B2">
        <w:rPr>
          <w:szCs w:val="24"/>
        </w:rPr>
        <w:t>e</w:t>
      </w:r>
      <w:r w:rsidR="003B0A22">
        <w:rPr>
          <w:szCs w:val="24"/>
        </w:rPr>
        <w:t>ments of Article 2</w:t>
      </w:r>
      <w:r w:rsidR="00FE04B2">
        <w:rPr>
          <w:szCs w:val="24"/>
        </w:rPr>
        <w:t xml:space="preserve"> TEU will be brought under the scrutiny of the </w:t>
      </w:r>
      <w:r w:rsidR="003D1CEE">
        <w:rPr>
          <w:szCs w:val="24"/>
        </w:rPr>
        <w:t>Court of Justice of the European Union</w:t>
      </w:r>
      <w:r w:rsidR="00FE04B2">
        <w:rPr>
          <w:szCs w:val="24"/>
        </w:rPr>
        <w:t>.</w:t>
      </w:r>
      <w:r w:rsidR="00FE04B2" w:rsidRPr="00FE04B2">
        <w:t xml:space="preserve"> </w:t>
      </w:r>
      <w:r w:rsidR="00FE04B2" w:rsidRPr="00722378">
        <w:t xml:space="preserve">By combining all the </w:t>
      </w:r>
      <w:r w:rsidR="00FE04B2">
        <w:t>individual</w:t>
      </w:r>
      <w:r w:rsidR="00FE04B2" w:rsidRPr="00722378">
        <w:t xml:space="preserve"> violations into a systemic infringement, the CJEU can determine the deeper problem leading to a systemic compliance judgement. The CJEU acknowledges that “</w:t>
      </w:r>
      <w:r w:rsidR="00FE04B2" w:rsidRPr="00722378">
        <w:rPr>
          <w:i/>
        </w:rPr>
        <w:t>the fact that the deficiencies pointed out in one or other case have been remedied does not necessarily mean that the general and continuous approach of those authorities, to which such specific deficiencies would testify where appropriate, has come to an end.</w:t>
      </w:r>
      <w:r w:rsidR="00FE04B2" w:rsidRPr="00722378">
        <w:t>”</w:t>
      </w:r>
      <w:r w:rsidR="00FE04B2" w:rsidRPr="00722378">
        <w:rPr>
          <w:rStyle w:val="Voetnootmarkering"/>
          <w:i/>
        </w:rPr>
        <w:footnoteReference w:id="107"/>
      </w:r>
      <w:r w:rsidR="00FE04B2" w:rsidRPr="00722378">
        <w:t xml:space="preserve"> Therefore, the systemic problem will be solved in a permanent manner, and </w:t>
      </w:r>
      <w:r w:rsidR="00307B6C">
        <w:t>will</w:t>
      </w:r>
      <w:r w:rsidR="003D1CEE">
        <w:t>, therefore,</w:t>
      </w:r>
      <w:r w:rsidR="00307B6C">
        <w:t xml:space="preserve"> </w:t>
      </w:r>
      <w:r w:rsidR="00FE04B2" w:rsidRPr="00722378">
        <w:t>not</w:t>
      </w:r>
      <w:r w:rsidR="00307B6C">
        <w:t xml:space="preserve"> only</w:t>
      </w:r>
      <w:r w:rsidR="00FE04B2" w:rsidRPr="00722378">
        <w:t xml:space="preserve"> lead to temporary compliance with the fundamental values of Article 2 TEU.</w:t>
      </w:r>
      <w:r w:rsidR="00FE04B2" w:rsidRPr="00722378">
        <w:rPr>
          <w:rStyle w:val="Voetnootmarkering"/>
        </w:rPr>
        <w:footnoteReference w:id="108"/>
      </w:r>
      <w:r w:rsidR="00FE04B2" w:rsidRPr="00722378">
        <w:t xml:space="preserve"> It can be considered the Commission's task to bring a non-compliant Member State before the CJEU showing the pattern in various violations and, eventually, bundling them together.</w:t>
      </w:r>
      <w:r w:rsidR="00FE04B2" w:rsidRPr="00722378">
        <w:rPr>
          <w:rStyle w:val="Voetnootmarkering"/>
        </w:rPr>
        <w:footnoteReference w:id="109"/>
      </w:r>
      <w:r w:rsidR="00FE04B2" w:rsidRPr="00722378">
        <w:t xml:space="preserve"> Also Advocate</w:t>
      </w:r>
      <w:r w:rsidR="000562E7">
        <w:t xml:space="preserve"> </w:t>
      </w:r>
      <w:r w:rsidR="00FE04B2" w:rsidRPr="00722378">
        <w:t xml:space="preserve">General </w:t>
      </w:r>
      <w:r w:rsidR="00FE04B2" w:rsidRPr="00722378">
        <w:rPr>
          <w:i/>
          <w:iCs/>
          <w:smallCaps/>
          <w:szCs w:val="24"/>
        </w:rPr>
        <w:t>Geelhoed</w:t>
      </w:r>
      <w:r w:rsidR="00FE04B2" w:rsidRPr="00722378">
        <w:t xml:space="preserve"> recognises the principle of bundling individual infringements and states: “</w:t>
      </w:r>
      <w:r w:rsidR="00FE04B2" w:rsidRPr="00722378">
        <w:rPr>
          <w:i/>
        </w:rPr>
        <w:t>It would appear to me that it certainly cannot be ruled out that, under certain conditions, a pattern of complaints may provide the basis for a finding that a Member State has structurally infringed its Community law obligations.</w:t>
      </w:r>
      <w:r w:rsidR="00FE04B2" w:rsidRPr="00722378">
        <w:t>”</w:t>
      </w:r>
      <w:r w:rsidR="00FE04B2" w:rsidRPr="00722378">
        <w:rPr>
          <w:rStyle w:val="Voetnootmarkering"/>
          <w:i/>
        </w:rPr>
        <w:footnoteReference w:id="110"/>
      </w:r>
    </w:p>
    <w:p w14:paraId="615E2FF6" w14:textId="46A10470" w:rsidR="006E3711" w:rsidRPr="00722378" w:rsidRDefault="00FE04B2" w:rsidP="00566591">
      <w:r>
        <w:rPr>
          <w:szCs w:val="24"/>
        </w:rPr>
        <w:t xml:space="preserve">Hence the DRF-Pact is not only a political mechanism, but also allows to examine a situation in a legal context. </w:t>
      </w:r>
      <w:r w:rsidR="003B0A22">
        <w:t>The</w:t>
      </w:r>
      <w:r w:rsidR="00770FA7" w:rsidRPr="00722378">
        <w:t xml:space="preserve"> </w:t>
      </w:r>
      <w:r w:rsidR="00566591" w:rsidRPr="00722378">
        <w:t>S</w:t>
      </w:r>
      <w:r w:rsidR="00770FA7" w:rsidRPr="00722378">
        <w:t>ystemic Infringement Procedure</w:t>
      </w:r>
      <w:r>
        <w:t>, however,</w:t>
      </w:r>
      <w:r w:rsidR="00770FA7" w:rsidRPr="00722378">
        <w:t xml:space="preserve"> </w:t>
      </w:r>
      <w:r w:rsidR="00566591" w:rsidRPr="00722378">
        <w:t xml:space="preserve">is criticised, </w:t>
      </w:r>
      <w:r>
        <w:t>because</w:t>
      </w:r>
      <w:r w:rsidR="00566591" w:rsidRPr="00722378">
        <w:t xml:space="preserve"> it is a purely legal </w:t>
      </w:r>
      <w:r w:rsidR="00566591" w:rsidRPr="00722378">
        <w:lastRenderedPageBreak/>
        <w:t>remedy to an essential political issue.</w:t>
      </w:r>
      <w:r w:rsidR="00566591" w:rsidRPr="00722378">
        <w:rPr>
          <w:rStyle w:val="Voetnootmarkering"/>
        </w:rPr>
        <w:footnoteReference w:id="111"/>
      </w:r>
      <w:r w:rsidR="00566591" w:rsidRPr="00722378">
        <w:t xml:space="preserve"> However, the legal question arising is whether a Member State has systematically infringed its commitments under EU</w:t>
      </w:r>
      <w:r w:rsidR="000562E7">
        <w:t xml:space="preserve"> </w:t>
      </w:r>
      <w:r w:rsidR="00566591" w:rsidRPr="00722378">
        <w:t>law through its own laws or practises. This constitutes pre-eminently a legal question.</w:t>
      </w:r>
      <w:r w:rsidR="00566591" w:rsidRPr="00722378">
        <w:rPr>
          <w:rStyle w:val="Voetnootmarkering"/>
        </w:rPr>
        <w:footnoteReference w:id="112"/>
      </w:r>
      <w:r w:rsidR="00566591" w:rsidRPr="00722378">
        <w:t xml:space="preserve"> </w:t>
      </w:r>
      <w:r>
        <w:t>Furthermore, the systemic infringement procedure will be launched after political debate in the Council and the Parliament and as part of the DRF-Pact. It seems that the DRF-Pact has found a balance between a merely political and legal procedure.</w:t>
      </w:r>
    </w:p>
    <w:p w14:paraId="716C410B" w14:textId="7BCEABE3" w:rsidR="00C30F2A" w:rsidRDefault="005D730E" w:rsidP="00CD2E4D">
      <w:r w:rsidRPr="00722378">
        <w:t xml:space="preserve">However, the systemic infringement procedure and the Article 70 TFEU peer review mechanism are not the only possibilities. </w:t>
      </w:r>
      <w:r w:rsidR="00B90CB6">
        <w:t>Instead of clarifying the competence</w:t>
      </w:r>
      <w:r w:rsidR="00FE04B2">
        <w:t xml:space="preserve"> delimitation</w:t>
      </w:r>
      <w:r w:rsidR="00B90CB6">
        <w:t xml:space="preserve">, the </w:t>
      </w:r>
      <w:r w:rsidRPr="00722378">
        <w:t>proposal of the Parliament is quite unclear</w:t>
      </w:r>
      <w:r w:rsidR="00B90CB6">
        <w:t xml:space="preserve"> as to</w:t>
      </w:r>
      <w:r w:rsidRPr="00722378">
        <w:t xml:space="preserve"> which procedure has to be instigated in which case. Article 10 of the Draft Agreement leaves </w:t>
      </w:r>
      <w:r w:rsidR="005C43EA" w:rsidRPr="00722378">
        <w:t xml:space="preserve">open </w:t>
      </w:r>
      <w:r w:rsidRPr="00722378">
        <w:t>some other options as well. Firstly, if it can be deduced from the DRF Report that a certain Member State is complying with the values of Article 2 TEU</w:t>
      </w:r>
      <w:r w:rsidR="003F6B6F" w:rsidRPr="00722378">
        <w:t>, no further action is necessary.</w:t>
      </w:r>
      <w:r w:rsidR="003F6B6F" w:rsidRPr="00722378">
        <w:rPr>
          <w:rStyle w:val="Voetnootmarkering"/>
        </w:rPr>
        <w:footnoteReference w:id="113"/>
      </w:r>
      <w:r w:rsidR="003F6B6F" w:rsidRPr="00722378">
        <w:t xml:space="preserve"> Secondly, if a Member State on the contrary falls short on one or more aspects of the values of Article 2 TEU, the Commission can start a dialogue with that Member State.</w:t>
      </w:r>
      <w:r w:rsidR="003F6B6F" w:rsidRPr="00722378">
        <w:rPr>
          <w:rStyle w:val="Voetnootmarkering"/>
        </w:rPr>
        <w:footnoteReference w:id="114"/>
      </w:r>
      <w:r w:rsidR="003F6B6F" w:rsidRPr="00722378">
        <w:t xml:space="preserve"> This second procedure thus refers back to procedure of the Commission’s Rule of Law Framework. However, if the DRF Report contains the assessment of the independent expert panel which mentions that there is a clear risk of a serious breach of the values of Article 2 TEU and that there are sufficient arguments for the activation of Article 7(1) TEU, the three institutions – namely the Commission, the Council and the Parliament – should each discuss the matter individually and take a reasoned decision.</w:t>
      </w:r>
      <w:r w:rsidR="003F6B6F" w:rsidRPr="00722378">
        <w:rPr>
          <w:rStyle w:val="Voetnootmarkering"/>
        </w:rPr>
        <w:footnoteReference w:id="115"/>
      </w:r>
      <w:r w:rsidR="00B90CB6">
        <w:t xml:space="preserve"> </w:t>
      </w:r>
      <w:r w:rsidR="006A3BB9" w:rsidRPr="00722378">
        <w:t>Finally, if it is clear from the DRF Report that the expert panel has decided that there is a serious and persistent breach increasing or remaining unchanged over a period of at least two years and there are sufficient reasons to activate Article 7(2) TEU, again the three institutions – namely the Commission, the Council and the Parliament – should each discuss the matter individually and take a reasoned decision.</w:t>
      </w:r>
      <w:r w:rsidR="006A3BB9" w:rsidRPr="00722378">
        <w:rPr>
          <w:rStyle w:val="Voetnootmarkering"/>
        </w:rPr>
        <w:footnoteReference w:id="116"/>
      </w:r>
      <w:r w:rsidR="006A3BB9" w:rsidRPr="00722378">
        <w:t xml:space="preserve"> Hence, at the end of the DRF Semester, it is not yet clear which institutions should undertake which </w:t>
      </w:r>
      <w:r w:rsidR="006A3BB9" w:rsidRPr="00722378">
        <w:lastRenderedPageBreak/>
        <w:t xml:space="preserve">concrete steps. </w:t>
      </w:r>
      <w:r w:rsidR="00082C07" w:rsidRPr="00722378">
        <w:t xml:space="preserve">In case a Member State complies with the fundamental values of Article 2 TEU, there is of course no problem. In the case where Member States are not complying, should the Commission launch a systemic infringement procedure, or should it give priority to installing a peer review mechanism under Article 70 TEU? </w:t>
      </w:r>
      <w:r w:rsidR="00B90CB6">
        <w:t>S</w:t>
      </w:r>
      <w:r w:rsidR="00082C07" w:rsidRPr="00722378">
        <w:t>hould the Commission start a dialogue in the light of its Rule of Law Framework? Or yet another option, should the Commission, the Parliament or the Council invoke Article 7 TEU</w:t>
      </w:r>
      <w:r w:rsidR="00FE04B2">
        <w:t>?</w:t>
      </w:r>
      <w:r w:rsidR="00082C07" w:rsidRPr="00722378">
        <w:t xml:space="preserve"> </w:t>
      </w:r>
      <w:r w:rsidR="00FE04B2">
        <w:t>Therefore, the Parliament has</w:t>
      </w:r>
      <w:r w:rsidR="00082C07" w:rsidRPr="00722378">
        <w:t xml:space="preserve"> to</w:t>
      </w:r>
      <w:r w:rsidR="00FE04B2">
        <w:t xml:space="preserve"> further</w:t>
      </w:r>
      <w:r w:rsidR="00082C07" w:rsidRPr="00722378">
        <w:t xml:space="preserve"> clarify and to a certain extent rewrite the </w:t>
      </w:r>
      <w:r w:rsidR="00B90CB6">
        <w:t xml:space="preserve">DRF Semester in order to clarify once and for all the issue regarding the delimitation of competences. </w:t>
      </w:r>
    </w:p>
    <w:p w14:paraId="69F4B831" w14:textId="7517ADB9" w:rsidR="00AD15FD" w:rsidRPr="00722378" w:rsidRDefault="00F30037" w:rsidP="00601458">
      <w:pPr>
        <w:pStyle w:val="Kop1"/>
      </w:pPr>
      <w:bookmarkStart w:id="18" w:name="_Toc354987656"/>
      <w:r w:rsidRPr="00722378">
        <w:t>Conclusion</w:t>
      </w:r>
      <w:r w:rsidR="00552A1E" w:rsidRPr="00722378">
        <w:t xml:space="preserve">: </w:t>
      </w:r>
      <w:r w:rsidR="000C0D85">
        <w:t xml:space="preserve">The missing link – </w:t>
      </w:r>
      <w:r w:rsidR="00D728F2" w:rsidRPr="00722378">
        <w:t>Monitoring, Cooperation and</w:t>
      </w:r>
      <w:r w:rsidR="00552A1E" w:rsidRPr="00722378">
        <w:t xml:space="preserve"> Coordination</w:t>
      </w:r>
      <w:bookmarkEnd w:id="18"/>
    </w:p>
    <w:p w14:paraId="6C4B1939" w14:textId="30D249A3" w:rsidR="00EB439B" w:rsidRPr="00722378" w:rsidRDefault="00EB439B" w:rsidP="00E1261F">
      <w:r w:rsidRPr="00722378">
        <w:t xml:space="preserve">In the EU a gap emerges between the proclamation of the rule of law by the Treaties and the actual compliance with the rule of law by the Member States. </w:t>
      </w:r>
      <w:r w:rsidR="001D67D4" w:rsidRPr="00722378">
        <w:t>But at the same time</w:t>
      </w:r>
      <w:r w:rsidRPr="00722378">
        <w:t xml:space="preserve">, the EU is unable to </w:t>
      </w:r>
      <w:r w:rsidR="000C0D85">
        <w:t>govern</w:t>
      </w:r>
      <w:r w:rsidRPr="00722378">
        <w:t xml:space="preserve"> effectively and efficiently the compliance of the rule of law through the existing legal framework. The mechanisms are going from too political-oriented such as the ‘nuclear option’ of Article 7 TEU, to too case-specific such as the infringement procedure enshrined in Article 258 TFEU. In turn, the CVM </w:t>
      </w:r>
      <w:r w:rsidR="000C0D85">
        <w:t>has</w:t>
      </w:r>
      <w:r w:rsidRPr="00722378">
        <w:t xml:space="preserve"> a too constrained scope of application to tackle systemic infringements against the fundamental values. In fact, all these mechanisms are crisis-driven and focus on redressing </w:t>
      </w:r>
      <w:r w:rsidR="000C0D85">
        <w:t>incompliance</w:t>
      </w:r>
      <w:r w:rsidRPr="00722378">
        <w:t xml:space="preserve">. </w:t>
      </w:r>
    </w:p>
    <w:p w14:paraId="18138F5A" w14:textId="6E48103F" w:rsidR="0054138C" w:rsidRPr="00722378" w:rsidRDefault="000C0D85" w:rsidP="00E1261F">
      <w:r>
        <w:t xml:space="preserve">As a consequence of the Hungarian rule of law crisis, a Rule of Law Framework has been established by the Commission. </w:t>
      </w:r>
      <w:r w:rsidR="00EB439B" w:rsidRPr="00722378">
        <w:t>T</w:t>
      </w:r>
      <w:r w:rsidR="005D793D" w:rsidRPr="00722378">
        <w:t xml:space="preserve">he Rule of Law Framework can be considered to be </w:t>
      </w:r>
      <w:r w:rsidR="005D793D" w:rsidRPr="00722378">
        <w:rPr>
          <w:i/>
        </w:rPr>
        <w:t>“a timid step in the right direction”</w:t>
      </w:r>
      <w:r w:rsidR="005D793D" w:rsidRPr="00722378">
        <w:t>.</w:t>
      </w:r>
      <w:r w:rsidR="005D793D" w:rsidRPr="00722378">
        <w:rPr>
          <w:rStyle w:val="Voetnootmarkering"/>
        </w:rPr>
        <w:footnoteReference w:id="117"/>
      </w:r>
      <w:r w:rsidR="005D793D" w:rsidRPr="00722378">
        <w:t xml:space="preserve"> </w:t>
      </w:r>
      <w:r w:rsidR="00EB62F4">
        <w:t xml:space="preserve">Admittedly, the application of the Rule of Law Framework regarding the Polish crisis demonstrates the limitations of this Framework. </w:t>
      </w:r>
      <w:r w:rsidR="005D793D" w:rsidRPr="00722378">
        <w:t xml:space="preserve">The creation of new legal instruments suggests </w:t>
      </w:r>
      <w:r w:rsidR="00EB62F4">
        <w:t xml:space="preserve">in the meantime </w:t>
      </w:r>
      <w:r w:rsidR="005D793D" w:rsidRPr="00722378">
        <w:t>the raise of awareness</w:t>
      </w:r>
      <w:r w:rsidR="001D67D4" w:rsidRPr="00722378">
        <w:t xml:space="preserve"> among the EU</w:t>
      </w:r>
      <w:r w:rsidR="000562E7">
        <w:t xml:space="preserve"> </w:t>
      </w:r>
      <w:r w:rsidR="001D67D4" w:rsidRPr="00722378">
        <w:t>institutions to acquire an effective enforcement mechanism of the rule of law</w:t>
      </w:r>
      <w:r w:rsidR="005D793D" w:rsidRPr="00722378">
        <w:t xml:space="preserve">. This is the first step towards the effective enforcement of the compliance with the rule of law by the Member States. </w:t>
      </w:r>
      <w:r w:rsidR="00EB439B" w:rsidRPr="00722378">
        <w:t>I</w:t>
      </w:r>
      <w:r w:rsidR="008A7BD9" w:rsidRPr="00722378">
        <w:t xml:space="preserve">t is necessary </w:t>
      </w:r>
      <w:r w:rsidR="00F05783" w:rsidRPr="00722378">
        <w:t>to</w:t>
      </w:r>
      <w:r w:rsidR="008A7BD9" w:rsidRPr="00722378">
        <w:t xml:space="preserve"> focus on what the rule of law is and how the rule of law can be enforced</w:t>
      </w:r>
      <w:r w:rsidR="004E297E" w:rsidRPr="00722378">
        <w:t xml:space="preserve"> before the rule of law is infringed</w:t>
      </w:r>
      <w:r w:rsidR="008A7BD9" w:rsidRPr="00722378">
        <w:t xml:space="preserve">. </w:t>
      </w:r>
      <w:r w:rsidR="001D67D4" w:rsidRPr="00722378">
        <w:t xml:space="preserve">It is the degree of rule of law compliance that potentially causes problems, as it requires a case-by-case assessment. The relevant facts have to be analysed in order to determine whether a specific component of the rule of law has been breached. </w:t>
      </w:r>
      <w:r w:rsidR="00EB77B4" w:rsidRPr="00722378">
        <w:t xml:space="preserve">An effective enforcement of the rule of law compliance therefore requires a comprehensive and periodic monitoring mechanism, comparable to the CVM. Further, the Rule of Law </w:t>
      </w:r>
      <w:r w:rsidR="00EB77B4" w:rsidRPr="00722378">
        <w:lastRenderedPageBreak/>
        <w:t>Framework should mark clear indicators which warrant its activation, establishing legal certainty for the Member States. Member State will be aware of the fact that they are monitored on a regular basis</w:t>
      </w:r>
      <w:r w:rsidR="00EB439B" w:rsidRPr="00722378">
        <w:t>.</w:t>
      </w:r>
      <w:r w:rsidR="00EB77B4" w:rsidRPr="00722378">
        <w:t xml:space="preserve"> Moreover, they know what actions will lead to a reaction of the </w:t>
      </w:r>
      <w:r w:rsidR="00EB62F4">
        <w:t>EU.</w:t>
      </w:r>
    </w:p>
    <w:p w14:paraId="416F3C0C" w14:textId="545C85F1" w:rsidR="00D728F2" w:rsidRPr="00722378" w:rsidRDefault="00EB77B4" w:rsidP="00E1261F">
      <w:r w:rsidRPr="00722378">
        <w:t>Furthermore</w:t>
      </w:r>
      <w:r w:rsidR="00923BAB" w:rsidRPr="00722378">
        <w:t xml:space="preserve">, it is not clear how all </w:t>
      </w:r>
      <w:r w:rsidR="00D728F2" w:rsidRPr="00722378">
        <w:t>the various legal instruments to enforce the compliance of the rule of law</w:t>
      </w:r>
      <w:r w:rsidR="00923BAB" w:rsidRPr="00722378">
        <w:t xml:space="preserve"> </w:t>
      </w:r>
      <w:r w:rsidR="00AB5018" w:rsidRPr="00722378">
        <w:t>relate to each other</w:t>
      </w:r>
      <w:r w:rsidR="00923BAB" w:rsidRPr="00722378">
        <w:t xml:space="preserve">. </w:t>
      </w:r>
      <w:r w:rsidR="00D728F2" w:rsidRPr="00722378">
        <w:t>There is Article 7 TEU, Article 258 TFEU, the CVM, the Comm</w:t>
      </w:r>
      <w:r w:rsidR="00EB62F4">
        <w:t>ission’s Rule of Law Framework and the Council’s Rule of Law Dialogue</w:t>
      </w:r>
      <w:r w:rsidR="00D728F2" w:rsidRPr="00722378">
        <w:t xml:space="preserve">. </w:t>
      </w:r>
      <w:r w:rsidR="00AB5018" w:rsidRPr="00722378">
        <w:t>EU’s existing legal framework has been developed into a ‘toolbox’ packed</w:t>
      </w:r>
      <w:r w:rsidR="00D728F2" w:rsidRPr="00722378">
        <w:t xml:space="preserve"> – or does one have to say overloaded – with</w:t>
      </w:r>
      <w:r w:rsidR="00AB5018" w:rsidRPr="00722378">
        <w:t xml:space="preserve"> enforcement equipment. There is no coherence</w:t>
      </w:r>
      <w:r w:rsidR="00D728F2" w:rsidRPr="00722378">
        <w:t xml:space="preserve"> among the various instruments</w:t>
      </w:r>
      <w:r w:rsidR="00AB5018" w:rsidRPr="00722378">
        <w:t xml:space="preserve">, nor any form of coordination </w:t>
      </w:r>
      <w:r w:rsidR="00923BAB" w:rsidRPr="00722378">
        <w:t xml:space="preserve">between the various </w:t>
      </w:r>
      <w:r w:rsidR="00D728F2" w:rsidRPr="00722378">
        <w:t>EU</w:t>
      </w:r>
      <w:r w:rsidR="000562E7">
        <w:t xml:space="preserve"> </w:t>
      </w:r>
      <w:r w:rsidR="00D728F2" w:rsidRPr="00722378">
        <w:t>institutions</w:t>
      </w:r>
      <w:r w:rsidR="00AB5018" w:rsidRPr="00722378">
        <w:t xml:space="preserve"> </w:t>
      </w:r>
      <w:r w:rsidR="00D728F2" w:rsidRPr="00722378">
        <w:t xml:space="preserve">responsible for activating the instruments. </w:t>
      </w:r>
      <w:r w:rsidR="00923BAB" w:rsidRPr="00722378">
        <w:t xml:space="preserve">This </w:t>
      </w:r>
      <w:r w:rsidR="00D728F2" w:rsidRPr="00722378">
        <w:t>lead</w:t>
      </w:r>
      <w:r w:rsidRPr="00722378">
        <w:t xml:space="preserve">s </w:t>
      </w:r>
      <w:r w:rsidR="00923BAB" w:rsidRPr="00722378">
        <w:t xml:space="preserve">to </w:t>
      </w:r>
      <w:r w:rsidRPr="00722378">
        <w:t xml:space="preserve">unnecessary </w:t>
      </w:r>
      <w:r w:rsidR="00923BAB" w:rsidRPr="00722378">
        <w:t>discussions between the various EU</w:t>
      </w:r>
      <w:r w:rsidR="000562E7">
        <w:t xml:space="preserve"> </w:t>
      </w:r>
      <w:r w:rsidR="00923BAB" w:rsidRPr="00722378">
        <w:t xml:space="preserve">institutions and </w:t>
      </w:r>
      <w:r w:rsidR="00D728F2" w:rsidRPr="00722378">
        <w:t xml:space="preserve">consequently to </w:t>
      </w:r>
      <w:r w:rsidR="00923BAB" w:rsidRPr="00722378">
        <w:t>uncertainties whether</w:t>
      </w:r>
      <w:r w:rsidR="00D728F2" w:rsidRPr="00722378">
        <w:t xml:space="preserve"> or not</w:t>
      </w:r>
      <w:r w:rsidR="00923BAB" w:rsidRPr="00722378">
        <w:t xml:space="preserve"> the EU is going to act against non-complying Member States, </w:t>
      </w:r>
      <w:r w:rsidRPr="00722378">
        <w:t xml:space="preserve">ultimately </w:t>
      </w:r>
      <w:r w:rsidR="00923BAB" w:rsidRPr="00722378">
        <w:t xml:space="preserve">bringing the existence of the EU in danger. </w:t>
      </w:r>
    </w:p>
    <w:p w14:paraId="212C47B2" w14:textId="497587F2" w:rsidR="00EC58B0" w:rsidRDefault="00EB62F4" w:rsidP="00E1261F">
      <w:r>
        <w:t xml:space="preserve">Hence, the proposal of the Parliament to create a DRF Pact seems an opportune improvement. The original idea to have a permanent monitoring mechanism in order to observe the rule of law compliance of the Member States on a stable and continuous basis is the first well-needed step in rule of law enforcement. Coordination and cooperation </w:t>
      </w:r>
      <w:r w:rsidR="00FE04B2">
        <w:t>–</w:t>
      </w:r>
      <w:r>
        <w:t xml:space="preserve"> the ultimate aim of the DRF Pact</w:t>
      </w:r>
      <w:r w:rsidR="00FE04B2">
        <w:t xml:space="preserve"> –</w:t>
      </w:r>
      <w:r>
        <w:t xml:space="preserve"> is the next necessary requirement in the process of rule of law enforcement. </w:t>
      </w:r>
      <w:r w:rsidR="00EC58B0">
        <w:t>It will ensure the maintenance of order in a legal framework that up until today creates disorder.</w:t>
      </w:r>
      <w:r>
        <w:t xml:space="preserve"> </w:t>
      </w:r>
    </w:p>
    <w:p w14:paraId="635F75B8" w14:textId="3AC73482" w:rsidR="00B94BDC" w:rsidRPr="00722378" w:rsidRDefault="009A070F" w:rsidP="00E1261F">
      <w:r w:rsidRPr="00722378">
        <w:t>Accordingly, t</w:t>
      </w:r>
      <w:r w:rsidR="00F27664" w:rsidRPr="00722378">
        <w:t xml:space="preserve">he existence of </w:t>
      </w:r>
      <w:r w:rsidR="000B1D18" w:rsidRPr="00722378">
        <w:t>systemic compliance deficiencies in some Member States</w:t>
      </w:r>
      <w:r w:rsidR="006D5D13" w:rsidRPr="00722378">
        <w:t xml:space="preserve"> and the proliferation of </w:t>
      </w:r>
      <w:r w:rsidR="00626AC9" w:rsidRPr="00722378">
        <w:t xml:space="preserve">enforcement mechanisms </w:t>
      </w:r>
      <w:r w:rsidR="00F23BFE" w:rsidRPr="00722378">
        <w:t xml:space="preserve">over the recent years </w:t>
      </w:r>
      <w:r w:rsidR="00626AC9" w:rsidRPr="00722378">
        <w:t>emphasise</w:t>
      </w:r>
      <w:r w:rsidR="00F27664" w:rsidRPr="00722378">
        <w:t xml:space="preserve"> EU’s failure to enforce the compliance of the values</w:t>
      </w:r>
      <w:r w:rsidR="00D728F2" w:rsidRPr="00722378">
        <w:t xml:space="preserve"> nowadays</w:t>
      </w:r>
      <w:r w:rsidR="00F27664" w:rsidRPr="00722378">
        <w:t xml:space="preserve">. </w:t>
      </w:r>
      <w:r w:rsidR="003A2898" w:rsidRPr="00722378">
        <w:t xml:space="preserve">If the values enshrined in Article 2 TEU mean anything, the EU has to take a firm stance and stop </w:t>
      </w:r>
      <w:r w:rsidR="00B931D6" w:rsidRPr="00722378">
        <w:t xml:space="preserve">the </w:t>
      </w:r>
      <w:r w:rsidR="003A2898" w:rsidRPr="00722378">
        <w:t>rule of law backsliding by its Member States.</w:t>
      </w:r>
    </w:p>
    <w:sectPr w:rsidR="00B94BDC" w:rsidRPr="00722378" w:rsidSect="00133C2A">
      <w:headerReference w:type="default" r:id="rId12"/>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66AF9" w14:textId="77777777" w:rsidR="000562E7" w:rsidRDefault="000562E7" w:rsidP="00B94BDC">
      <w:pPr>
        <w:spacing w:line="240" w:lineRule="auto"/>
      </w:pPr>
      <w:r>
        <w:separator/>
      </w:r>
    </w:p>
  </w:endnote>
  <w:endnote w:type="continuationSeparator" w:id="0">
    <w:p w14:paraId="5DEFDBC1" w14:textId="77777777" w:rsidR="000562E7" w:rsidRDefault="000562E7" w:rsidP="00B94B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egoe UI">
    <w:altName w:val="Arial"/>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font>
  <w:font w:name="Arial,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24480" w14:textId="77777777" w:rsidR="000562E7" w:rsidRDefault="000562E7" w:rsidP="00B9002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AD7BB7C" w14:textId="77777777" w:rsidR="000562E7" w:rsidRDefault="000562E7" w:rsidP="00B90020">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AA449" w14:textId="05C12599" w:rsidR="000562E7" w:rsidRPr="00722378" w:rsidRDefault="000562E7" w:rsidP="00B90020">
    <w:pPr>
      <w:pStyle w:val="Voettekst"/>
      <w:framePr w:wrap="around" w:vAnchor="text" w:hAnchor="margin" w:xAlign="right" w:y="1"/>
      <w:rPr>
        <w:rStyle w:val="Paginanummer"/>
      </w:rPr>
    </w:pPr>
    <w:r w:rsidRPr="00722378">
      <w:rPr>
        <w:rStyle w:val="Paginanummer"/>
      </w:rPr>
      <w:fldChar w:fldCharType="begin"/>
    </w:r>
    <w:r w:rsidRPr="00722378">
      <w:rPr>
        <w:rStyle w:val="Paginanummer"/>
      </w:rPr>
      <w:instrText xml:space="preserve">PAGE  </w:instrText>
    </w:r>
    <w:r w:rsidRPr="00722378">
      <w:rPr>
        <w:rStyle w:val="Paginanummer"/>
      </w:rPr>
      <w:fldChar w:fldCharType="separate"/>
    </w:r>
    <w:r w:rsidR="00E046A8">
      <w:rPr>
        <w:rStyle w:val="Paginanummer"/>
        <w:noProof/>
      </w:rPr>
      <w:t>2</w:t>
    </w:r>
    <w:r w:rsidRPr="00722378">
      <w:rPr>
        <w:rStyle w:val="Paginanummer"/>
      </w:rPr>
      <w:fldChar w:fldCharType="end"/>
    </w:r>
  </w:p>
  <w:p w14:paraId="2CF7D1C0" w14:textId="77777777" w:rsidR="000562E7" w:rsidRPr="00722378" w:rsidRDefault="000562E7" w:rsidP="00B90020">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3FA1F" w14:textId="77777777" w:rsidR="000562E7" w:rsidRDefault="000562E7" w:rsidP="00B94BDC">
      <w:pPr>
        <w:spacing w:line="240" w:lineRule="auto"/>
      </w:pPr>
      <w:r>
        <w:separator/>
      </w:r>
    </w:p>
  </w:footnote>
  <w:footnote w:type="continuationSeparator" w:id="0">
    <w:p w14:paraId="774E0820" w14:textId="77777777" w:rsidR="000562E7" w:rsidRDefault="000562E7" w:rsidP="00B94BDC">
      <w:pPr>
        <w:spacing w:line="240" w:lineRule="auto"/>
      </w:pPr>
      <w:r>
        <w:continuationSeparator/>
      </w:r>
    </w:p>
  </w:footnote>
  <w:footnote w:id="1">
    <w:p w14:paraId="70626791" w14:textId="61E0571B" w:rsidR="000562E7" w:rsidRPr="00722378" w:rsidRDefault="000562E7" w:rsidP="00722378">
      <w:pPr>
        <w:pStyle w:val="1Voetnoot"/>
      </w:pPr>
      <w:r w:rsidRPr="00722378">
        <w:rPr>
          <w:rStyle w:val="Voetnootmarkering"/>
          <w:vertAlign w:val="baseline"/>
        </w:rPr>
        <w:footnoteRef/>
      </w:r>
      <w:r w:rsidRPr="00722378">
        <w:t xml:space="preserve"> V. </w:t>
      </w:r>
      <w:r w:rsidRPr="00722378">
        <w:rPr>
          <w:smallCaps/>
        </w:rPr>
        <w:t>Helgesen</w:t>
      </w:r>
      <w:r w:rsidRPr="00722378">
        <w:t xml:space="preserve">, “Hungary’s journey back into the past”, Financial times 28 August 2014, available at </w:t>
      </w:r>
      <w:hyperlink r:id="rId1" w:history="1">
        <w:r w:rsidRPr="00722378">
          <w:rPr>
            <w:rStyle w:val="Hyperlink"/>
            <w:color w:val="auto"/>
            <w:u w:val="none"/>
          </w:rPr>
          <w:t>https://www.ft.com/content/2234f99a-2942-11e4-8b81-00144feabdc0</w:t>
        </w:r>
      </w:hyperlink>
      <w:r w:rsidRPr="00722378">
        <w:t xml:space="preserve">. </w:t>
      </w:r>
    </w:p>
  </w:footnote>
  <w:footnote w:id="2">
    <w:p w14:paraId="0A2C194B" w14:textId="77777777" w:rsidR="000562E7" w:rsidRPr="00722378" w:rsidRDefault="000562E7" w:rsidP="00722378">
      <w:pPr>
        <w:pStyle w:val="1Voetnoot"/>
      </w:pPr>
      <w:r w:rsidRPr="00722378">
        <w:rPr>
          <w:rStyle w:val="Voetnootmarkering"/>
          <w:vertAlign w:val="baseline"/>
        </w:rPr>
        <w:footnoteRef/>
      </w:r>
      <w:r w:rsidRPr="00722378">
        <w:t xml:space="preserve"> </w:t>
      </w:r>
      <w:r w:rsidRPr="00722378">
        <w:rPr>
          <w:rStyle w:val="VoetnootChar"/>
          <w:rFonts w:asciiTheme="majorHAnsi" w:hAnsiTheme="majorHAnsi"/>
          <w:lang w:val="en-GB"/>
        </w:rPr>
        <w:t xml:space="preserve">D. </w:t>
      </w:r>
      <w:r w:rsidRPr="00722378">
        <w:rPr>
          <w:rStyle w:val="VoetnootChar"/>
          <w:rFonts w:asciiTheme="majorHAnsi" w:hAnsiTheme="majorHAnsi"/>
          <w:smallCaps/>
          <w:lang w:val="en-GB"/>
        </w:rPr>
        <w:t>Kochenov</w:t>
      </w:r>
      <w:r w:rsidRPr="00722378">
        <w:rPr>
          <w:rStyle w:val="VoetnootChar"/>
          <w:rFonts w:asciiTheme="majorHAnsi" w:hAnsiTheme="majorHAnsi"/>
          <w:lang w:val="en-GB"/>
        </w:rPr>
        <w:t xml:space="preserve">, “Europe’s Crisis of Values”, University of Groningen Faculty of Law Research Paper Series 2014, no. 15, 4; and A. </w:t>
      </w:r>
      <w:r w:rsidRPr="00722378">
        <w:rPr>
          <w:rStyle w:val="VoetnootChar"/>
          <w:rFonts w:asciiTheme="majorHAnsi" w:hAnsiTheme="majorHAnsi"/>
          <w:smallCaps/>
          <w:lang w:val="en-GB"/>
        </w:rPr>
        <w:t>Von</w:t>
      </w:r>
      <w:r w:rsidRPr="00722378">
        <w:rPr>
          <w:rStyle w:val="VoetnootChar"/>
          <w:rFonts w:asciiTheme="majorHAnsi" w:hAnsiTheme="majorHAnsi"/>
          <w:lang w:val="en-GB"/>
        </w:rPr>
        <w:t xml:space="preserve"> </w:t>
      </w:r>
      <w:r w:rsidRPr="00722378">
        <w:rPr>
          <w:rStyle w:val="VoetnootChar"/>
          <w:rFonts w:asciiTheme="majorHAnsi" w:hAnsiTheme="majorHAnsi"/>
          <w:smallCaps/>
          <w:lang w:val="en-GB"/>
        </w:rPr>
        <w:t>Bogdandy</w:t>
      </w:r>
      <w:r w:rsidRPr="00722378">
        <w:rPr>
          <w:rStyle w:val="VoetnootChar"/>
          <w:rFonts w:asciiTheme="majorHAnsi" w:hAnsiTheme="majorHAnsi"/>
          <w:lang w:val="en-GB"/>
        </w:rPr>
        <w:t xml:space="preserve">, M. </w:t>
      </w:r>
      <w:r w:rsidRPr="00722378">
        <w:rPr>
          <w:rStyle w:val="VoetnootChar"/>
          <w:rFonts w:asciiTheme="majorHAnsi" w:hAnsiTheme="majorHAnsi"/>
          <w:smallCaps/>
          <w:lang w:val="en-GB"/>
        </w:rPr>
        <w:t>Kottmann</w:t>
      </w:r>
      <w:r w:rsidRPr="00722378">
        <w:rPr>
          <w:rStyle w:val="VoetnootChar"/>
          <w:rFonts w:asciiTheme="majorHAnsi" w:hAnsiTheme="majorHAnsi"/>
          <w:lang w:val="en-GB"/>
        </w:rPr>
        <w:t xml:space="preserve">, C. </w:t>
      </w:r>
      <w:r w:rsidRPr="00722378">
        <w:rPr>
          <w:rStyle w:val="VoetnootChar"/>
          <w:rFonts w:asciiTheme="majorHAnsi" w:hAnsiTheme="majorHAnsi"/>
          <w:smallCaps/>
          <w:lang w:val="en-GB"/>
        </w:rPr>
        <w:t>Antpöhler</w:t>
      </w:r>
      <w:r w:rsidRPr="00722378">
        <w:rPr>
          <w:rStyle w:val="VoetnootChar"/>
          <w:rFonts w:asciiTheme="majorHAnsi" w:hAnsiTheme="majorHAnsi"/>
          <w:lang w:val="en-GB"/>
        </w:rPr>
        <w:t xml:space="preserve">, J. </w:t>
      </w:r>
      <w:r w:rsidRPr="00722378">
        <w:rPr>
          <w:rStyle w:val="VoetnootChar"/>
          <w:rFonts w:asciiTheme="majorHAnsi" w:hAnsiTheme="majorHAnsi"/>
          <w:smallCaps/>
          <w:lang w:val="en-GB"/>
        </w:rPr>
        <w:t>Dickschen</w:t>
      </w:r>
      <w:r w:rsidRPr="00722378">
        <w:rPr>
          <w:rStyle w:val="VoetnootChar"/>
          <w:rFonts w:asciiTheme="majorHAnsi" w:hAnsiTheme="majorHAnsi"/>
          <w:lang w:val="en-GB"/>
        </w:rPr>
        <w:t xml:space="preserve">, S. </w:t>
      </w:r>
      <w:r w:rsidRPr="00722378">
        <w:rPr>
          <w:rStyle w:val="VoetnootChar"/>
          <w:rFonts w:asciiTheme="majorHAnsi" w:hAnsiTheme="majorHAnsi"/>
          <w:smallCaps/>
          <w:lang w:val="en-GB"/>
        </w:rPr>
        <w:t>Hentrei</w:t>
      </w:r>
      <w:r w:rsidRPr="00722378">
        <w:rPr>
          <w:rStyle w:val="VoetnootChar"/>
          <w:rFonts w:asciiTheme="majorHAnsi" w:hAnsiTheme="majorHAnsi"/>
          <w:lang w:val="en-GB"/>
        </w:rPr>
        <w:t xml:space="preserve"> and M. </w:t>
      </w:r>
      <w:r w:rsidRPr="00722378">
        <w:rPr>
          <w:rStyle w:val="VoetnootChar"/>
          <w:rFonts w:asciiTheme="majorHAnsi" w:hAnsiTheme="majorHAnsi"/>
          <w:smallCaps/>
          <w:lang w:val="en-GB"/>
        </w:rPr>
        <w:t>Smrkolj</w:t>
      </w:r>
      <w:r w:rsidRPr="00722378">
        <w:rPr>
          <w:rStyle w:val="VoetnootChar"/>
          <w:rFonts w:asciiTheme="majorHAnsi" w:hAnsiTheme="majorHAnsi"/>
          <w:lang w:val="en-GB"/>
        </w:rPr>
        <w:t>, “Reverse Solange – Protecting the essence of fundamental rights against EU Member States”, Common Market Law Review 2012, no. 49, (489) 490.</w:t>
      </w:r>
    </w:p>
  </w:footnote>
  <w:footnote w:id="3">
    <w:p w14:paraId="58D31036" w14:textId="77777777" w:rsidR="000562E7" w:rsidRPr="00722378" w:rsidRDefault="000562E7" w:rsidP="00722378">
      <w:pPr>
        <w:pStyle w:val="1Voetnoot"/>
      </w:pPr>
      <w:r w:rsidRPr="00722378">
        <w:rPr>
          <w:rStyle w:val="Voetnootmarkering"/>
          <w:vertAlign w:val="baseline"/>
        </w:rPr>
        <w:footnoteRef/>
      </w:r>
      <w:r w:rsidRPr="00722378">
        <w:t xml:space="preserve"> </w:t>
      </w:r>
      <w:r w:rsidRPr="00722378">
        <w:rPr>
          <w:rStyle w:val="VoetnootChar"/>
          <w:rFonts w:asciiTheme="majorHAnsi" w:hAnsiTheme="majorHAnsi"/>
          <w:lang w:val="en-GB"/>
        </w:rPr>
        <w:t xml:space="preserve">D. </w:t>
      </w:r>
      <w:r w:rsidRPr="00722378">
        <w:rPr>
          <w:rStyle w:val="VoetnootChar"/>
          <w:rFonts w:asciiTheme="majorHAnsi" w:hAnsiTheme="majorHAnsi"/>
          <w:smallCaps/>
          <w:lang w:val="en-GB"/>
        </w:rPr>
        <w:t>Kochenov</w:t>
      </w:r>
      <w:r w:rsidRPr="00722378">
        <w:rPr>
          <w:rStyle w:val="VoetnootChar"/>
          <w:rFonts w:asciiTheme="majorHAnsi" w:hAnsiTheme="majorHAnsi"/>
          <w:lang w:val="en-GB"/>
        </w:rPr>
        <w:t>, “Europe’s Crisis of Values”, University of Groningen Faculty of Law Research Paper Series 2014, no. 15, 4.</w:t>
      </w:r>
    </w:p>
  </w:footnote>
  <w:footnote w:id="4">
    <w:p w14:paraId="3421C9C6" w14:textId="77777777" w:rsidR="000562E7" w:rsidRPr="00722378" w:rsidRDefault="000562E7" w:rsidP="00722378">
      <w:pPr>
        <w:pStyle w:val="1Voetnoot"/>
      </w:pPr>
      <w:r w:rsidRPr="00722378">
        <w:rPr>
          <w:rStyle w:val="Voetnootmarkering"/>
          <w:vertAlign w:val="baseline"/>
        </w:rPr>
        <w:footnoteRef/>
      </w:r>
      <w:r w:rsidRPr="00722378">
        <w:t xml:space="preserve"> Communication from the Commission to the European Parliament and the Council on a new EU Framework to strengthen the Rule of Law , COM(2014)158 final/2, 19 March 2014, 1.</w:t>
      </w:r>
    </w:p>
  </w:footnote>
  <w:footnote w:id="5">
    <w:p w14:paraId="728F5773" w14:textId="7EE89BF9" w:rsidR="000562E7" w:rsidRPr="009A7D34" w:rsidRDefault="000562E7" w:rsidP="009A7D34">
      <w:pPr>
        <w:pStyle w:val="1Voetnoot"/>
      </w:pPr>
      <w:r>
        <w:rPr>
          <w:rStyle w:val="Voetnootmarkering"/>
        </w:rPr>
        <w:footnoteRef/>
      </w:r>
      <w:r>
        <w:t xml:space="preserve"> For a detailed overview and assessment of the original mechanisms to enforce the rule of law, see among others: C. </w:t>
      </w:r>
      <w:r w:rsidRPr="009A7D34">
        <w:rPr>
          <w:smallCaps/>
        </w:rPr>
        <w:t>Closa</w:t>
      </w:r>
      <w:r>
        <w:t xml:space="preserve"> and D. </w:t>
      </w:r>
      <w:r w:rsidRPr="009A7D34">
        <w:rPr>
          <w:smallCaps/>
        </w:rPr>
        <w:t>Kochenov</w:t>
      </w:r>
      <w:r>
        <w:t xml:space="preserve"> (eds.), </w:t>
      </w:r>
      <w:r>
        <w:rPr>
          <w:i/>
        </w:rPr>
        <w:t>Reinforcing Rule of Law Oversight in the European Union</w:t>
      </w:r>
      <w:r>
        <w:t xml:space="preserve">, Cambridge University Press, Cambridge, 2016, XVI + 339; W. </w:t>
      </w:r>
      <w:r w:rsidRPr="009A7D34">
        <w:rPr>
          <w:smallCaps/>
        </w:rPr>
        <w:t>Schroeder</w:t>
      </w:r>
      <w:r>
        <w:t xml:space="preserve"> (ed.), </w:t>
      </w:r>
      <w:r>
        <w:rPr>
          <w:i/>
        </w:rPr>
        <w:t xml:space="preserve">Strengthening the Rule of Law in Europe, from a common concept to mechanisms of </w:t>
      </w:r>
      <w:r w:rsidRPr="009A7D34">
        <w:rPr>
          <w:i/>
        </w:rPr>
        <w:t>implementation</w:t>
      </w:r>
      <w:r>
        <w:t>, Hart Publishing, Portland, 2016, XIV + 299;</w:t>
      </w:r>
      <w:r>
        <w:rPr>
          <w:i/>
        </w:rPr>
        <w:t xml:space="preserve"> </w:t>
      </w:r>
      <w:r w:rsidRPr="009A7D34">
        <w:rPr>
          <w:i/>
        </w:rPr>
        <w:t>G</w:t>
      </w:r>
      <w:r>
        <w:t>. B</w:t>
      </w:r>
      <w:r w:rsidRPr="009A7D34">
        <w:t>UDO, "EU Common values at stake: is article 7 TEU an effective protection</w:t>
      </w:r>
      <w:r>
        <w:t xml:space="preserve"> </w:t>
      </w:r>
      <w:r w:rsidRPr="009A7D34">
        <w:t xml:space="preserve">mechanism?", </w:t>
      </w:r>
      <w:r w:rsidRPr="009A7D34">
        <w:rPr>
          <w:i/>
          <w:iCs/>
        </w:rPr>
        <w:t xml:space="preserve">CIDOB documents </w:t>
      </w:r>
      <w:r w:rsidRPr="009A7D34">
        <w:t>May 2014, 1-14</w:t>
      </w:r>
      <w:r>
        <w:t>; C.</w:t>
      </w:r>
      <w:r w:rsidRPr="009A7D34">
        <w:rPr>
          <w:rFonts w:ascii="TimesNewRomanPSMT" w:eastAsiaTheme="minorHAnsi" w:hAnsi="TimesNewRomanPSMT" w:cs="TimesNewRomanPSMT"/>
          <w:sz w:val="24"/>
          <w:szCs w:val="24"/>
          <w:lang w:eastAsia="en-US"/>
        </w:rPr>
        <w:t xml:space="preserve"> </w:t>
      </w:r>
      <w:r w:rsidRPr="009A7D34">
        <w:t xml:space="preserve">CLOSA, </w:t>
      </w:r>
      <w:r>
        <w:t>D.</w:t>
      </w:r>
      <w:r w:rsidRPr="009A7D34">
        <w:t xml:space="preserve"> KOCHENOV</w:t>
      </w:r>
      <w:r>
        <w:t xml:space="preserve"> </w:t>
      </w:r>
      <w:r w:rsidRPr="009A7D34">
        <w:t xml:space="preserve">and </w:t>
      </w:r>
      <w:r>
        <w:t xml:space="preserve">J.H.H. </w:t>
      </w:r>
      <w:r w:rsidRPr="009A7D34">
        <w:t>WEILER, "Reinforcing rule of law oversight in the</w:t>
      </w:r>
    </w:p>
    <w:p w14:paraId="7AE31FC8" w14:textId="4CE6DE60" w:rsidR="000562E7" w:rsidRPr="00D01D0F" w:rsidRDefault="000562E7" w:rsidP="009A7D34">
      <w:pPr>
        <w:pStyle w:val="1Voetnoot"/>
      </w:pPr>
      <w:r w:rsidRPr="009A7D34">
        <w:t xml:space="preserve">European Union", </w:t>
      </w:r>
      <w:r w:rsidRPr="009A7D34">
        <w:rPr>
          <w:i/>
          <w:iCs/>
        </w:rPr>
        <w:t xml:space="preserve">EUI Working Paper RSCAS </w:t>
      </w:r>
      <w:r>
        <w:t xml:space="preserve">2014, 1-33; J-W. </w:t>
      </w:r>
      <w:r w:rsidRPr="00D01D0F">
        <w:t>MÜLLER, "Safeguarding democracy inside the EU – Brussels and the future of liberal</w:t>
      </w:r>
      <w:r>
        <w:t xml:space="preserve"> </w:t>
      </w:r>
      <w:r w:rsidRPr="00D01D0F">
        <w:t xml:space="preserve">order", </w:t>
      </w:r>
      <w:r w:rsidRPr="00D01D0F">
        <w:rPr>
          <w:i/>
          <w:iCs/>
        </w:rPr>
        <w:t xml:space="preserve">Transatlantic Academy Paper Series </w:t>
      </w:r>
      <w:r w:rsidRPr="00D01D0F">
        <w:t>2012-2013, no. 3, 1-2</w:t>
      </w:r>
      <w:r>
        <w:t>7.</w:t>
      </w:r>
    </w:p>
  </w:footnote>
  <w:footnote w:id="6">
    <w:p w14:paraId="0F4688D3" w14:textId="6ABC1474" w:rsidR="000562E7" w:rsidRPr="00536BB2" w:rsidRDefault="000562E7" w:rsidP="00722378">
      <w:pPr>
        <w:pStyle w:val="1Voetnoot"/>
      </w:pPr>
      <w:r>
        <w:rPr>
          <w:rStyle w:val="Voetnootmarkering"/>
        </w:rPr>
        <w:footnoteRef/>
      </w:r>
      <w:r>
        <w:t xml:space="preserve"> D. </w:t>
      </w:r>
      <w:r w:rsidRPr="00536BB2">
        <w:rPr>
          <w:smallCaps/>
        </w:rPr>
        <w:t>Kochenov</w:t>
      </w:r>
      <w:r>
        <w:t xml:space="preserve">, A. </w:t>
      </w:r>
      <w:r w:rsidRPr="00536BB2">
        <w:rPr>
          <w:smallCaps/>
        </w:rPr>
        <w:t>Magen</w:t>
      </w:r>
      <w:r>
        <w:t xml:space="preserve"> and L. </w:t>
      </w:r>
      <w:r w:rsidRPr="00536BB2">
        <w:rPr>
          <w:smallCaps/>
        </w:rPr>
        <w:t>Pech</w:t>
      </w:r>
      <w:r>
        <w:t xml:space="preserve">, “Introduction: the great Rule of Law debate”, </w:t>
      </w:r>
      <w:r>
        <w:rPr>
          <w:i/>
        </w:rPr>
        <w:t>Journal of Common Market Studies</w:t>
      </w:r>
      <w:r>
        <w:t xml:space="preserve"> 2016, (1) 4.</w:t>
      </w:r>
    </w:p>
  </w:footnote>
  <w:footnote w:id="7">
    <w:p w14:paraId="045DBCCE" w14:textId="77777777" w:rsidR="000562E7" w:rsidRPr="00536A0F" w:rsidRDefault="000562E7" w:rsidP="00094B77">
      <w:pPr>
        <w:pStyle w:val="1Voetnoot"/>
      </w:pPr>
      <w:r w:rsidRPr="00536A0F">
        <w:rPr>
          <w:rStyle w:val="Voetnootmarkering"/>
        </w:rPr>
        <w:footnoteRef/>
      </w:r>
      <w:r w:rsidRPr="00536A0F">
        <w:t xml:space="preserve"> </w:t>
      </w:r>
      <w:r w:rsidRPr="00536A0F">
        <w:rPr>
          <w:smallCaps/>
        </w:rPr>
        <w:t>T. Boros</w:t>
      </w:r>
      <w:r w:rsidRPr="00536A0F">
        <w:t xml:space="preserve">, </w:t>
      </w:r>
      <w:r>
        <w:t>“</w:t>
      </w:r>
      <w:r w:rsidRPr="00536A0F">
        <w:t>Constitutional amendments in Hungary: The Government</w:t>
      </w:r>
      <w:r>
        <w:t>’</w:t>
      </w:r>
      <w:r w:rsidRPr="00536A0F">
        <w:t>s struggle against the Constitutional Court</w:t>
      </w:r>
      <w:r>
        <w:t>”</w:t>
      </w:r>
      <w:r w:rsidRPr="00536A0F">
        <w:t xml:space="preserve">, </w:t>
      </w:r>
      <w:r w:rsidRPr="00536A0F">
        <w:rPr>
          <w:i/>
        </w:rPr>
        <w:t>Friedrich Ebert Stiftung Büro Budapest</w:t>
      </w:r>
      <w:r w:rsidRPr="00536A0F">
        <w:rPr>
          <w:rFonts w:ascii="TimesNewRoman,Bold" w:hAnsi="TimesNewRoman,Bold"/>
          <w:sz w:val="28"/>
          <w:szCs w:val="28"/>
        </w:rPr>
        <w:t xml:space="preserve"> </w:t>
      </w:r>
      <w:r w:rsidRPr="00536A0F">
        <w:t>February 2013.</w:t>
      </w:r>
    </w:p>
  </w:footnote>
  <w:footnote w:id="8">
    <w:p w14:paraId="53B16147" w14:textId="77777777" w:rsidR="000562E7" w:rsidRPr="006018E7" w:rsidRDefault="000562E7" w:rsidP="00094B77">
      <w:pPr>
        <w:pStyle w:val="1Voetnoot"/>
      </w:pPr>
      <w:r w:rsidRPr="006018E7">
        <w:rPr>
          <w:rStyle w:val="Voetnootmarkering"/>
        </w:rPr>
        <w:footnoteRef/>
      </w:r>
      <w:r w:rsidRPr="006018E7">
        <w:t xml:space="preserve"> European Commission for Democracy through law (Venice Commission), Opinion on Act CLXII of 2011 on the legal status and remuneration of judges and Act CLXI of 2011 on the organisation and administration of Courts of Hungary, CDL-AD(2012)001, Strasbourg, 19 March 2012, </w:t>
      </w:r>
      <w:r>
        <w:t xml:space="preserve">available at: </w:t>
      </w:r>
      <w:hyperlink r:id="rId2" w:history="1">
        <w:r w:rsidRPr="006018E7">
          <w:rPr>
            <w:rStyle w:val="Hyperlink"/>
          </w:rPr>
          <w:t>http://www.venice.coe.int/webforms/documents/?pdf=CDL-AD(2012)001-e</w:t>
        </w:r>
      </w:hyperlink>
      <w:r>
        <w:t>.</w:t>
      </w:r>
    </w:p>
  </w:footnote>
  <w:footnote w:id="9">
    <w:p w14:paraId="6B3D4E69" w14:textId="2BF505A4" w:rsidR="000562E7" w:rsidRPr="00E71837" w:rsidRDefault="000562E7" w:rsidP="00094B77">
      <w:pPr>
        <w:pStyle w:val="1Voetnoot"/>
        <w:rPr>
          <w:lang w:val="en-US"/>
        </w:rPr>
      </w:pPr>
      <w:r w:rsidRPr="00536A0F">
        <w:rPr>
          <w:rStyle w:val="Voetnootmarkering"/>
        </w:rPr>
        <w:footnoteRef/>
      </w:r>
      <w:r w:rsidRPr="00536A0F">
        <w:t xml:space="preserve"> </w:t>
      </w:r>
      <w:r w:rsidRPr="00E71837">
        <w:rPr>
          <w:lang w:val="en-US"/>
        </w:rPr>
        <w:t xml:space="preserve">Judgement </w:t>
      </w:r>
      <w:r>
        <w:rPr>
          <w:lang w:val="en-US"/>
        </w:rPr>
        <w:t>of 6 November 2012,</w:t>
      </w:r>
      <w:r w:rsidRPr="00E71837">
        <w:rPr>
          <w:lang w:val="en-US"/>
        </w:rPr>
        <w:t xml:space="preserve"> </w:t>
      </w:r>
      <w:r w:rsidRPr="00E71837">
        <w:rPr>
          <w:i/>
          <w:lang w:val="en-US"/>
        </w:rPr>
        <w:t>Commission/Hungary</w:t>
      </w:r>
      <w:r w:rsidRPr="00E71837">
        <w:rPr>
          <w:lang w:val="en-US"/>
        </w:rPr>
        <w:t>, C-286/12, ECLI:EU:C:2012:687</w:t>
      </w:r>
      <w:r>
        <w:rPr>
          <w:lang w:val="en-US"/>
        </w:rPr>
        <w:t>, and j</w:t>
      </w:r>
      <w:r w:rsidRPr="00E71837">
        <w:rPr>
          <w:lang w:val="en-US"/>
        </w:rPr>
        <w:t xml:space="preserve">udgement </w:t>
      </w:r>
      <w:r>
        <w:rPr>
          <w:lang w:val="en-US"/>
        </w:rPr>
        <w:t>of 8 April 2014,</w:t>
      </w:r>
      <w:r w:rsidRPr="00E71837">
        <w:rPr>
          <w:lang w:val="en-US"/>
        </w:rPr>
        <w:t xml:space="preserve"> </w:t>
      </w:r>
      <w:r w:rsidRPr="00E71837">
        <w:rPr>
          <w:i/>
          <w:lang w:val="en-US"/>
        </w:rPr>
        <w:t>Commission/Hungary</w:t>
      </w:r>
      <w:r w:rsidRPr="00E71837">
        <w:rPr>
          <w:lang w:val="en-US"/>
        </w:rPr>
        <w:t>, C-288/12, ECLI:EU:C:2014:237</w:t>
      </w:r>
      <w:r w:rsidRPr="00E71837">
        <w:rPr>
          <w:i/>
          <w:lang w:val="en-US"/>
        </w:rPr>
        <w:t>.</w:t>
      </w:r>
    </w:p>
  </w:footnote>
  <w:footnote w:id="10">
    <w:p w14:paraId="5FA2A4D6" w14:textId="03E2EB90" w:rsidR="000562E7" w:rsidRPr="00C375EA" w:rsidRDefault="000562E7" w:rsidP="00094B77">
      <w:pPr>
        <w:pStyle w:val="1Voetnoot"/>
      </w:pPr>
      <w:r>
        <w:rPr>
          <w:rStyle w:val="Voetnootmarkering"/>
        </w:rPr>
        <w:footnoteRef/>
      </w:r>
      <w:r>
        <w:t xml:space="preserve"> </w:t>
      </w:r>
      <w:r w:rsidRPr="00E71837">
        <w:rPr>
          <w:lang w:val="en-US"/>
        </w:rPr>
        <w:t xml:space="preserve">Judgement </w:t>
      </w:r>
      <w:r>
        <w:rPr>
          <w:lang w:val="en-US"/>
        </w:rPr>
        <w:t>of 6 November 2012,</w:t>
      </w:r>
      <w:r w:rsidRPr="00E71837">
        <w:rPr>
          <w:lang w:val="en-US"/>
        </w:rPr>
        <w:t xml:space="preserve"> </w:t>
      </w:r>
      <w:r w:rsidRPr="00E71837">
        <w:rPr>
          <w:i/>
          <w:lang w:val="en-US"/>
        </w:rPr>
        <w:t>Commission/Hungary</w:t>
      </w:r>
      <w:r w:rsidRPr="00E71837">
        <w:rPr>
          <w:lang w:val="en-US"/>
        </w:rPr>
        <w:t>, C-286/12, ECLI:EU:C:2012:687</w:t>
      </w:r>
      <w:r>
        <w:rPr>
          <w:lang w:val="en-US"/>
        </w:rPr>
        <w:t>.</w:t>
      </w:r>
    </w:p>
  </w:footnote>
  <w:footnote w:id="11">
    <w:p w14:paraId="01CC5B05" w14:textId="01112853" w:rsidR="000562E7" w:rsidRPr="00094B77" w:rsidRDefault="000562E7" w:rsidP="00094B77">
      <w:pPr>
        <w:pStyle w:val="1Voetnoot"/>
      </w:pPr>
      <w:r>
        <w:rPr>
          <w:rStyle w:val="Voetnootmarkering"/>
        </w:rPr>
        <w:footnoteRef/>
      </w:r>
      <w:r>
        <w:t xml:space="preserve"> Council Directive 2000/78/EC of 27 November 2000 establishing a general framework for equal treatment in employment and occupation, </w:t>
      </w:r>
      <w:r>
        <w:rPr>
          <w:i/>
        </w:rPr>
        <w:t xml:space="preserve">OJ </w:t>
      </w:r>
      <w:r>
        <w:t>L 303, 2 December 2000, 16-22.</w:t>
      </w:r>
    </w:p>
  </w:footnote>
  <w:footnote w:id="12">
    <w:p w14:paraId="07313466" w14:textId="159DF04F" w:rsidR="000562E7" w:rsidRPr="00094B77" w:rsidRDefault="000562E7" w:rsidP="00094B77">
      <w:pPr>
        <w:pStyle w:val="1Voetnoot"/>
      </w:pPr>
      <w:r>
        <w:rPr>
          <w:rStyle w:val="Voetnootmarkering"/>
        </w:rPr>
        <w:footnoteRef/>
      </w:r>
      <w:r>
        <w:t xml:space="preserve"> </w:t>
      </w:r>
      <w:r w:rsidRPr="00E71837">
        <w:rPr>
          <w:lang w:val="en-US"/>
        </w:rPr>
        <w:t xml:space="preserve">Judgement </w:t>
      </w:r>
      <w:r>
        <w:rPr>
          <w:lang w:val="en-US"/>
        </w:rPr>
        <w:t>of 6 November 2012,</w:t>
      </w:r>
      <w:r w:rsidRPr="00E71837">
        <w:rPr>
          <w:lang w:val="en-US"/>
        </w:rPr>
        <w:t xml:space="preserve"> </w:t>
      </w:r>
      <w:r w:rsidRPr="00E71837">
        <w:rPr>
          <w:i/>
          <w:lang w:val="en-US"/>
        </w:rPr>
        <w:t>Commission/Hungary</w:t>
      </w:r>
      <w:r w:rsidRPr="00E71837">
        <w:rPr>
          <w:lang w:val="en-US"/>
        </w:rPr>
        <w:t>, C-286/12, ECLI:EU:C:2012:687</w:t>
      </w:r>
      <w:r>
        <w:rPr>
          <w:lang w:val="en-US"/>
        </w:rPr>
        <w:t>, paragraph 24.</w:t>
      </w:r>
    </w:p>
  </w:footnote>
  <w:footnote w:id="13">
    <w:p w14:paraId="20916325" w14:textId="6E4E0293" w:rsidR="000562E7" w:rsidRPr="00094B77" w:rsidRDefault="000562E7" w:rsidP="00094B77">
      <w:pPr>
        <w:pStyle w:val="1Voetnoot"/>
      </w:pPr>
      <w:r>
        <w:rPr>
          <w:rStyle w:val="Voetnootmarkering"/>
        </w:rPr>
        <w:footnoteRef/>
      </w:r>
      <w:r>
        <w:t xml:space="preserve"> </w:t>
      </w:r>
      <w:r w:rsidRPr="00E71837">
        <w:rPr>
          <w:lang w:val="en-US"/>
        </w:rPr>
        <w:t xml:space="preserve">Judgement </w:t>
      </w:r>
      <w:r>
        <w:rPr>
          <w:lang w:val="en-US"/>
        </w:rPr>
        <w:t>of 6 November 2012,</w:t>
      </w:r>
      <w:r w:rsidRPr="00E71837">
        <w:rPr>
          <w:lang w:val="en-US"/>
        </w:rPr>
        <w:t xml:space="preserve"> </w:t>
      </w:r>
      <w:r w:rsidRPr="00E71837">
        <w:rPr>
          <w:i/>
          <w:lang w:val="en-US"/>
        </w:rPr>
        <w:t>Commission/Hungary</w:t>
      </w:r>
      <w:r w:rsidRPr="00E71837">
        <w:rPr>
          <w:lang w:val="en-US"/>
        </w:rPr>
        <w:t>, C-286/12, ECLI:EU:C:2012:687</w:t>
      </w:r>
      <w:r>
        <w:rPr>
          <w:lang w:val="en-US"/>
        </w:rPr>
        <w:t>, paragraph 51.</w:t>
      </w:r>
    </w:p>
  </w:footnote>
  <w:footnote w:id="14">
    <w:p w14:paraId="778F18C4" w14:textId="77777777" w:rsidR="000562E7" w:rsidRPr="006018E7" w:rsidRDefault="000562E7" w:rsidP="005B5A55">
      <w:pPr>
        <w:pStyle w:val="1Voetnoot"/>
      </w:pPr>
      <w:r w:rsidRPr="006018E7">
        <w:rPr>
          <w:rStyle w:val="Voetnootmarkering"/>
        </w:rPr>
        <w:footnoteRef/>
      </w:r>
      <w:r w:rsidRPr="006018E7">
        <w:t xml:space="preserve"> </w:t>
      </w:r>
      <w:r w:rsidRPr="006018E7">
        <w:rPr>
          <w:smallCaps/>
        </w:rPr>
        <w:t>E. Mustafic</w:t>
      </w:r>
      <w:r w:rsidRPr="006018E7">
        <w:t xml:space="preserve">, </w:t>
      </w:r>
      <w:r>
        <w:t>“</w:t>
      </w:r>
      <w:r w:rsidRPr="006018E7">
        <w:t>European values as criteria for accession to the European Union: the effectiveness of sanction mechanisms on Member States and non-Member States</w:t>
      </w:r>
      <w:r>
        <w:t>”</w:t>
      </w:r>
      <w:r w:rsidRPr="006018E7">
        <w:t xml:space="preserve">, </w:t>
      </w:r>
      <w:r w:rsidRPr="006018E7">
        <w:rPr>
          <w:i/>
        </w:rPr>
        <w:t>Central European University,</w:t>
      </w:r>
      <w:r w:rsidRPr="006018E7">
        <w:t xml:space="preserve"> March 2014, 39.</w:t>
      </w:r>
    </w:p>
  </w:footnote>
  <w:footnote w:id="15">
    <w:p w14:paraId="47B60652" w14:textId="77777777" w:rsidR="000562E7" w:rsidRPr="006018E7" w:rsidRDefault="000562E7" w:rsidP="005B5A55">
      <w:pPr>
        <w:pStyle w:val="1Voetnoot"/>
      </w:pPr>
      <w:r w:rsidRPr="006018E7">
        <w:rPr>
          <w:rStyle w:val="Voetnootmarkering"/>
        </w:rPr>
        <w:footnoteRef/>
      </w:r>
      <w:r w:rsidRPr="006018E7">
        <w:t xml:space="preserve"> </w:t>
      </w:r>
      <w:r>
        <w:rPr>
          <w:smallCaps/>
        </w:rPr>
        <w:t>K.</w:t>
      </w:r>
      <w:r w:rsidRPr="006018E7">
        <w:rPr>
          <w:smallCaps/>
        </w:rPr>
        <w:t xml:space="preserve"> Scheppele</w:t>
      </w:r>
      <w:r w:rsidRPr="006018E7">
        <w:t xml:space="preserve">, </w:t>
      </w:r>
      <w:r>
        <w:t>“</w:t>
      </w:r>
      <w:r w:rsidRPr="006018E7">
        <w:t xml:space="preserve">What can the European Commission do when Member States violate basic principles of the </w:t>
      </w:r>
      <w:r w:rsidRPr="004C4CBB">
        <w:t>European Union? The case for systemic infringement actions</w:t>
      </w:r>
      <w:r>
        <w:t>”</w:t>
      </w:r>
      <w:r w:rsidRPr="004C4CBB">
        <w:t>,</w:t>
      </w:r>
      <w:r>
        <w:t xml:space="preserve"> November 2013,</w:t>
      </w:r>
      <w:r w:rsidRPr="006018E7">
        <w:t xml:space="preserve"> </w:t>
      </w:r>
      <w:r>
        <w:t xml:space="preserve">available at: </w:t>
      </w:r>
      <w:hyperlink r:id="rId3" w:history="1">
        <w:r w:rsidRPr="006018E7">
          <w:rPr>
            <w:rStyle w:val="Hyperlink"/>
          </w:rPr>
          <w:t>http://ec.europa.eu/justice/events/assises-justice-2013/files/contributions/45.princetonuniversityscheppelesystemicinfringementactionbrusselsversion_en.pdf</w:t>
        </w:r>
      </w:hyperlink>
      <w:r w:rsidRPr="006018E7">
        <w:t>, 7.</w:t>
      </w:r>
    </w:p>
  </w:footnote>
  <w:footnote w:id="16">
    <w:p w14:paraId="2D1D6004" w14:textId="77777777" w:rsidR="000562E7" w:rsidRPr="006018E7" w:rsidRDefault="000562E7" w:rsidP="005B5A55">
      <w:pPr>
        <w:pStyle w:val="1Voetnoot"/>
      </w:pPr>
      <w:r w:rsidRPr="006018E7">
        <w:rPr>
          <w:rStyle w:val="Voetnootmarkering"/>
        </w:rPr>
        <w:footnoteRef/>
      </w:r>
      <w:r w:rsidRPr="006018E7">
        <w:t xml:space="preserve"> </w:t>
      </w:r>
      <w:r w:rsidRPr="006018E7">
        <w:rPr>
          <w:smallCaps/>
        </w:rPr>
        <w:t>V. Reding</w:t>
      </w:r>
      <w:r w:rsidRPr="006018E7">
        <w:t xml:space="preserve">, </w:t>
      </w:r>
      <w:r>
        <w:t>“</w:t>
      </w:r>
      <w:r w:rsidRPr="006018E7">
        <w:t>The rule of law – What next?</w:t>
      </w:r>
      <w:r>
        <w:t>”</w:t>
      </w:r>
      <w:r w:rsidRPr="006018E7">
        <w:t>, 4 September 2013</w:t>
      </w:r>
      <w:r>
        <w:t>, available at:</w:t>
      </w:r>
      <w:r w:rsidRPr="006018E7">
        <w:t xml:space="preserve"> </w:t>
      </w:r>
      <w:hyperlink r:id="rId4" w:history="1">
        <w:r w:rsidRPr="006018E7">
          <w:rPr>
            <w:rStyle w:val="Hyperlink"/>
          </w:rPr>
          <w:t>http://europa.eu/rapid/press-release_SPEECH-13-677_nl.htm</w:t>
        </w:r>
      </w:hyperlink>
      <w:r>
        <w:t>.</w:t>
      </w:r>
    </w:p>
  </w:footnote>
  <w:footnote w:id="17">
    <w:p w14:paraId="627DC3F7" w14:textId="77777777" w:rsidR="000562E7" w:rsidRPr="00F14DA8" w:rsidRDefault="000562E7" w:rsidP="00530BCC">
      <w:pPr>
        <w:pStyle w:val="1Voetnoot"/>
      </w:pPr>
      <w:r>
        <w:rPr>
          <w:rStyle w:val="Voetnootmarkering"/>
        </w:rPr>
        <w:footnoteRef/>
      </w:r>
      <w:r>
        <w:t xml:space="preserve"> </w:t>
      </w:r>
      <w:r w:rsidRPr="00F14DA8">
        <w:t>European Commission, "State of the Union address 2013 – speech José Barroso President of the European</w:t>
      </w:r>
      <w:r>
        <w:t xml:space="preserve"> </w:t>
      </w:r>
      <w:r w:rsidRPr="00F14DA8">
        <w:t>Commission", SPEECH/13/684, 11 September 2013, 10.</w:t>
      </w:r>
    </w:p>
  </w:footnote>
  <w:footnote w:id="18">
    <w:p w14:paraId="396C325F" w14:textId="77777777" w:rsidR="000562E7" w:rsidRPr="000215D0" w:rsidRDefault="000562E7" w:rsidP="00B94980">
      <w:pPr>
        <w:pStyle w:val="1Voetnoot"/>
        <w:rPr>
          <w:lang w:val="en-US"/>
        </w:rPr>
      </w:pPr>
      <w:r>
        <w:rPr>
          <w:rStyle w:val="Voetnootmarkering"/>
        </w:rPr>
        <w:footnoteRef/>
      </w:r>
      <w:r w:rsidRPr="000215D0">
        <w:rPr>
          <w:lang w:val="en-US"/>
        </w:rPr>
        <w:t xml:space="preserve"> </w:t>
      </w:r>
      <w:r w:rsidRPr="00536A0F">
        <w:t>Communication from the Commission to the European Parliament and the Council, A new framework to strengthen the Rule of Law, COM</w:t>
      </w:r>
      <w:r>
        <w:t xml:space="preserve"> </w:t>
      </w:r>
      <w:r w:rsidRPr="00536A0F">
        <w:t>(2014)</w:t>
      </w:r>
      <w:r>
        <w:t xml:space="preserve"> 158 final 2, 19 March 2014, 6</w:t>
      </w:r>
      <w:r w:rsidRPr="00536A0F">
        <w:t>.</w:t>
      </w:r>
    </w:p>
  </w:footnote>
  <w:footnote w:id="19">
    <w:p w14:paraId="465CC2CA" w14:textId="77777777" w:rsidR="000562E7" w:rsidRPr="005D2A13" w:rsidRDefault="000562E7" w:rsidP="00B94980">
      <w:pPr>
        <w:pStyle w:val="1Voetnoot"/>
      </w:pPr>
      <w:r>
        <w:rPr>
          <w:rStyle w:val="Voetnootmarkering"/>
        </w:rPr>
        <w:footnoteRef/>
      </w:r>
      <w:r>
        <w:t xml:space="preserve"> </w:t>
      </w:r>
      <w:r w:rsidRPr="005D2A13">
        <w:t xml:space="preserve">Communication from the Commission to the European Parliament and the Council on a new EU Framework to strengthen the Rule of Law, COM(2014)158 final/2, 19 March 2014, </w:t>
      </w:r>
      <w:r>
        <w:t>7</w:t>
      </w:r>
      <w:r w:rsidRPr="005D2A13">
        <w:t>.</w:t>
      </w:r>
    </w:p>
  </w:footnote>
  <w:footnote w:id="20">
    <w:p w14:paraId="239B9D96" w14:textId="41271397" w:rsidR="000562E7" w:rsidRPr="004C7304" w:rsidRDefault="000562E7" w:rsidP="00B94980">
      <w:pPr>
        <w:pStyle w:val="1Voetnoot"/>
      </w:pPr>
      <w:r>
        <w:rPr>
          <w:rStyle w:val="Voetnootmarkering"/>
        </w:rPr>
        <w:footnoteRef/>
      </w:r>
      <w:r>
        <w:t xml:space="preserve"> However, the practical application of the Rule of Law Framework will demonstrate that the Commission has a rather casual application of the three stage procedure. In the case of Poland, a complementary Commission Recommendation phase has been launched after the third – and, in theory, final – stage by issuing a second </w:t>
      </w:r>
      <w:r w:rsidR="006C3259">
        <w:t>additional</w:t>
      </w:r>
      <w:r>
        <w:t xml:space="preserve"> Rule of Law Recommendation instead of assessing the possibility to activate Article 7 TEU as foreseen in the Commission Communication.</w:t>
      </w:r>
    </w:p>
  </w:footnote>
  <w:footnote w:id="21">
    <w:p w14:paraId="4F5E04C6" w14:textId="71597C2C" w:rsidR="000562E7" w:rsidRPr="002347CE" w:rsidRDefault="000562E7" w:rsidP="00B94980">
      <w:pPr>
        <w:pStyle w:val="1Voetnoot"/>
      </w:pPr>
      <w:r>
        <w:rPr>
          <w:rStyle w:val="Voetnootmarkering"/>
        </w:rPr>
        <w:footnoteRef/>
      </w:r>
      <w:r>
        <w:t xml:space="preserve"> </w:t>
      </w:r>
      <w:r w:rsidRPr="005D2A13">
        <w:t xml:space="preserve">Communication from the Commission to the European Parliament and the Council on a new EU Framework to strengthen the Rule of Law, COM(2014)158 final/2, 19 March 2014, </w:t>
      </w:r>
      <w:r>
        <w:t>6</w:t>
      </w:r>
      <w:r w:rsidRPr="005D2A13">
        <w:t>.</w:t>
      </w:r>
    </w:p>
  </w:footnote>
  <w:footnote w:id="22">
    <w:p w14:paraId="2DE94758" w14:textId="4D541385" w:rsidR="000562E7" w:rsidRPr="00B94980" w:rsidRDefault="000562E7" w:rsidP="00B94980">
      <w:pPr>
        <w:pStyle w:val="1Voetnoot"/>
        <w:rPr>
          <w:rStyle w:val="1VoetnootChar"/>
        </w:rPr>
      </w:pPr>
      <w:r>
        <w:rPr>
          <w:rStyle w:val="Voetnootmarkering"/>
        </w:rPr>
        <w:footnoteRef/>
      </w:r>
      <w:r>
        <w:t xml:space="preserve"> The Commission acknowledges that the Commission still has the possibility to either launch </w:t>
      </w:r>
      <w:r w:rsidR="006C3259">
        <w:t xml:space="preserve">an </w:t>
      </w:r>
      <w:r>
        <w:t>infringement procedure under Article 258 TFEU in case the situation falls within the scope of EU law, or directly activate Article 7 TEU i</w:t>
      </w:r>
      <w:r w:rsidR="006C3259">
        <w:t>f</w:t>
      </w:r>
      <w:r>
        <w:t xml:space="preserve"> the situation in the concerned Member State requires a stronger action from the EU. </w:t>
      </w:r>
      <w:r w:rsidRPr="005D2A13">
        <w:t xml:space="preserve">Communication from the Commission to the European Parliament and the Council on a new EU Framework to </w:t>
      </w:r>
      <w:r w:rsidRPr="00B94980">
        <w:rPr>
          <w:rStyle w:val="1VoetnootChar"/>
        </w:rPr>
        <w:t>strengthen the Rule of Law, COM(2014)158 final/2, 19 March 2014, 7.</w:t>
      </w:r>
    </w:p>
  </w:footnote>
  <w:footnote w:id="23">
    <w:p w14:paraId="2B578A60" w14:textId="4780188D" w:rsidR="006C3259" w:rsidRPr="006C3259" w:rsidRDefault="006C3259" w:rsidP="006C3259">
      <w:pPr>
        <w:pStyle w:val="1Voetnoot"/>
      </w:pPr>
      <w:r>
        <w:rPr>
          <w:rStyle w:val="Voetnootmarkering"/>
        </w:rPr>
        <w:footnoteRef/>
      </w:r>
      <w:r>
        <w:t xml:space="preserve"> The Commission defines the rule of law, taking into account the case law of both the Court of Justice of the European Union and the European Court of Human Rights, and the documents of the Council of Europe, as follows: </w:t>
      </w:r>
      <w:r>
        <w:rPr>
          <w:i/>
        </w:rPr>
        <w:t xml:space="preserve">“(The Rule of Law) include(s) legality, which implies a transparent, accountable, democratic and pluralistic process for enacting laws; legal certainty; prohibition of arbitrariness of the executive powers; independent and impartial courts; effective judicial review including respect for fundamental rights; and equality before the law”. </w:t>
      </w:r>
      <w:r>
        <w:t xml:space="preserve">Systemic threats to the rule of law are therefore threats to </w:t>
      </w:r>
      <w:r w:rsidRPr="00A30FA4">
        <w:rPr>
          <w:i/>
        </w:rPr>
        <w:t>“the political, institutional and/or legal order of a Member State as such, its constitutional structure, separation of powers, the independence and impartiality of the judiciary, or its system of judicial review including constitutional justice where it exists as a result of, for instance, the adoption of new measures or of widespread practices of public authorities and the lack of domestic redress”</w:t>
      </w:r>
      <w:r>
        <w:t>. Communication from the Commission to the European Parliament and the Council on a new EU Framework to strengthen the Rule of Law, COM(2014)158 final/2, 19 March 2014, 4 and 7.</w:t>
      </w:r>
    </w:p>
  </w:footnote>
  <w:footnote w:id="24">
    <w:p w14:paraId="6430F189" w14:textId="77777777" w:rsidR="000562E7" w:rsidRPr="009C126D" w:rsidRDefault="000562E7" w:rsidP="00FA0711">
      <w:pPr>
        <w:pStyle w:val="1Voetnoot"/>
      </w:pPr>
      <w:r>
        <w:rPr>
          <w:rStyle w:val="Voetnootmarkering"/>
        </w:rPr>
        <w:footnoteRef/>
      </w:r>
      <w:r>
        <w:t xml:space="preserve"> Communication from the Commission to the European Parliament and the Council on a new EU Framework to strengthen the Rule of Law, COM(2014)158 final/2, 19 March 2014, 8-9.</w:t>
      </w:r>
    </w:p>
  </w:footnote>
  <w:footnote w:id="25">
    <w:p w14:paraId="22041B12" w14:textId="54E318F4" w:rsidR="000562E7" w:rsidRPr="005D0412" w:rsidRDefault="000562E7" w:rsidP="00FA0711">
      <w:pPr>
        <w:pStyle w:val="1Voetnoot"/>
      </w:pPr>
      <w:r w:rsidRPr="005D0412">
        <w:rPr>
          <w:rStyle w:val="Voetnootmarkering"/>
        </w:rPr>
        <w:footnoteRef/>
      </w:r>
      <w:r w:rsidRPr="005D0412">
        <w:t xml:space="preserve"> </w:t>
      </w:r>
      <w:r w:rsidRPr="00151BF1">
        <w:t xml:space="preserve">Art. 2 Council Regulation No 168/2007 of 15 February 2007 establishing a European Union Agency for Fundamental Rights, </w:t>
      </w:r>
      <w:r w:rsidRPr="00151BF1">
        <w:rPr>
          <w:i/>
        </w:rPr>
        <w:t xml:space="preserve">OJ </w:t>
      </w:r>
      <w:r>
        <w:t xml:space="preserve">L 53, 22 February 2007, and </w:t>
      </w:r>
      <w:r w:rsidRPr="005D0412">
        <w:t xml:space="preserve">K. </w:t>
      </w:r>
      <w:r w:rsidRPr="005D0412">
        <w:rPr>
          <w:smallCaps/>
        </w:rPr>
        <w:t>Margaritis,</w:t>
      </w:r>
      <w:r w:rsidRPr="005D0412">
        <w:t xml:space="preserve"> </w:t>
      </w:r>
      <w:r>
        <w:t>“</w:t>
      </w:r>
      <w:r w:rsidRPr="005D0412">
        <w:t xml:space="preserve">Some thoughts on the interrelation of </w:t>
      </w:r>
      <w:r>
        <w:t>Article</w:t>
      </w:r>
      <w:r w:rsidRPr="005D0412">
        <w:t xml:space="preserve"> 7 TEU with the EU Fundamental Rights Agency</w:t>
      </w:r>
      <w:r>
        <w:t>”</w:t>
      </w:r>
      <w:r w:rsidRPr="005D0412">
        <w:t xml:space="preserve">, </w:t>
      </w:r>
      <w:r w:rsidRPr="005D0412">
        <w:rPr>
          <w:i/>
        </w:rPr>
        <w:t>Perspectives of Business Law Journal</w:t>
      </w:r>
      <w:r w:rsidRPr="005D0412">
        <w:t xml:space="preserve"> November 2013, vol. 2, no. 1, (143)</w:t>
      </w:r>
      <w:r>
        <w:t xml:space="preserve"> </w:t>
      </w:r>
      <w:r w:rsidRPr="005D0412">
        <w:t>146.</w:t>
      </w:r>
    </w:p>
  </w:footnote>
  <w:footnote w:id="26">
    <w:p w14:paraId="201ED082" w14:textId="77777777" w:rsidR="000562E7" w:rsidRPr="00151BF1" w:rsidRDefault="000562E7" w:rsidP="00FA0711">
      <w:pPr>
        <w:pStyle w:val="1Voetnoot"/>
      </w:pPr>
      <w:r w:rsidRPr="00151BF1">
        <w:rPr>
          <w:rStyle w:val="Voetnootmarkering"/>
        </w:rPr>
        <w:footnoteRef/>
      </w:r>
      <w:r w:rsidRPr="00151BF1">
        <w:t xml:space="preserve"> </w:t>
      </w:r>
      <w:r>
        <w:t xml:space="preserve">C. </w:t>
      </w:r>
      <w:r>
        <w:rPr>
          <w:smallCaps/>
        </w:rPr>
        <w:t>Pinelli,</w:t>
      </w:r>
      <w:r w:rsidRPr="00151BF1">
        <w:t xml:space="preserve"> </w:t>
      </w:r>
      <w:r>
        <w:t>“</w:t>
      </w:r>
      <w:r w:rsidRPr="00151BF1">
        <w:t xml:space="preserve">Protecting the fundamentals: </w:t>
      </w:r>
      <w:r>
        <w:t>Article</w:t>
      </w:r>
      <w:r w:rsidRPr="00151BF1">
        <w:t xml:space="preserve"> 7 of the Treaty on the European Union and beyond</w:t>
      </w:r>
      <w:r>
        <w:t>”</w:t>
      </w:r>
      <w:r w:rsidRPr="00151BF1">
        <w:t xml:space="preserve">, </w:t>
      </w:r>
      <w:r>
        <w:rPr>
          <w:i/>
        </w:rPr>
        <w:t>FEPS Jurists Netwe</w:t>
      </w:r>
      <w:r w:rsidRPr="00151BF1">
        <w:rPr>
          <w:i/>
        </w:rPr>
        <w:t>rk</w:t>
      </w:r>
      <w:r w:rsidRPr="00151BF1">
        <w:t xml:space="preserve"> 25 September 2012, 11</w:t>
      </w:r>
      <w:r>
        <w:t xml:space="preserve"> and 14</w:t>
      </w:r>
      <w:r w:rsidRPr="00151BF1">
        <w:t>.</w:t>
      </w:r>
    </w:p>
  </w:footnote>
  <w:footnote w:id="27">
    <w:p w14:paraId="5931D09C" w14:textId="77777777" w:rsidR="000562E7" w:rsidRPr="004F79B6" w:rsidRDefault="000562E7" w:rsidP="00FA0711">
      <w:pPr>
        <w:pStyle w:val="1Voetnoot"/>
        <w:rPr>
          <w:lang w:val="en-US"/>
        </w:rPr>
      </w:pPr>
      <w:r>
        <w:rPr>
          <w:rStyle w:val="Voetnootmarkering"/>
        </w:rPr>
        <w:footnoteRef/>
      </w:r>
      <w:r w:rsidRPr="00746A9B">
        <w:rPr>
          <w:lang w:val="en-US"/>
        </w:rPr>
        <w:t xml:space="preserve"> </w:t>
      </w:r>
      <w:r w:rsidRPr="004F79B6">
        <w:rPr>
          <w:smallCaps/>
          <w:lang w:val="en-US"/>
        </w:rPr>
        <w:t>G. Toggenburg</w:t>
      </w:r>
      <w:r w:rsidRPr="004F79B6">
        <w:rPr>
          <w:lang w:val="en-US"/>
        </w:rPr>
        <w:t xml:space="preserve">, </w:t>
      </w:r>
      <w:r>
        <w:rPr>
          <w:lang w:val="en-US"/>
        </w:rPr>
        <w:t>“</w:t>
      </w:r>
      <w:r w:rsidRPr="004F79B6">
        <w:rPr>
          <w:lang w:val="en-US"/>
        </w:rPr>
        <w:t xml:space="preserve">The role of the new EU Fundamental Rights Agency: Debating the </w:t>
      </w:r>
      <w:r>
        <w:rPr>
          <w:lang w:val="en-US"/>
        </w:rPr>
        <w:t>‘</w:t>
      </w:r>
      <w:r w:rsidRPr="004F79B6">
        <w:rPr>
          <w:lang w:val="en-US"/>
        </w:rPr>
        <w:t>sex of angels</w:t>
      </w:r>
      <w:r>
        <w:rPr>
          <w:lang w:val="en-US"/>
        </w:rPr>
        <w:t>’</w:t>
      </w:r>
      <w:r w:rsidRPr="004F79B6">
        <w:rPr>
          <w:lang w:val="en-US"/>
        </w:rPr>
        <w:t xml:space="preserve"> or improving Europe</w:t>
      </w:r>
      <w:r>
        <w:rPr>
          <w:lang w:val="en-US"/>
        </w:rPr>
        <w:t>’</w:t>
      </w:r>
      <w:r w:rsidRPr="004F79B6">
        <w:rPr>
          <w:lang w:val="en-US"/>
        </w:rPr>
        <w:t>s human rights performance?</w:t>
      </w:r>
      <w:r>
        <w:rPr>
          <w:lang w:val="en-US"/>
        </w:rPr>
        <w:t>”</w:t>
      </w:r>
      <w:r w:rsidRPr="004F79B6">
        <w:rPr>
          <w:lang w:val="en-US"/>
        </w:rPr>
        <w:t xml:space="preserve">, </w:t>
      </w:r>
      <w:r w:rsidRPr="004F79B6">
        <w:rPr>
          <w:i/>
          <w:lang w:val="en-US"/>
        </w:rPr>
        <w:t>European Law Review</w:t>
      </w:r>
      <w:r w:rsidRPr="004F79B6">
        <w:rPr>
          <w:lang w:val="en-US"/>
        </w:rPr>
        <w:t xml:space="preserve"> June 2008, no. 33, (385) 389.</w:t>
      </w:r>
    </w:p>
  </w:footnote>
  <w:footnote w:id="28">
    <w:p w14:paraId="2F149EF8" w14:textId="77777777" w:rsidR="000562E7" w:rsidRPr="004F79B6" w:rsidRDefault="000562E7" w:rsidP="00372906">
      <w:pPr>
        <w:pStyle w:val="1Voetnoot"/>
        <w:rPr>
          <w:lang w:val="en-US"/>
        </w:rPr>
      </w:pPr>
      <w:r>
        <w:rPr>
          <w:rStyle w:val="Voetnootmarkering"/>
        </w:rPr>
        <w:footnoteRef/>
      </w:r>
      <w:r w:rsidRPr="00746A9B">
        <w:rPr>
          <w:lang w:val="en-US"/>
        </w:rPr>
        <w:t xml:space="preserve"> </w:t>
      </w:r>
      <w:r w:rsidRPr="00536A0F">
        <w:rPr>
          <w:smallCaps/>
        </w:rPr>
        <w:t>C. Closa, D. Kochenov</w:t>
      </w:r>
      <w:r w:rsidRPr="00536A0F">
        <w:t xml:space="preserve"> and </w:t>
      </w:r>
      <w:r w:rsidRPr="00536A0F">
        <w:rPr>
          <w:smallCaps/>
        </w:rPr>
        <w:t>J.H.H. Weiler</w:t>
      </w:r>
      <w:r w:rsidRPr="00536A0F">
        <w:t xml:space="preserve">, </w:t>
      </w:r>
      <w:r>
        <w:t>“</w:t>
      </w:r>
      <w:r w:rsidRPr="00536A0F">
        <w:t>Reinforcing rule of law oversight in the European Union</w:t>
      </w:r>
      <w:r>
        <w:t>”</w:t>
      </w:r>
      <w:r w:rsidRPr="00536A0F">
        <w:t xml:space="preserve">, </w:t>
      </w:r>
      <w:r w:rsidRPr="00536A0F">
        <w:rPr>
          <w:i/>
        </w:rPr>
        <w:t>EUI Working Paper RSCAS</w:t>
      </w:r>
      <w:r>
        <w:t xml:space="preserve"> 2014, 18.</w:t>
      </w:r>
    </w:p>
  </w:footnote>
  <w:footnote w:id="29">
    <w:p w14:paraId="5332B839" w14:textId="77777777" w:rsidR="000562E7" w:rsidRPr="004F79B6" w:rsidRDefault="000562E7" w:rsidP="00FA0711">
      <w:pPr>
        <w:pStyle w:val="1Voetnoot"/>
        <w:rPr>
          <w:lang w:val="en-US"/>
        </w:rPr>
      </w:pPr>
      <w:r>
        <w:rPr>
          <w:rStyle w:val="Voetnootmarkering"/>
        </w:rPr>
        <w:footnoteRef/>
      </w:r>
      <w:r>
        <w:t xml:space="preserve"> </w:t>
      </w:r>
      <w:r w:rsidRPr="00536A0F">
        <w:rPr>
          <w:smallCaps/>
        </w:rPr>
        <w:t>C. Closa, D. Kochenov</w:t>
      </w:r>
      <w:r w:rsidRPr="00536A0F">
        <w:t xml:space="preserve"> and </w:t>
      </w:r>
      <w:r w:rsidRPr="00536A0F">
        <w:rPr>
          <w:smallCaps/>
        </w:rPr>
        <w:t>J.H.H. Weiler</w:t>
      </w:r>
      <w:r w:rsidRPr="00536A0F">
        <w:t xml:space="preserve">, </w:t>
      </w:r>
      <w:r>
        <w:t>“</w:t>
      </w:r>
      <w:r w:rsidRPr="00536A0F">
        <w:t>Reinforcing rule of law oversight in the European Union</w:t>
      </w:r>
      <w:r>
        <w:t>”</w:t>
      </w:r>
      <w:r w:rsidRPr="00536A0F">
        <w:t xml:space="preserve">, </w:t>
      </w:r>
      <w:r w:rsidRPr="00536A0F">
        <w:rPr>
          <w:i/>
        </w:rPr>
        <w:t>EUI Working Paper RSCAS</w:t>
      </w:r>
      <w:r>
        <w:t xml:space="preserve"> 2014, 18.</w:t>
      </w:r>
    </w:p>
  </w:footnote>
  <w:footnote w:id="30">
    <w:p w14:paraId="48A045CC" w14:textId="77777777" w:rsidR="000562E7" w:rsidRPr="000B6F22" w:rsidRDefault="000562E7" w:rsidP="001A5A25">
      <w:pPr>
        <w:pStyle w:val="1Voetnoot"/>
      </w:pPr>
      <w:r>
        <w:rPr>
          <w:rStyle w:val="Voetnootmarkering"/>
        </w:rPr>
        <w:footnoteRef/>
      </w:r>
      <w:r>
        <w:t xml:space="preserve"> Communication from the Commission to the European Parliament and the Council on a new EU Framework to strengthen the Rule of Law , COM(2014)158 final/2, 19 March 2014, 4.</w:t>
      </w:r>
    </w:p>
  </w:footnote>
  <w:footnote w:id="31">
    <w:p w14:paraId="2F0CEEA2" w14:textId="77777777" w:rsidR="000562E7" w:rsidRPr="00AD15FD" w:rsidRDefault="000562E7" w:rsidP="00FA0711">
      <w:pPr>
        <w:pStyle w:val="1Voetnoot"/>
      </w:pPr>
      <w:r>
        <w:rPr>
          <w:rStyle w:val="Voetnootmarkering"/>
        </w:rPr>
        <w:footnoteRef/>
      </w:r>
      <w:r>
        <w:t xml:space="preserve"> </w:t>
      </w:r>
      <w:r w:rsidRPr="00AD15FD">
        <w:t xml:space="preserve">L. </w:t>
      </w:r>
      <w:r w:rsidRPr="00AD15FD">
        <w:rPr>
          <w:smallCaps/>
        </w:rPr>
        <w:t>Moxham</w:t>
      </w:r>
      <w:r w:rsidRPr="00AD15FD">
        <w:t xml:space="preserve">, and J. </w:t>
      </w:r>
      <w:r w:rsidRPr="00AD15FD">
        <w:rPr>
          <w:smallCaps/>
        </w:rPr>
        <w:t>Stefanelli</w:t>
      </w:r>
      <w:r w:rsidRPr="00AD15FD">
        <w:t xml:space="preserve">, “Safeguarding the rule of law, democracy and </w:t>
      </w:r>
      <w:r>
        <w:t xml:space="preserve">fundamental rights: a monitoring model for the European Union”, </w:t>
      </w:r>
      <w:r>
        <w:rPr>
          <w:i/>
        </w:rPr>
        <w:t>Bingham Centre for the Rule of Law</w:t>
      </w:r>
      <w:r w:rsidRPr="00AD15FD">
        <w:t xml:space="preserve"> 15 November 2013, 1</w:t>
      </w:r>
      <w:r>
        <w:t>0.</w:t>
      </w:r>
    </w:p>
  </w:footnote>
  <w:footnote w:id="32">
    <w:p w14:paraId="524C3DD4" w14:textId="77777777" w:rsidR="000562E7" w:rsidRPr="00E31741" w:rsidRDefault="000562E7" w:rsidP="005D2A13">
      <w:pPr>
        <w:pStyle w:val="1Voetnoot"/>
      </w:pPr>
      <w:r>
        <w:rPr>
          <w:rStyle w:val="Voetnootmarkering"/>
        </w:rPr>
        <w:footnoteRef/>
      </w:r>
      <w:r>
        <w:t xml:space="preserve"> </w:t>
      </w:r>
      <w:r w:rsidRPr="00B5708D">
        <w:t xml:space="preserve">L. </w:t>
      </w:r>
      <w:r w:rsidRPr="003B46B6">
        <w:rPr>
          <w:smallCaps/>
        </w:rPr>
        <w:t>Pech</w:t>
      </w:r>
      <w:r w:rsidRPr="00B5708D">
        <w:t xml:space="preserve"> et al., “An EU mechanism on democracy, the rule of law and fundamental rights</w:t>
      </w:r>
      <w:r>
        <w:t xml:space="preserve"> – Annex 1</w:t>
      </w:r>
      <w:r w:rsidRPr="00B5708D">
        <w:t xml:space="preserve">”, </w:t>
      </w:r>
      <w:r>
        <w:t>European Added Value Unit, PE 579.328, April 2016, 62.</w:t>
      </w:r>
    </w:p>
  </w:footnote>
  <w:footnote w:id="33">
    <w:p w14:paraId="51ECD50B" w14:textId="77777777" w:rsidR="000562E7" w:rsidRPr="00E31741" w:rsidRDefault="000562E7" w:rsidP="005D2A13">
      <w:pPr>
        <w:pStyle w:val="1Voetnoot"/>
      </w:pPr>
      <w:r>
        <w:rPr>
          <w:rStyle w:val="Voetnootmarkering"/>
        </w:rPr>
        <w:footnoteRef/>
      </w:r>
      <w:r>
        <w:t xml:space="preserve"> Communication from the Commission to the European Parliament and the Council on a new EU Framework to strengthen the Rule of Law, COM(2014)158 final/2, 19 March 2014, 7.</w:t>
      </w:r>
    </w:p>
  </w:footnote>
  <w:footnote w:id="34">
    <w:p w14:paraId="43E38BFF" w14:textId="77777777" w:rsidR="000562E7" w:rsidRPr="00BC4BEB" w:rsidRDefault="000562E7" w:rsidP="0056112E">
      <w:pPr>
        <w:pStyle w:val="1Voetnoot"/>
        <w:rPr>
          <w:lang w:val="fr-FR"/>
        </w:rPr>
      </w:pPr>
      <w:r>
        <w:rPr>
          <w:rStyle w:val="Voetnootmarkering"/>
        </w:rPr>
        <w:footnoteRef/>
      </w:r>
      <w:r>
        <w:t xml:space="preserve"> </w:t>
      </w:r>
      <w:r w:rsidRPr="00BC4BEB">
        <w:rPr>
          <w:smallCaps/>
        </w:rPr>
        <w:t xml:space="preserve">K. </w:t>
      </w:r>
      <w:r>
        <w:rPr>
          <w:smallCaps/>
        </w:rPr>
        <w:t xml:space="preserve">L. </w:t>
      </w:r>
      <w:r w:rsidRPr="00BC4BEB">
        <w:rPr>
          <w:smallCaps/>
        </w:rPr>
        <w:t>Scheppele</w:t>
      </w:r>
      <w:r>
        <w:t xml:space="preserve">, “Can Poland be sanctioned by the EU? Not unless Hungary is sanctioned too”, </w:t>
      </w:r>
      <w:r w:rsidRPr="009F31D1">
        <w:rPr>
          <w:i/>
        </w:rPr>
        <w:t>verfassungsblog</w:t>
      </w:r>
      <w:r>
        <w:t xml:space="preserve"> 24 October 2016, available at: </w:t>
      </w:r>
      <w:hyperlink r:id="rId5" w:history="1">
        <w:r w:rsidRPr="00481B1E">
          <w:rPr>
            <w:rStyle w:val="Hyperlink"/>
          </w:rPr>
          <w:t>http://verfassungsblog.de/can-poland-be-sanctioned-by-the-eu-not-unless-hungary-is-sanctioned-too/</w:t>
        </w:r>
      </w:hyperlink>
      <w:r>
        <w:t xml:space="preserve">. </w:t>
      </w:r>
    </w:p>
  </w:footnote>
  <w:footnote w:id="35">
    <w:p w14:paraId="0DAB5F7C" w14:textId="77777777" w:rsidR="000562E7" w:rsidRPr="00536A0F" w:rsidRDefault="000562E7" w:rsidP="005D2A13">
      <w:pPr>
        <w:pStyle w:val="1Voetnoot"/>
      </w:pPr>
      <w:r w:rsidRPr="00536A0F">
        <w:rPr>
          <w:rStyle w:val="Voetnootmarkering"/>
        </w:rPr>
        <w:footnoteRef/>
      </w:r>
      <w:r w:rsidRPr="00536A0F">
        <w:t xml:space="preserve"> Communication from the Commission to the European Parliament and the Council, A new framework to strengthen the Rule of Law, COM</w:t>
      </w:r>
      <w:r>
        <w:t xml:space="preserve"> </w:t>
      </w:r>
      <w:r w:rsidRPr="00536A0F">
        <w:t>(2014)</w:t>
      </w:r>
      <w:r>
        <w:t xml:space="preserve"> 158 final 2</w:t>
      </w:r>
      <w:r w:rsidRPr="00536A0F">
        <w:t>, 19 March 2014, 8.</w:t>
      </w:r>
    </w:p>
  </w:footnote>
  <w:footnote w:id="36">
    <w:p w14:paraId="57E6B2D0" w14:textId="77777777" w:rsidR="000562E7" w:rsidRPr="00E0195C" w:rsidRDefault="000562E7" w:rsidP="005D2A13">
      <w:pPr>
        <w:pStyle w:val="1Voetnoot"/>
      </w:pPr>
      <w:r>
        <w:rPr>
          <w:rStyle w:val="Voetnootmarkering"/>
        </w:rPr>
        <w:footnoteRef/>
      </w:r>
      <w:r>
        <w:t xml:space="preserve"> Communication from the Commission to the European Parliament and the Council on a new EU Framework to strengthen the Rule of Law , COM(2014)158 final/2, 19 March 2014, 8.</w:t>
      </w:r>
    </w:p>
  </w:footnote>
  <w:footnote w:id="37">
    <w:p w14:paraId="73746131" w14:textId="77777777" w:rsidR="000562E7" w:rsidRPr="00C05EFD" w:rsidRDefault="000562E7" w:rsidP="002E336E">
      <w:pPr>
        <w:pStyle w:val="1Voetnoot"/>
        <w:rPr>
          <w:lang w:val="fr-FR"/>
        </w:rPr>
      </w:pPr>
      <w:r>
        <w:rPr>
          <w:rStyle w:val="Voetnootmarkering"/>
        </w:rPr>
        <w:footnoteRef/>
      </w:r>
      <w:r>
        <w:t xml:space="preserve"> Letter of the European Commission on the application for access to documents, Ref. Ares(2016)3176769, 4 July 2016. </w:t>
      </w:r>
    </w:p>
  </w:footnote>
  <w:footnote w:id="38">
    <w:p w14:paraId="5B8EDF89" w14:textId="77777777" w:rsidR="000562E7" w:rsidRPr="00CB7368" w:rsidRDefault="000562E7" w:rsidP="00AB1C93">
      <w:pPr>
        <w:pStyle w:val="1Voetnoot"/>
      </w:pPr>
      <w:r>
        <w:rPr>
          <w:rStyle w:val="Voetnootmarkering"/>
        </w:rPr>
        <w:footnoteRef/>
      </w:r>
      <w:r>
        <w:t xml:space="preserve"> Communication from the Commission to the European Parliament and the Council, A new EU Framework to strengthen the Rule of Law, COM(2014)158/2 final, 8.</w:t>
      </w:r>
    </w:p>
  </w:footnote>
  <w:footnote w:id="39">
    <w:p w14:paraId="0398E83D" w14:textId="77777777" w:rsidR="000562E7" w:rsidRPr="00FC2AF0" w:rsidRDefault="000562E7" w:rsidP="00AB1C93">
      <w:pPr>
        <w:pStyle w:val="1Voetnoot"/>
      </w:pPr>
      <w:r>
        <w:rPr>
          <w:rStyle w:val="Voetnootmarkering"/>
        </w:rPr>
        <w:footnoteRef/>
      </w:r>
      <w:r>
        <w:t xml:space="preserve"> Communication from the Commission to the European Parliament and the Council, A new EU Framework to strengthen the Rule of Law, COM(2014)158/2 final, 8.</w:t>
      </w:r>
    </w:p>
  </w:footnote>
  <w:footnote w:id="40">
    <w:p w14:paraId="0017CD96" w14:textId="77777777" w:rsidR="000562E7" w:rsidRPr="00CB7368" w:rsidRDefault="000562E7" w:rsidP="00AB1C93">
      <w:pPr>
        <w:pStyle w:val="1Voetnoot"/>
      </w:pPr>
      <w:r>
        <w:rPr>
          <w:rStyle w:val="Voetnootmarkering"/>
        </w:rPr>
        <w:footnoteRef/>
      </w:r>
      <w:r>
        <w:t xml:space="preserve"> Communication from the Commission to the European Parliament and the Council, A new EU Framework to strengthen the Rule of Law, COM(2014)158/2 final, 8.</w:t>
      </w:r>
    </w:p>
  </w:footnote>
  <w:footnote w:id="41">
    <w:p w14:paraId="51B416D4" w14:textId="77777777" w:rsidR="000562E7" w:rsidRPr="00536A0F" w:rsidRDefault="000562E7" w:rsidP="00AB1C93">
      <w:pPr>
        <w:pStyle w:val="1Voetnoot"/>
      </w:pPr>
      <w:r w:rsidRPr="00536A0F">
        <w:rPr>
          <w:rStyle w:val="Voetnootmarkering"/>
        </w:rPr>
        <w:footnoteRef/>
      </w:r>
      <w:r>
        <w:t xml:space="preserve"> Communication from the Commission to the European Parliament and the Council on a new EU Framework to strengthen the Rule of Law, COM(2014)158 final/2, 19 March 2014</w:t>
      </w:r>
      <w:r w:rsidRPr="00536A0F">
        <w:t>, 8.</w:t>
      </w:r>
    </w:p>
  </w:footnote>
  <w:footnote w:id="42">
    <w:p w14:paraId="2FECB64B" w14:textId="77777777" w:rsidR="000562E7" w:rsidRPr="00361155" w:rsidRDefault="000562E7" w:rsidP="00AB1C93">
      <w:pPr>
        <w:pStyle w:val="1Voetnoot"/>
      </w:pPr>
      <w:r>
        <w:rPr>
          <w:rStyle w:val="Voetnootmarkering"/>
        </w:rPr>
        <w:footnoteRef/>
      </w:r>
      <w:r>
        <w:t xml:space="preserve"> Communication from the Commission to the European Parliament and the Council, A new EU Framework to strengthen the Rule of Law, COM(2014)158/2 final, 8.</w:t>
      </w:r>
    </w:p>
  </w:footnote>
  <w:footnote w:id="43">
    <w:p w14:paraId="6B92CCE5" w14:textId="77777777" w:rsidR="000562E7" w:rsidRPr="004D77FD" w:rsidRDefault="000562E7" w:rsidP="009362EE">
      <w:pPr>
        <w:pStyle w:val="1Voetnoot"/>
      </w:pPr>
      <w:r>
        <w:rPr>
          <w:rStyle w:val="Voetnootmarkering"/>
        </w:rPr>
        <w:footnoteRef/>
      </w:r>
      <w:r>
        <w:t xml:space="preserve"> D. </w:t>
      </w:r>
      <w:r w:rsidRPr="008A7B9C">
        <w:rPr>
          <w:smallCaps/>
        </w:rPr>
        <w:t>Kochenov</w:t>
      </w:r>
      <w:r>
        <w:t xml:space="preserve">, and L. </w:t>
      </w:r>
      <w:r w:rsidRPr="008A7B9C">
        <w:rPr>
          <w:smallCaps/>
        </w:rPr>
        <w:t>Pech</w:t>
      </w:r>
      <w:r>
        <w:t xml:space="preserve">, “Upholding the Rule of Law in the EU: On the Commission’s ‘Pre-Article 7 Procedure’ as a Timid Step in the Right Direction”, </w:t>
      </w:r>
      <w:r w:rsidRPr="0012332C">
        <w:rPr>
          <w:i/>
        </w:rPr>
        <w:t>Foundation Robert Schuman Policy Paper European issues</w:t>
      </w:r>
      <w:r w:rsidRPr="0012332C">
        <w:t xml:space="preserve"> 2015, no. 356,</w:t>
      </w:r>
      <w:r>
        <w:t xml:space="preserve"> 8.</w:t>
      </w:r>
    </w:p>
  </w:footnote>
  <w:footnote w:id="44">
    <w:p w14:paraId="33AACB4D" w14:textId="77777777" w:rsidR="000562E7" w:rsidRPr="00536A0F" w:rsidRDefault="000562E7" w:rsidP="009362EE">
      <w:pPr>
        <w:pStyle w:val="1Voetnoot"/>
      </w:pPr>
      <w:r w:rsidRPr="00536A0F">
        <w:rPr>
          <w:rStyle w:val="Voetnootmarkering"/>
        </w:rPr>
        <w:footnoteRef/>
      </w:r>
      <w:r w:rsidRPr="00536A0F">
        <w:t xml:space="preserve"> Communication from the Commission to the European Parliament and the Council, A new framework to strengthen the Rule of Law, COM</w:t>
      </w:r>
      <w:r>
        <w:t xml:space="preserve"> </w:t>
      </w:r>
      <w:r w:rsidRPr="00536A0F">
        <w:t>(2014)</w:t>
      </w:r>
      <w:r>
        <w:t xml:space="preserve"> 158 final 2</w:t>
      </w:r>
      <w:r w:rsidRPr="00536A0F">
        <w:t>, 19 March 2014, 8.</w:t>
      </w:r>
    </w:p>
  </w:footnote>
  <w:footnote w:id="45">
    <w:p w14:paraId="4ABFD301" w14:textId="77777777" w:rsidR="000562E7" w:rsidRPr="008A7B9C" w:rsidRDefault="000562E7" w:rsidP="009362EE">
      <w:pPr>
        <w:pStyle w:val="1Voetnoot"/>
      </w:pPr>
      <w:r>
        <w:rPr>
          <w:rStyle w:val="Voetnootmarkering"/>
        </w:rPr>
        <w:footnoteRef/>
      </w:r>
      <w:r>
        <w:t xml:space="preserve"> D. </w:t>
      </w:r>
      <w:r w:rsidRPr="008A7B9C">
        <w:rPr>
          <w:smallCaps/>
        </w:rPr>
        <w:t>Kochenov</w:t>
      </w:r>
      <w:r>
        <w:t xml:space="preserve">, and L. </w:t>
      </w:r>
      <w:r w:rsidRPr="008A7B9C">
        <w:rPr>
          <w:smallCaps/>
        </w:rPr>
        <w:t>Pech</w:t>
      </w:r>
      <w:r>
        <w:t xml:space="preserve">, “Upholding the Rule of Law in the EU: On the Commission’s ‘Pre-Article 7 Procedure’ as a Timid Step in the Right Direction”, </w:t>
      </w:r>
      <w:r w:rsidRPr="0012332C">
        <w:rPr>
          <w:i/>
        </w:rPr>
        <w:t>Foundation Robert Schuman Policy Paper European issues</w:t>
      </w:r>
      <w:r w:rsidRPr="0012332C">
        <w:t xml:space="preserve"> 2015, no. 356,</w:t>
      </w:r>
      <w:r>
        <w:t xml:space="preserve"> 8.</w:t>
      </w:r>
    </w:p>
  </w:footnote>
  <w:footnote w:id="46">
    <w:p w14:paraId="3C0EA435" w14:textId="77777777" w:rsidR="000562E7" w:rsidRPr="00786FD3" w:rsidRDefault="000562E7" w:rsidP="009362EE">
      <w:pPr>
        <w:pStyle w:val="1Voetnoot"/>
      </w:pPr>
      <w:r w:rsidRPr="00786FD3">
        <w:rPr>
          <w:rStyle w:val="Voetnootmarkering"/>
        </w:rPr>
        <w:footnoteRef/>
      </w:r>
      <w:r w:rsidRPr="00786FD3">
        <w:t xml:space="preserve"> Council of the European Union, </w:t>
      </w:r>
      <w:r>
        <w:t>“</w:t>
      </w:r>
      <w:r w:rsidRPr="00786FD3">
        <w:t>Ensuring respect for the rule of law in the European Union</w:t>
      </w:r>
      <w:r>
        <w:t>”</w:t>
      </w:r>
      <w:r w:rsidRPr="00786FD3">
        <w:t>, 14 November 2014, 15206/14, 4.</w:t>
      </w:r>
    </w:p>
  </w:footnote>
  <w:footnote w:id="47">
    <w:p w14:paraId="082E0086" w14:textId="706ADE56" w:rsidR="000562E7" w:rsidRPr="009362EE" w:rsidRDefault="000562E7" w:rsidP="009362EE">
      <w:pPr>
        <w:pStyle w:val="1Voetnoot"/>
      </w:pPr>
      <w:r>
        <w:rPr>
          <w:rStyle w:val="Voetnootmarkering"/>
        </w:rPr>
        <w:footnoteRef/>
      </w:r>
      <w:r>
        <w:t xml:space="preserve"> Articles 7(1) and (2) TEU.</w:t>
      </w:r>
    </w:p>
  </w:footnote>
  <w:footnote w:id="48">
    <w:p w14:paraId="5C83DCFA" w14:textId="77777777" w:rsidR="000562E7" w:rsidRPr="00CC6C8A" w:rsidRDefault="000562E7" w:rsidP="009F118C">
      <w:pPr>
        <w:pStyle w:val="1Voetnoot"/>
      </w:pPr>
      <w:r>
        <w:rPr>
          <w:rStyle w:val="Voetnootmarkering"/>
        </w:rPr>
        <w:footnoteRef/>
      </w:r>
      <w:r>
        <w:t xml:space="preserve"> D. </w:t>
      </w:r>
      <w:r w:rsidRPr="008A7B9C">
        <w:rPr>
          <w:smallCaps/>
        </w:rPr>
        <w:t>Kochenov</w:t>
      </w:r>
      <w:r>
        <w:t xml:space="preserve">, and L. </w:t>
      </w:r>
      <w:r w:rsidRPr="008A7B9C">
        <w:rPr>
          <w:smallCaps/>
        </w:rPr>
        <w:t>Pech</w:t>
      </w:r>
      <w:r>
        <w:t xml:space="preserve">, “Upholding the Rule of Law in the EU: On the Commission’s ‘Pre-Article 7 Procedure’ as a Timid Step in the Right Direction”, </w:t>
      </w:r>
      <w:r w:rsidRPr="0012332C">
        <w:rPr>
          <w:i/>
        </w:rPr>
        <w:t>Foundation Robert Schuman Policy Paper European issues</w:t>
      </w:r>
      <w:r w:rsidRPr="0012332C">
        <w:t xml:space="preserve"> 2015, no. 356,</w:t>
      </w:r>
      <w:r>
        <w:t xml:space="preserve"> 8.</w:t>
      </w:r>
    </w:p>
  </w:footnote>
  <w:footnote w:id="49">
    <w:p w14:paraId="68DFDDA5" w14:textId="77777777" w:rsidR="000562E7" w:rsidRPr="004F79B6" w:rsidRDefault="000562E7" w:rsidP="009F118C">
      <w:pPr>
        <w:pStyle w:val="1Voetnoot"/>
        <w:rPr>
          <w:lang w:val="en-US"/>
        </w:rPr>
      </w:pPr>
      <w:r>
        <w:rPr>
          <w:rStyle w:val="Voetnootmarkering"/>
        </w:rPr>
        <w:footnoteRef/>
      </w:r>
      <w:r w:rsidRPr="00746A9B">
        <w:rPr>
          <w:lang w:val="en-US"/>
        </w:rPr>
        <w:t xml:space="preserve"> </w:t>
      </w:r>
      <w:r w:rsidRPr="004F79B6">
        <w:rPr>
          <w:smallCaps/>
          <w:lang w:val="en-US"/>
        </w:rPr>
        <w:t>D. Kochenov</w:t>
      </w:r>
      <w:r w:rsidRPr="004F79B6">
        <w:rPr>
          <w:lang w:val="en-US"/>
        </w:rPr>
        <w:t xml:space="preserve"> and </w:t>
      </w:r>
      <w:r w:rsidRPr="004F79B6">
        <w:rPr>
          <w:smallCaps/>
          <w:lang w:val="en-US"/>
        </w:rPr>
        <w:t>L. Pech</w:t>
      </w:r>
      <w:r w:rsidRPr="004F79B6">
        <w:rPr>
          <w:lang w:val="en-US"/>
        </w:rPr>
        <w:t xml:space="preserve">, </w:t>
      </w:r>
      <w:r>
        <w:rPr>
          <w:lang w:val="en-US"/>
        </w:rPr>
        <w:t>“</w:t>
      </w:r>
      <w:r w:rsidRPr="004F79B6">
        <w:rPr>
          <w:lang w:val="en-US"/>
        </w:rPr>
        <w:t>From bad to worse? On the Commission and the Council</w:t>
      </w:r>
      <w:r>
        <w:rPr>
          <w:lang w:val="en-US"/>
        </w:rPr>
        <w:t>’</w:t>
      </w:r>
      <w:r w:rsidRPr="004F79B6">
        <w:rPr>
          <w:lang w:val="en-US"/>
        </w:rPr>
        <w:t>s rule of law initiatives</w:t>
      </w:r>
      <w:r>
        <w:rPr>
          <w:lang w:val="en-US"/>
        </w:rPr>
        <w:t>”</w:t>
      </w:r>
      <w:r w:rsidRPr="004F79B6">
        <w:rPr>
          <w:lang w:val="en-US"/>
        </w:rPr>
        <w:t xml:space="preserve">, </w:t>
      </w:r>
      <w:hyperlink r:id="rId6" w:history="1">
        <w:r w:rsidRPr="004F79B6">
          <w:rPr>
            <w:rStyle w:val="Hyperlink"/>
            <w:lang w:val="en-US"/>
          </w:rPr>
          <w:t>http://eulawanalysis.blogspot.be/2015/01/from-bad-to-worse-on-commission-and.htm</w:t>
        </w:r>
      </w:hyperlink>
      <w:r w:rsidRPr="004F79B6">
        <w:rPr>
          <w:lang w:val="en-US"/>
        </w:rPr>
        <w:t>, 19 January 2015.</w:t>
      </w:r>
    </w:p>
  </w:footnote>
  <w:footnote w:id="50">
    <w:p w14:paraId="746195F1" w14:textId="77777777" w:rsidR="000562E7" w:rsidRPr="00814C0D" w:rsidRDefault="000562E7" w:rsidP="00C03686">
      <w:pPr>
        <w:pStyle w:val="1Voetnoot"/>
      </w:pPr>
      <w:r>
        <w:rPr>
          <w:rStyle w:val="Voetnootmarkering"/>
        </w:rPr>
        <w:footnoteRef/>
      </w:r>
      <w:r>
        <w:t xml:space="preserve"> D. </w:t>
      </w:r>
      <w:r w:rsidRPr="008A7B9C">
        <w:rPr>
          <w:smallCaps/>
        </w:rPr>
        <w:t>Kochenov</w:t>
      </w:r>
      <w:r>
        <w:t xml:space="preserve"> and L. </w:t>
      </w:r>
      <w:r w:rsidRPr="008A7B9C">
        <w:rPr>
          <w:smallCaps/>
        </w:rPr>
        <w:t>Pech</w:t>
      </w:r>
      <w:r>
        <w:t xml:space="preserve">, “Upholding the Rule of Law in the EU: On the Commission’s ‘Pre-Article 7 Procedure’ as a Timid Step in the Right Direction”, </w:t>
      </w:r>
      <w:r w:rsidRPr="0012332C">
        <w:rPr>
          <w:i/>
        </w:rPr>
        <w:t>Foundation Robert Schuman Policy Paper European issues</w:t>
      </w:r>
      <w:r w:rsidRPr="0012332C">
        <w:t xml:space="preserve"> 2015, no. 356,</w:t>
      </w:r>
      <w:r>
        <w:t xml:space="preserve"> 9 and </w:t>
      </w:r>
      <w:r w:rsidRPr="00B5708D">
        <w:t xml:space="preserve">L. </w:t>
      </w:r>
      <w:r w:rsidRPr="00AF2577">
        <w:rPr>
          <w:smallCaps/>
        </w:rPr>
        <w:t>Pech</w:t>
      </w:r>
      <w:r w:rsidRPr="00B5708D">
        <w:t xml:space="preserve"> et al., “An EU mechanism on democracy, the rule of law and fundamental rights</w:t>
      </w:r>
      <w:r>
        <w:t xml:space="preserve"> – Annex 1”,</w:t>
      </w:r>
      <w:r w:rsidRPr="00B5708D">
        <w:t xml:space="preserve"> </w:t>
      </w:r>
      <w:r>
        <w:t>European Added Value Unit, PE 579.328, April 2016, 59.</w:t>
      </w:r>
    </w:p>
  </w:footnote>
  <w:footnote w:id="51">
    <w:p w14:paraId="338B4DAE" w14:textId="77777777" w:rsidR="000562E7" w:rsidRPr="00092CA7" w:rsidRDefault="000562E7" w:rsidP="009362EE">
      <w:pPr>
        <w:pStyle w:val="1Voetnoot"/>
      </w:pPr>
      <w:r>
        <w:rPr>
          <w:rStyle w:val="Voetnootmarkering"/>
        </w:rPr>
        <w:footnoteRef/>
      </w:r>
      <w:r>
        <w:t xml:space="preserve"> </w:t>
      </w:r>
      <w:r w:rsidRPr="00092CA7">
        <w:t>Article 7(1) TEU.</w:t>
      </w:r>
    </w:p>
  </w:footnote>
  <w:footnote w:id="52">
    <w:p w14:paraId="022FC935" w14:textId="77777777" w:rsidR="000562E7" w:rsidRPr="00272526" w:rsidRDefault="000562E7" w:rsidP="009362EE">
      <w:pPr>
        <w:pStyle w:val="1Voetnoot"/>
      </w:pPr>
      <w:r>
        <w:rPr>
          <w:rStyle w:val="Voetnootmarkering"/>
        </w:rPr>
        <w:footnoteRef/>
      </w:r>
      <w:r>
        <w:t xml:space="preserve"> Article 7(2) TEU.</w:t>
      </w:r>
    </w:p>
  </w:footnote>
  <w:footnote w:id="53">
    <w:p w14:paraId="7E46A42E" w14:textId="77777777" w:rsidR="000562E7" w:rsidRPr="00092CA7" w:rsidRDefault="000562E7" w:rsidP="009362EE">
      <w:pPr>
        <w:pStyle w:val="1Voetnoot"/>
      </w:pPr>
      <w:r>
        <w:rPr>
          <w:rStyle w:val="Voetnootmarkering"/>
        </w:rPr>
        <w:footnoteRef/>
      </w:r>
      <w:r>
        <w:t xml:space="preserve"> Article 7(3) TEU.</w:t>
      </w:r>
    </w:p>
  </w:footnote>
  <w:footnote w:id="54">
    <w:p w14:paraId="3FFAB972" w14:textId="0B9E4222" w:rsidR="000562E7" w:rsidRPr="00367B6B" w:rsidRDefault="000562E7" w:rsidP="00367B6B">
      <w:pPr>
        <w:pStyle w:val="1Voetnoot"/>
      </w:pPr>
      <w:r>
        <w:rPr>
          <w:rStyle w:val="Voetnootmarkering"/>
        </w:rPr>
        <w:footnoteRef/>
      </w:r>
      <w:r>
        <w:t xml:space="preserve"> The Amendment of 19 November 2015 to the Act on the Constitutional Tribunal.</w:t>
      </w:r>
    </w:p>
  </w:footnote>
  <w:footnote w:id="55">
    <w:p w14:paraId="0894799C" w14:textId="77777777" w:rsidR="000562E7" w:rsidRPr="00535710" w:rsidRDefault="000562E7" w:rsidP="00476EE7">
      <w:pPr>
        <w:pStyle w:val="1Voetnoot"/>
      </w:pPr>
      <w:r>
        <w:rPr>
          <w:rStyle w:val="Voetnootmarkering"/>
        </w:rPr>
        <w:footnoteRef/>
      </w:r>
      <w:r>
        <w:t xml:space="preserve"> European Commission for Democracy through Law (Venice Commission), Opinion on the amendments to the Act of 25 June 2015 on the Constitutional Tribunal of Poland, </w:t>
      </w:r>
      <w:r w:rsidRPr="00EB22C2">
        <w:rPr>
          <w:rFonts w:eastAsiaTheme="minorHAnsi" w:cs="Times New Roman"/>
          <w:szCs w:val="22"/>
        </w:rPr>
        <w:t>CDL-AD(2016)001,</w:t>
      </w:r>
      <w:r w:rsidRPr="00EB22C2">
        <w:rPr>
          <w:rFonts w:ascii="Arial,Bold" w:eastAsiaTheme="minorHAnsi" w:hAnsi="Arial,Bold"/>
          <w:szCs w:val="22"/>
        </w:rPr>
        <w:t xml:space="preserve"> </w:t>
      </w:r>
      <w:r>
        <w:t>11 March 2016, paragraph 18.</w:t>
      </w:r>
    </w:p>
  </w:footnote>
  <w:footnote w:id="56">
    <w:p w14:paraId="19CC2771" w14:textId="2AFE5E7A" w:rsidR="000562E7" w:rsidRPr="00367B6B" w:rsidRDefault="000562E7" w:rsidP="00476EE7">
      <w:pPr>
        <w:pStyle w:val="1Voetnoot"/>
      </w:pPr>
      <w:r>
        <w:rPr>
          <w:rStyle w:val="Voetnootmarkering"/>
        </w:rPr>
        <w:footnoteRef/>
      </w:r>
      <w:r>
        <w:t xml:space="preserve"> The Amendment of 22 December 2015 to the Act on the Constitutional Tribunal.</w:t>
      </w:r>
    </w:p>
  </w:footnote>
  <w:footnote w:id="57">
    <w:p w14:paraId="3045AA7C" w14:textId="20A56B8A" w:rsidR="000562E7" w:rsidRPr="00D92A13" w:rsidRDefault="000562E7" w:rsidP="00476EE7">
      <w:pPr>
        <w:pStyle w:val="1Voetnoot"/>
      </w:pPr>
      <w:r>
        <w:rPr>
          <w:rStyle w:val="Voetnootmarkering"/>
        </w:rPr>
        <w:footnoteRef/>
      </w:r>
      <w:r>
        <w:t xml:space="preserve"> European Commission for Democracy through Law (Venice Commission), Opinion on the amendments to the Act of 25 June 2015 on the Constitutional Tribunal of Poland, </w:t>
      </w:r>
      <w:r w:rsidRPr="00EB22C2">
        <w:rPr>
          <w:rFonts w:eastAsiaTheme="minorHAnsi" w:cs="Times New Roman"/>
          <w:szCs w:val="22"/>
        </w:rPr>
        <w:t>CDL-AD(2016)001,</w:t>
      </w:r>
      <w:r w:rsidRPr="00EB22C2">
        <w:rPr>
          <w:rFonts w:ascii="Arial,Bold" w:eastAsiaTheme="minorHAnsi" w:hAnsi="Arial,Bold"/>
          <w:szCs w:val="22"/>
        </w:rPr>
        <w:t xml:space="preserve"> </w:t>
      </w:r>
      <w:r>
        <w:t>11 March 2016, paragraph 30.</w:t>
      </w:r>
    </w:p>
  </w:footnote>
  <w:footnote w:id="58">
    <w:p w14:paraId="25F458DF" w14:textId="77777777" w:rsidR="000562E7" w:rsidRPr="00722378" w:rsidRDefault="000562E7" w:rsidP="00476EE7">
      <w:pPr>
        <w:pStyle w:val="1Voetnoot"/>
        <w:rPr>
          <w:rFonts w:eastAsiaTheme="minorHAnsi"/>
        </w:rPr>
      </w:pPr>
      <w:r>
        <w:rPr>
          <w:rStyle w:val="Voetnootmarkering"/>
        </w:rPr>
        <w:footnoteRef/>
      </w:r>
      <w:r>
        <w:t xml:space="preserve"> European Commission for Democracy through Law (Venice Commission), Opinion on the amendments to the Act of 25 June 2015 on the Constitutional Tribunal of Poland, </w:t>
      </w:r>
      <w:r w:rsidRPr="00EB22C2">
        <w:rPr>
          <w:rFonts w:eastAsiaTheme="minorHAnsi" w:cs="Times New Roman"/>
          <w:szCs w:val="22"/>
        </w:rPr>
        <w:t>CDL-AD(2016)001,</w:t>
      </w:r>
      <w:r w:rsidRPr="00EB22C2">
        <w:rPr>
          <w:rFonts w:ascii="Arial,Bold" w:eastAsiaTheme="minorHAnsi" w:hAnsi="Arial,Bold"/>
          <w:szCs w:val="22"/>
        </w:rPr>
        <w:t xml:space="preserve"> </w:t>
      </w:r>
      <w:r>
        <w:t>11 March 2016.</w:t>
      </w:r>
    </w:p>
  </w:footnote>
  <w:footnote w:id="59">
    <w:p w14:paraId="1D239AD8" w14:textId="77777777" w:rsidR="000562E7" w:rsidRPr="00AF2577" w:rsidRDefault="000562E7" w:rsidP="00476EE7">
      <w:pPr>
        <w:pStyle w:val="1Voetnoot"/>
      </w:pPr>
      <w:r>
        <w:rPr>
          <w:rStyle w:val="Voetnootmarkering"/>
        </w:rPr>
        <w:footnoteRef/>
      </w:r>
      <w:r>
        <w:t xml:space="preserve"> A. </w:t>
      </w:r>
      <w:r w:rsidRPr="00AF2577">
        <w:rPr>
          <w:smallCaps/>
        </w:rPr>
        <w:t>Eriksson</w:t>
      </w:r>
      <w:r>
        <w:t xml:space="preserve">, “EU still shy of ‘nuclear option’ on values”, </w:t>
      </w:r>
      <w:r>
        <w:rPr>
          <w:i/>
        </w:rPr>
        <w:t>EUobserver</w:t>
      </w:r>
      <w:r>
        <w:t xml:space="preserve">, 1 June 2016, </w:t>
      </w:r>
      <w:hyperlink r:id="rId7" w:history="1">
        <w:r w:rsidRPr="00F73A65">
          <w:rPr>
            <w:rStyle w:val="Hyperlink"/>
          </w:rPr>
          <w:t>http://euobserver.com/institutional/133649</w:t>
        </w:r>
      </w:hyperlink>
      <w:r>
        <w:t xml:space="preserve">. </w:t>
      </w:r>
    </w:p>
  </w:footnote>
  <w:footnote w:id="60">
    <w:p w14:paraId="79F80D16" w14:textId="77777777" w:rsidR="000562E7" w:rsidRPr="00AF2577" w:rsidRDefault="000562E7" w:rsidP="00476EE7">
      <w:pPr>
        <w:pStyle w:val="1Voetnoot"/>
      </w:pPr>
      <w:r>
        <w:rPr>
          <w:rStyle w:val="Voetnootmarkering"/>
        </w:rPr>
        <w:footnoteRef/>
      </w:r>
      <w:r>
        <w:t xml:space="preserve"> A. </w:t>
      </w:r>
      <w:r w:rsidRPr="00AF2577">
        <w:rPr>
          <w:smallCaps/>
        </w:rPr>
        <w:t>Eriksson</w:t>
      </w:r>
      <w:r>
        <w:t xml:space="preserve">, “EU still shy of ‘nuclear option’ on values”, </w:t>
      </w:r>
      <w:r>
        <w:rPr>
          <w:i/>
        </w:rPr>
        <w:t>EUobserver</w:t>
      </w:r>
      <w:r>
        <w:t xml:space="preserve">, 1 June 2016, </w:t>
      </w:r>
      <w:hyperlink r:id="rId8" w:history="1">
        <w:r w:rsidRPr="00F73A65">
          <w:rPr>
            <w:rStyle w:val="Hyperlink"/>
          </w:rPr>
          <w:t>http://euobserver.com/institutional/133649</w:t>
        </w:r>
      </w:hyperlink>
      <w:r>
        <w:t>.</w:t>
      </w:r>
    </w:p>
  </w:footnote>
  <w:footnote w:id="61">
    <w:p w14:paraId="6EB1B359" w14:textId="77777777" w:rsidR="000562E7" w:rsidRPr="001909A0" w:rsidRDefault="000562E7" w:rsidP="00476EE7">
      <w:pPr>
        <w:pStyle w:val="1Voetnoot"/>
        <w:rPr>
          <w:lang w:val="fr-FR"/>
        </w:rPr>
      </w:pPr>
      <w:r>
        <w:rPr>
          <w:rStyle w:val="Voetnootmarkering"/>
        </w:rPr>
        <w:footnoteRef/>
      </w:r>
      <w:r>
        <w:t xml:space="preserve"> </w:t>
      </w:r>
      <w:r>
        <w:rPr>
          <w:lang w:val="fr-FR"/>
        </w:rPr>
        <w:t xml:space="preserve">European Commission, </w:t>
      </w:r>
      <w:r>
        <w:t>“Commission Opinion of 1 June 2016 regarding the Rule of Law in Poland”, C(2016)3500 final, 1 June 2016.</w:t>
      </w:r>
    </w:p>
  </w:footnote>
  <w:footnote w:id="62">
    <w:p w14:paraId="7F85E49D" w14:textId="6702AD2D" w:rsidR="000562E7" w:rsidRPr="003C151C" w:rsidRDefault="000562E7" w:rsidP="00B84A33">
      <w:pPr>
        <w:pStyle w:val="1Voetnoot"/>
      </w:pPr>
      <w:r>
        <w:rPr>
          <w:rStyle w:val="Voetnootmarkering"/>
        </w:rPr>
        <w:footnoteRef/>
      </w:r>
      <w:r>
        <w:t xml:space="preserve"> European Commission Press Release, “Commission adopts Rule of Law Opinion on the situation in Poland”, IP/16/2015, 1 June 2016.</w:t>
      </w:r>
    </w:p>
  </w:footnote>
  <w:footnote w:id="63">
    <w:p w14:paraId="26532A1F" w14:textId="77777777" w:rsidR="000562E7" w:rsidRPr="00C05EFD" w:rsidRDefault="000562E7" w:rsidP="00B84A33">
      <w:pPr>
        <w:pStyle w:val="1Voetnoot"/>
        <w:rPr>
          <w:lang w:val="fr-FR"/>
        </w:rPr>
      </w:pPr>
      <w:r>
        <w:rPr>
          <w:rStyle w:val="Voetnootmarkering"/>
        </w:rPr>
        <w:footnoteRef/>
      </w:r>
      <w:r>
        <w:t xml:space="preserve"> Letter of the European Commission on the application for access to documents, Ref. Ares(2016)3176769, 4 July 2016. </w:t>
      </w:r>
    </w:p>
  </w:footnote>
  <w:footnote w:id="64">
    <w:p w14:paraId="20DA84E4" w14:textId="0F05D099" w:rsidR="000562E7" w:rsidRPr="00476EE7" w:rsidRDefault="000562E7" w:rsidP="00B84A33">
      <w:pPr>
        <w:pStyle w:val="1Voetnoot"/>
      </w:pPr>
      <w:r>
        <w:rPr>
          <w:rStyle w:val="Voetnootmarkering"/>
        </w:rPr>
        <w:footnoteRef/>
      </w:r>
      <w:r>
        <w:t xml:space="preserve"> European Commission for Democracy through Law (Venice Commission), Opinion on the amendments to the Act of 25 June 2015 on the Constitutional Tribunal of Poland, </w:t>
      </w:r>
      <w:r w:rsidRPr="00EB22C2">
        <w:rPr>
          <w:rFonts w:eastAsiaTheme="minorHAnsi" w:cs="Times New Roman"/>
          <w:szCs w:val="22"/>
        </w:rPr>
        <w:t>CDL-AD(2016)001,</w:t>
      </w:r>
      <w:r w:rsidRPr="00EB22C2">
        <w:rPr>
          <w:rFonts w:ascii="Arial,Bold" w:eastAsiaTheme="minorHAnsi" w:hAnsi="Arial,Bold"/>
          <w:szCs w:val="22"/>
        </w:rPr>
        <w:t xml:space="preserve"> </w:t>
      </w:r>
      <w:r>
        <w:t>11 March 2016</w:t>
      </w:r>
    </w:p>
  </w:footnote>
  <w:footnote w:id="65">
    <w:p w14:paraId="0F2E4171" w14:textId="77777777" w:rsidR="000562E7" w:rsidRPr="00C05EFD" w:rsidRDefault="000562E7" w:rsidP="00B84A33">
      <w:pPr>
        <w:pStyle w:val="1Voetnoot"/>
        <w:rPr>
          <w:lang w:val="fr-FR"/>
        </w:rPr>
      </w:pPr>
      <w:r>
        <w:rPr>
          <w:rStyle w:val="Voetnootmarkering"/>
        </w:rPr>
        <w:footnoteRef/>
      </w:r>
      <w:r>
        <w:t xml:space="preserve"> Letter of the European Commission on the application for access to documents, Ref. Ares(2016)6085448, 24 October 2016.</w:t>
      </w:r>
    </w:p>
  </w:footnote>
  <w:footnote w:id="66">
    <w:p w14:paraId="07C16BD8" w14:textId="0C809EE4" w:rsidR="000562E7" w:rsidRPr="00656C4F" w:rsidRDefault="000562E7" w:rsidP="00B84A33">
      <w:pPr>
        <w:pStyle w:val="1Voetnoot"/>
      </w:pPr>
      <w:r>
        <w:rPr>
          <w:rStyle w:val="Voetnootmarkering"/>
        </w:rPr>
        <w:footnoteRef/>
      </w:r>
      <w:r>
        <w:t xml:space="preserve"> </w:t>
      </w:r>
      <w:r>
        <w:rPr>
          <w:lang w:val="fr-FR"/>
        </w:rPr>
        <w:t xml:space="preserve">European Commission, </w:t>
      </w:r>
      <w:r>
        <w:t>“Commission Opinion of 1 June 2016 regarding the Rule of Law in Poland”, C(2016)3500 final, 1 June 2016, paragraph 52.</w:t>
      </w:r>
    </w:p>
  </w:footnote>
  <w:footnote w:id="67">
    <w:p w14:paraId="555D6F96" w14:textId="1A9CB2D8" w:rsidR="000562E7" w:rsidRPr="00656C4F" w:rsidRDefault="000562E7" w:rsidP="00B84A33">
      <w:pPr>
        <w:pStyle w:val="1Voetnoot"/>
      </w:pPr>
      <w:r>
        <w:rPr>
          <w:rStyle w:val="Voetnootmarkering"/>
        </w:rPr>
        <w:footnoteRef/>
      </w:r>
      <w:r>
        <w:t xml:space="preserve"> </w:t>
      </w:r>
      <w:r>
        <w:rPr>
          <w:lang w:val="fr-FR"/>
        </w:rPr>
        <w:t xml:space="preserve">European Commission, </w:t>
      </w:r>
      <w:r>
        <w:t>“Commission Opinion of 1 June 2016 regarding the Rule of Law in Poland”, C(2016)3500 final, 1 June 2016, paragraphs 74 and 76.</w:t>
      </w:r>
    </w:p>
  </w:footnote>
  <w:footnote w:id="68">
    <w:p w14:paraId="5C2C4C2B" w14:textId="7FE8DA4E" w:rsidR="000562E7" w:rsidRPr="00656C4F" w:rsidRDefault="000562E7" w:rsidP="00B84A33">
      <w:pPr>
        <w:pStyle w:val="1Voetnoot"/>
      </w:pPr>
      <w:r>
        <w:rPr>
          <w:rStyle w:val="Voetnootmarkering"/>
        </w:rPr>
        <w:footnoteRef/>
      </w:r>
      <w:r>
        <w:t xml:space="preserve"> </w:t>
      </w:r>
      <w:r>
        <w:rPr>
          <w:lang w:val="fr-FR"/>
        </w:rPr>
        <w:t xml:space="preserve">European Commission, </w:t>
      </w:r>
      <w:r>
        <w:t>“Commission Opinion of 1 June 2016 regarding the Rule of Law in Poland”, C(2016)3500 final, 1 June 2016, paragraph 74.</w:t>
      </w:r>
    </w:p>
  </w:footnote>
  <w:footnote w:id="69">
    <w:p w14:paraId="7E94AD0F" w14:textId="436996E1" w:rsidR="000562E7" w:rsidRPr="00656C4F" w:rsidRDefault="000562E7" w:rsidP="00B84A33">
      <w:pPr>
        <w:pStyle w:val="1Voetnoot"/>
      </w:pPr>
      <w:r>
        <w:rPr>
          <w:rStyle w:val="Voetnootmarkering"/>
        </w:rPr>
        <w:footnoteRef/>
      </w:r>
      <w:r>
        <w:t xml:space="preserve"> </w:t>
      </w:r>
      <w:r>
        <w:rPr>
          <w:lang w:val="fr-FR"/>
        </w:rPr>
        <w:t xml:space="preserve">European Commission, </w:t>
      </w:r>
      <w:r>
        <w:t>“Commission Opinion of 1 June 2016 regarding the Rule of Law in Poland”, C(2016)3500 final, 1 June 2016, paragraphs 75 and 76.</w:t>
      </w:r>
    </w:p>
  </w:footnote>
  <w:footnote w:id="70">
    <w:p w14:paraId="20C36306" w14:textId="087B6B3E" w:rsidR="000562E7" w:rsidRPr="00B84A33" w:rsidRDefault="000562E7" w:rsidP="00B84A33">
      <w:pPr>
        <w:pStyle w:val="1Voetnoot"/>
      </w:pPr>
      <w:r>
        <w:rPr>
          <w:rStyle w:val="Voetnootmarkering"/>
        </w:rPr>
        <w:footnoteRef/>
      </w:r>
      <w:r>
        <w:t xml:space="preserve"> </w:t>
      </w:r>
      <w:r>
        <w:rPr>
          <w:lang w:val="fr-FR"/>
        </w:rPr>
        <w:t xml:space="preserve">European Commission, </w:t>
      </w:r>
      <w:r>
        <w:t>“Commission Opinion of 1 June 2016 regarding the Rule of Law in Poland”, C(2016)3500 final, 1 June 2016, paragraph 84.</w:t>
      </w:r>
    </w:p>
  </w:footnote>
  <w:footnote w:id="71">
    <w:p w14:paraId="0967DB78" w14:textId="05862DE8" w:rsidR="000562E7" w:rsidRPr="00580588" w:rsidRDefault="000562E7" w:rsidP="00361AD1">
      <w:pPr>
        <w:pStyle w:val="1Voetnoot"/>
      </w:pPr>
      <w:r>
        <w:rPr>
          <w:rStyle w:val="Voetnootmarkering"/>
        </w:rPr>
        <w:footnoteRef/>
      </w:r>
      <w:r>
        <w:t xml:space="preserve"> European Commission, “Commission Recommendation of 27 July 2016 regarding the rule of law in Poland”, C(2016)5703 final, 27 June 2016.</w:t>
      </w:r>
    </w:p>
  </w:footnote>
  <w:footnote w:id="72">
    <w:p w14:paraId="12BE7E81" w14:textId="6135DD21" w:rsidR="000562E7" w:rsidRPr="005255CA" w:rsidRDefault="000562E7" w:rsidP="00361AD1">
      <w:pPr>
        <w:pStyle w:val="1Voetnoot"/>
      </w:pPr>
      <w:r>
        <w:rPr>
          <w:rStyle w:val="Voetnootmarkering"/>
        </w:rPr>
        <w:footnoteRef/>
      </w:r>
      <w:r>
        <w:t xml:space="preserve"> L. </w:t>
      </w:r>
      <w:r w:rsidRPr="005255CA">
        <w:rPr>
          <w:smallCaps/>
        </w:rPr>
        <w:t>Pech</w:t>
      </w:r>
      <w:r>
        <w:t xml:space="preserve">, “Commission Opinion of 1 June 2016 regarding the Rule of Law in Poland: Full text now available”, 19 August 2016, available at: </w:t>
      </w:r>
      <w:hyperlink r:id="rId9" w:history="1">
        <w:r w:rsidRPr="00F13D7E">
          <w:rPr>
            <w:rStyle w:val="Hyperlink"/>
          </w:rPr>
          <w:t>http://eulawanalysis.blogspot.be/2016/08/commission-opinion-of-1-june-2016.html</w:t>
        </w:r>
      </w:hyperlink>
      <w:r>
        <w:t xml:space="preserve">. </w:t>
      </w:r>
    </w:p>
  </w:footnote>
  <w:footnote w:id="73">
    <w:p w14:paraId="1A71AB0D" w14:textId="425653DE" w:rsidR="000562E7" w:rsidRPr="00361AD1" w:rsidRDefault="000562E7" w:rsidP="00361AD1">
      <w:pPr>
        <w:pStyle w:val="1Voetnoot"/>
      </w:pPr>
      <w:r>
        <w:rPr>
          <w:rStyle w:val="Voetnootmarkering"/>
        </w:rPr>
        <w:footnoteRef/>
      </w:r>
      <w:r>
        <w:t xml:space="preserve"> European Commission, “Commission Recommendation of 27 July 2016 regarding the rule of law in Poland”, C(2016)5703 final, 27 June 2016, paragraph 54.</w:t>
      </w:r>
    </w:p>
  </w:footnote>
  <w:footnote w:id="74">
    <w:p w14:paraId="130F472B" w14:textId="2A817D4F" w:rsidR="000562E7" w:rsidRPr="00361AD1" w:rsidRDefault="000562E7" w:rsidP="00361AD1">
      <w:pPr>
        <w:pStyle w:val="1Voetnoot"/>
      </w:pPr>
      <w:r>
        <w:rPr>
          <w:rStyle w:val="Voetnootmarkering"/>
        </w:rPr>
        <w:footnoteRef/>
      </w:r>
      <w:r>
        <w:t xml:space="preserve"> Article 61(6) juncto Article 30(5) New Act.</w:t>
      </w:r>
    </w:p>
  </w:footnote>
  <w:footnote w:id="75">
    <w:p w14:paraId="5683AD7E" w14:textId="0C7F18AF" w:rsidR="000562E7" w:rsidRPr="00CC1F9D" w:rsidRDefault="000562E7" w:rsidP="00CC1F9D">
      <w:pPr>
        <w:pStyle w:val="1Voetnoot"/>
      </w:pPr>
      <w:r>
        <w:rPr>
          <w:rStyle w:val="Voetnootmarkering"/>
        </w:rPr>
        <w:footnoteRef/>
      </w:r>
      <w:r>
        <w:t xml:space="preserve"> European Commission, “Commission Recommendation of 27 July 2016 regarding the rule of law in Poland”, C(2016)5703 final, 27 June 2016, paragraph 72.</w:t>
      </w:r>
    </w:p>
  </w:footnote>
  <w:footnote w:id="76">
    <w:p w14:paraId="339FA552" w14:textId="71C4F75E" w:rsidR="000562E7" w:rsidRPr="00CC1F9D" w:rsidRDefault="000562E7" w:rsidP="00CC1F9D">
      <w:pPr>
        <w:pStyle w:val="1Voetnoot"/>
      </w:pPr>
      <w:r>
        <w:rPr>
          <w:rStyle w:val="Voetnootmarkering"/>
        </w:rPr>
        <w:footnoteRef/>
      </w:r>
      <w:r>
        <w:t xml:space="preserve"> European Commission, “Commission Recommendation of 27 July 2016 regarding the rule of law in Poland”, C(2016)5703 final, 27 June 2016, paragraphs 74(a) and (b).</w:t>
      </w:r>
    </w:p>
  </w:footnote>
  <w:footnote w:id="77">
    <w:p w14:paraId="7BCF6E22" w14:textId="3AABC4D3" w:rsidR="000562E7" w:rsidRPr="00CC1F9D" w:rsidRDefault="000562E7" w:rsidP="00CC1F9D">
      <w:pPr>
        <w:pStyle w:val="1Voetnoot"/>
      </w:pPr>
      <w:r>
        <w:rPr>
          <w:rStyle w:val="Voetnootmarkering"/>
        </w:rPr>
        <w:footnoteRef/>
      </w:r>
      <w:r>
        <w:t xml:space="preserve"> European Commission, “Commission Recommendation of 27 July 2016 regarding the rule of law in Poland”, C(2016)5703 final, 27 June 2016, paragraph 74(c).</w:t>
      </w:r>
    </w:p>
  </w:footnote>
  <w:footnote w:id="78">
    <w:p w14:paraId="29EEBAF7" w14:textId="374B63D9" w:rsidR="000562E7" w:rsidRPr="00CC1F9D" w:rsidRDefault="000562E7" w:rsidP="00CC1F9D">
      <w:pPr>
        <w:pStyle w:val="1Voetnoot"/>
      </w:pPr>
      <w:r>
        <w:rPr>
          <w:rStyle w:val="Voetnootmarkering"/>
        </w:rPr>
        <w:footnoteRef/>
      </w:r>
      <w:r>
        <w:t xml:space="preserve"> European Commission, “Commission Recommendation of 27 July 2016 regarding the rule of law in Poland”, C(2016)5703 final, 27 June 2016, paragraph 74(d).</w:t>
      </w:r>
    </w:p>
  </w:footnote>
  <w:footnote w:id="79">
    <w:p w14:paraId="3D60BDB7" w14:textId="75D0D5D3" w:rsidR="000562E7" w:rsidRPr="00CC1F9D" w:rsidRDefault="000562E7" w:rsidP="00CC1F9D">
      <w:pPr>
        <w:pStyle w:val="1Voetnoot"/>
      </w:pPr>
      <w:r>
        <w:rPr>
          <w:rStyle w:val="Voetnootmarkering"/>
        </w:rPr>
        <w:footnoteRef/>
      </w:r>
      <w:r>
        <w:t xml:space="preserve"> European Commission, “Commission Recommendation of 27 July 2016 regarding the rule of law in Poland”, C(2016)5703 final, 27 June 2016, paragraph 74(e).</w:t>
      </w:r>
    </w:p>
  </w:footnote>
  <w:footnote w:id="80">
    <w:p w14:paraId="461840DA" w14:textId="77777777" w:rsidR="000562E7" w:rsidRPr="00707BF8" w:rsidRDefault="000562E7" w:rsidP="00B873B9">
      <w:pPr>
        <w:pStyle w:val="1Voetnoot"/>
        <w:rPr>
          <w:lang w:val="fr-FR"/>
        </w:rPr>
      </w:pPr>
      <w:r>
        <w:rPr>
          <w:rStyle w:val="Voetnootmarkering"/>
        </w:rPr>
        <w:footnoteRef/>
      </w:r>
      <w:r>
        <w:t xml:space="preserve"> </w:t>
      </w:r>
      <w:r w:rsidRPr="00707BF8">
        <w:rPr>
          <w:smallCaps/>
          <w:lang w:val="fr-FR"/>
        </w:rPr>
        <w:t>H. Goulard</w:t>
      </w:r>
      <w:r>
        <w:rPr>
          <w:lang w:val="fr-FR"/>
        </w:rPr>
        <w:t xml:space="preserve">, </w:t>
      </w:r>
      <w:r>
        <w:t>“Poland rejects Commission</w:t>
      </w:r>
      <w:r>
        <w:rPr>
          <w:lang w:val="en-US"/>
        </w:rPr>
        <w:t>’</w:t>
      </w:r>
      <w:r>
        <w:t xml:space="preserve">s rule of law request”, 29 October 2016, </w:t>
      </w:r>
      <w:r>
        <w:rPr>
          <w:lang w:val="fr-FR"/>
        </w:rPr>
        <w:t xml:space="preserve">available at: </w:t>
      </w:r>
      <w:hyperlink r:id="rId10" w:history="1">
        <w:r w:rsidRPr="00481B1E">
          <w:rPr>
            <w:rStyle w:val="Hyperlink"/>
            <w:lang w:val="fr-FR"/>
          </w:rPr>
          <w:t>http://www.politico.eu/article/beate-szydlo-eu-law-and-justice-poland-rejects-commissions-rule-of-law-request/</w:t>
        </w:r>
      </w:hyperlink>
      <w:r>
        <w:rPr>
          <w:lang w:val="fr-FR"/>
        </w:rPr>
        <w:t xml:space="preserve"> </w:t>
      </w:r>
    </w:p>
  </w:footnote>
  <w:footnote w:id="81">
    <w:p w14:paraId="139F464B" w14:textId="17ECE833" w:rsidR="000562E7" w:rsidRPr="008343E7" w:rsidRDefault="000562E7" w:rsidP="009D4816">
      <w:pPr>
        <w:pStyle w:val="1Voetnoot"/>
        <w:rPr>
          <w:lang w:val="fr-FR"/>
        </w:rPr>
      </w:pPr>
      <w:r>
        <w:rPr>
          <w:rStyle w:val="Voetnootmarkering"/>
        </w:rPr>
        <w:footnoteRef/>
      </w:r>
      <w:r>
        <w:t xml:space="preserve"> </w:t>
      </w:r>
      <w:r>
        <w:rPr>
          <w:lang w:val="fr-FR"/>
        </w:rPr>
        <w:t>Ministry of Foreign Affairs Republic of Poland,</w:t>
      </w:r>
      <w:r>
        <w:t xml:space="preserve"> “MFA Statement on the Polish government's response to Commission Recommendation of 27.07.2016”, 27 October 2016, available at: </w:t>
      </w:r>
      <w:hyperlink r:id="rId11" w:history="1">
        <w:r w:rsidRPr="00481B1E">
          <w:rPr>
            <w:rStyle w:val="Hyperlink"/>
          </w:rPr>
          <w:t>http://www.mfa.gov.pl/en/news/mfa_statement_on_the_polish_government_s_response_to_commission_recommendation_of_27_07_2016</w:t>
        </w:r>
      </w:hyperlink>
      <w:r>
        <w:t>.</w:t>
      </w:r>
    </w:p>
  </w:footnote>
  <w:footnote w:id="82">
    <w:p w14:paraId="73708FB9" w14:textId="389013BB" w:rsidR="000562E7" w:rsidRPr="005B2FB1" w:rsidRDefault="000562E7" w:rsidP="009D4816">
      <w:pPr>
        <w:pStyle w:val="1Voetnoot"/>
        <w:rPr>
          <w:lang w:val="fr-FR"/>
        </w:rPr>
      </w:pPr>
      <w:r>
        <w:rPr>
          <w:rStyle w:val="Voetnootmarkering"/>
        </w:rPr>
        <w:footnoteRef/>
      </w:r>
      <w:r w:rsidRPr="005B2FB1">
        <w:rPr>
          <w:lang w:val="fr-FR"/>
        </w:rPr>
        <w:t xml:space="preserve"> </w:t>
      </w:r>
      <w:r>
        <w:rPr>
          <w:lang w:val="fr-FR"/>
        </w:rPr>
        <w:t xml:space="preserve">Ministry of Foreign Affairs Republic of Poland, </w:t>
      </w:r>
      <w:r>
        <w:t xml:space="preserve">“MFA Statement on the Polish government’s response to Commission Recommendation of 27.07.2016”, 27 October 2016, available at: </w:t>
      </w:r>
      <w:hyperlink r:id="rId12" w:history="1">
        <w:r w:rsidRPr="00F13D7E">
          <w:rPr>
            <w:rStyle w:val="Hyperlink"/>
            <w:lang w:val="fr-FR"/>
          </w:rPr>
          <w:t>http://www.msz.gov.pl/en/news/mfa_statement_on_the_polish_government_s_response_to_commission_recommendation_of_27_07_2016</w:t>
        </w:r>
      </w:hyperlink>
      <w:r>
        <w:rPr>
          <w:lang w:val="fr-FR"/>
        </w:rPr>
        <w:t>.</w:t>
      </w:r>
    </w:p>
  </w:footnote>
  <w:footnote w:id="83">
    <w:p w14:paraId="6340E2C0" w14:textId="56ABB61B" w:rsidR="000562E7" w:rsidRPr="00D40694" w:rsidRDefault="000562E7" w:rsidP="009D4816">
      <w:pPr>
        <w:pStyle w:val="1Voetnoot"/>
      </w:pPr>
      <w:r>
        <w:rPr>
          <w:rStyle w:val="Voetnootmarkering"/>
        </w:rPr>
        <w:footnoteRef/>
      </w:r>
      <w:r>
        <w:t xml:space="preserve"> </w:t>
      </w:r>
      <w:r>
        <w:rPr>
          <w:lang w:val="fr-FR"/>
        </w:rPr>
        <w:t>European Commisison for Democracy through Law (Venice Commission), Opinion on the Act on the Constitutional Tribunal of Poland, CDL-AD(2016)026, 14 October 2016.</w:t>
      </w:r>
    </w:p>
  </w:footnote>
  <w:footnote w:id="84">
    <w:p w14:paraId="213B8245" w14:textId="517582F7" w:rsidR="000562E7" w:rsidRPr="00495777" w:rsidRDefault="000562E7" w:rsidP="009D4816">
      <w:pPr>
        <w:pStyle w:val="1Voetnoot"/>
        <w:rPr>
          <w:lang w:val="fr-FR"/>
        </w:rPr>
      </w:pPr>
      <w:r>
        <w:rPr>
          <w:rStyle w:val="Voetnootmarkering"/>
        </w:rPr>
        <w:footnoteRef/>
      </w:r>
      <w:r>
        <w:t xml:space="preserve"> </w:t>
      </w:r>
      <w:r>
        <w:rPr>
          <w:lang w:val="fr-FR"/>
        </w:rPr>
        <w:t>European Commisison for Democracy through Law (Venice Commission), Opinion on the Act on the Constitutional Tribunal of Poland, CDL-AD(2016)026, 14 October 2016, paragraph 123.</w:t>
      </w:r>
    </w:p>
  </w:footnote>
  <w:footnote w:id="85">
    <w:p w14:paraId="59BDDADA" w14:textId="4F1508AE" w:rsidR="000562E7" w:rsidRPr="009D4816" w:rsidRDefault="000562E7" w:rsidP="009D4816">
      <w:pPr>
        <w:pStyle w:val="1Voetnoot"/>
      </w:pPr>
      <w:r>
        <w:rPr>
          <w:rStyle w:val="Voetnootmarkering"/>
        </w:rPr>
        <w:footnoteRef/>
      </w:r>
      <w:r>
        <w:t xml:space="preserve"> European Commission, “Commission Recommendation of 21 December 2016 regarding the rule of law in Poland complementary to Commission Recommendation (EU) 2016/1374”, C(2016)8950 final, 21 December 2016.</w:t>
      </w:r>
    </w:p>
  </w:footnote>
  <w:footnote w:id="86">
    <w:p w14:paraId="1F6B420E" w14:textId="480D071E" w:rsidR="000562E7" w:rsidRPr="003C7C69" w:rsidRDefault="000562E7" w:rsidP="0050124E">
      <w:pPr>
        <w:pStyle w:val="1Voetnoot"/>
      </w:pPr>
      <w:r>
        <w:rPr>
          <w:rStyle w:val="Voetnootmarkering"/>
        </w:rPr>
        <w:footnoteRef/>
      </w:r>
      <w:r>
        <w:t xml:space="preserve"> </w:t>
      </w:r>
      <w:r>
        <w:rPr>
          <w:lang w:val="fr-FR"/>
        </w:rPr>
        <w:t>Ministry of Foreign Affairs Republic of Poland,</w:t>
      </w:r>
      <w:r>
        <w:t xml:space="preserve"> “</w:t>
      </w:r>
      <w:r w:rsidRPr="0050124E">
        <w:t>MFA statement on Poland’s response to European Commission’s complementary Rec</w:t>
      </w:r>
      <w:r>
        <w:t xml:space="preserve">ommendation of 21 December 2016, 20 February 2017, </w:t>
      </w:r>
      <w:hyperlink r:id="rId13" w:history="1">
        <w:r w:rsidRPr="00F13D7E">
          <w:rPr>
            <w:rStyle w:val="Hyperlink"/>
          </w:rPr>
          <w:t>http://www.mfa.gov.pl/en/news/mfa_statement_on_poland_s_response_to_european_commission_s_complementary_recommendation_of_21_december_2016_</w:t>
        </w:r>
      </w:hyperlink>
      <w:r>
        <w:t xml:space="preserve">. </w:t>
      </w:r>
    </w:p>
  </w:footnote>
  <w:footnote w:id="87">
    <w:p w14:paraId="25584989" w14:textId="37B94FA0" w:rsidR="000562E7" w:rsidRPr="009D4816" w:rsidRDefault="000562E7" w:rsidP="00307B6C">
      <w:pPr>
        <w:pStyle w:val="1Voetnoot"/>
      </w:pPr>
      <w:r>
        <w:rPr>
          <w:rStyle w:val="Voetnootmarkering"/>
        </w:rPr>
        <w:footnoteRef/>
      </w:r>
      <w:r>
        <w:t xml:space="preserve"> European Commission, “Commission Recommendation of 21 December 2016 regarding the rule of law in Poland complementary to Commission Recommendation (EU) 2016/1374”, C(2016)8950 final, 21 December 2016, paragraph 69.</w:t>
      </w:r>
    </w:p>
  </w:footnote>
  <w:footnote w:id="88">
    <w:p w14:paraId="112E3949" w14:textId="345F4EB2" w:rsidR="000562E7" w:rsidRPr="008C0195" w:rsidRDefault="000562E7" w:rsidP="00307B6C">
      <w:pPr>
        <w:pStyle w:val="1Voetnoot"/>
      </w:pPr>
      <w:r>
        <w:rPr>
          <w:rStyle w:val="Voetnootmarkering"/>
        </w:rPr>
        <w:footnoteRef/>
      </w:r>
      <w:r>
        <w:t xml:space="preserve"> </w:t>
      </w:r>
      <w:r w:rsidRPr="008C0195">
        <w:t>D. KOCHENOV, and L. PECH, “Upholding the Rule of Law in the EU: On the Commission’s ‘Pre-Article 7 Procedure’ as a Timid Step in the Right Direction”, Foundation Robert Schuman Policy Paper European issues 2015, no. 356, 1.</w:t>
      </w:r>
    </w:p>
  </w:footnote>
  <w:footnote w:id="89">
    <w:p w14:paraId="63634B43" w14:textId="18B72B25" w:rsidR="000562E7" w:rsidRPr="007F5AD4" w:rsidRDefault="000562E7" w:rsidP="00307B6C">
      <w:pPr>
        <w:pStyle w:val="1Voetnoot"/>
      </w:pPr>
      <w:r>
        <w:rPr>
          <w:rStyle w:val="Voetnootmarkering"/>
        </w:rPr>
        <w:footnoteRef/>
      </w:r>
      <w:r>
        <w:t xml:space="preserve"> </w:t>
      </w:r>
      <w:r w:rsidRPr="00786FD3">
        <w:t xml:space="preserve">Council of the European Union, </w:t>
      </w:r>
      <w:r>
        <w:t>“</w:t>
      </w:r>
      <w:r w:rsidRPr="00786FD3">
        <w:t>Ensuring respect for the rule of law in the European Union</w:t>
      </w:r>
      <w:r>
        <w:t>”, 15206/14, 14 November 2014, 5</w:t>
      </w:r>
      <w:r w:rsidRPr="00786FD3">
        <w:t>.</w:t>
      </w:r>
    </w:p>
  </w:footnote>
  <w:footnote w:id="90">
    <w:p w14:paraId="4240FBBD" w14:textId="1B543D81" w:rsidR="000562E7" w:rsidRPr="00786FD3" w:rsidRDefault="000562E7" w:rsidP="006110AB">
      <w:pPr>
        <w:pStyle w:val="1Voetnoot"/>
      </w:pPr>
      <w:r w:rsidRPr="00786FD3">
        <w:rPr>
          <w:rStyle w:val="Voetnootmarkering"/>
        </w:rPr>
        <w:footnoteRef/>
      </w:r>
      <w:r>
        <w:t xml:space="preserve"> </w:t>
      </w:r>
      <w:r w:rsidRPr="00786FD3">
        <w:t xml:space="preserve">Council of the European Union, </w:t>
      </w:r>
      <w:r>
        <w:t>“</w:t>
      </w:r>
      <w:r w:rsidRPr="00786FD3">
        <w:t>Ensuring respect for the rule of law in the European Union</w:t>
      </w:r>
      <w:r>
        <w:t xml:space="preserve">”, 15206/14, 14 November 2014, 5; and </w:t>
      </w:r>
      <w:r w:rsidRPr="00786FD3">
        <w:t>Council of the European Union, Press Release, Brussels, 16936/14, 16 December 2014, 21.</w:t>
      </w:r>
    </w:p>
  </w:footnote>
  <w:footnote w:id="91">
    <w:p w14:paraId="5A151584" w14:textId="2ECA6379" w:rsidR="000562E7" w:rsidRPr="00547E5C" w:rsidRDefault="000562E7" w:rsidP="00547E5C">
      <w:pPr>
        <w:pStyle w:val="1Voetnoot"/>
        <w:rPr>
          <w:lang w:val="fr-FR"/>
        </w:rPr>
      </w:pPr>
      <w:r>
        <w:rPr>
          <w:rStyle w:val="Voetnootmarkering"/>
        </w:rPr>
        <w:footnoteRef/>
      </w:r>
      <w:r>
        <w:t xml:space="preserve"> </w:t>
      </w:r>
      <w:r w:rsidRPr="00786FD3">
        <w:t>Council of the European Union, Press Release, Brussels, 16936/14, 16 December 2014, 21.</w:t>
      </w:r>
    </w:p>
  </w:footnote>
  <w:footnote w:id="92">
    <w:p w14:paraId="2AE09000" w14:textId="439B44AA" w:rsidR="000562E7" w:rsidRPr="00FB1908" w:rsidRDefault="000562E7" w:rsidP="00FB1908">
      <w:pPr>
        <w:pStyle w:val="1Voetnoot"/>
        <w:rPr>
          <w:b/>
          <w:lang w:val="fr-FR"/>
        </w:rPr>
      </w:pPr>
      <w:r>
        <w:rPr>
          <w:rStyle w:val="Voetnootmarkering"/>
        </w:rPr>
        <w:footnoteRef/>
      </w:r>
      <w:r>
        <w:t xml:space="preserve"> </w:t>
      </w:r>
      <w:r w:rsidRPr="00786FD3">
        <w:t>Council of the European Union, Press Release, Brussels, 16936/14, 16 December 2014, 21.</w:t>
      </w:r>
    </w:p>
  </w:footnote>
  <w:footnote w:id="93">
    <w:p w14:paraId="4AFB45CF" w14:textId="00FF8775" w:rsidR="000562E7" w:rsidRPr="00575F4D" w:rsidRDefault="000562E7" w:rsidP="00575F4D">
      <w:pPr>
        <w:pStyle w:val="1Voetnoot"/>
        <w:rPr>
          <w:lang w:val="fr-FR"/>
        </w:rPr>
      </w:pPr>
      <w:r>
        <w:rPr>
          <w:rStyle w:val="Voetnootmarkering"/>
        </w:rPr>
        <w:footnoteRef/>
      </w:r>
      <w:r>
        <w:t xml:space="preserve"> Council of the European Union, “Ensuring respect for the rule of law in the rule of law – Dialogue and exchange of views”, 13744/15, 9 November 2015, 4.</w:t>
      </w:r>
    </w:p>
  </w:footnote>
  <w:footnote w:id="94">
    <w:p w14:paraId="7B00EAC1" w14:textId="59973CC1" w:rsidR="000562E7" w:rsidRPr="006C4E52" w:rsidRDefault="000562E7" w:rsidP="006C4E52">
      <w:pPr>
        <w:pStyle w:val="1Voetnoot"/>
        <w:rPr>
          <w:lang w:val="fr-FR"/>
        </w:rPr>
      </w:pPr>
      <w:r>
        <w:rPr>
          <w:rStyle w:val="Voetnootmarkering"/>
        </w:rPr>
        <w:footnoteRef/>
      </w:r>
      <w:r>
        <w:t xml:space="preserve"> </w:t>
      </w:r>
      <w:r w:rsidRPr="00FB1908">
        <w:rPr>
          <w:smallCaps/>
        </w:rPr>
        <w:t>P. Oliver</w:t>
      </w:r>
      <w:r>
        <w:t xml:space="preserve"> and </w:t>
      </w:r>
      <w:r w:rsidRPr="00FB1908">
        <w:rPr>
          <w:smallCaps/>
        </w:rPr>
        <w:t>J. Stefanelli</w:t>
      </w:r>
      <w:r>
        <w:t xml:space="preserve">, “Strengthening the Rule of Law in the EU: The Council's Inaction”, </w:t>
      </w:r>
      <w:r>
        <w:rPr>
          <w:i/>
        </w:rPr>
        <w:t xml:space="preserve">Journal of Common Market Studies </w:t>
      </w:r>
      <w:r>
        <w:t>2016, 5.</w:t>
      </w:r>
    </w:p>
  </w:footnote>
  <w:footnote w:id="95">
    <w:p w14:paraId="50C6BBA8" w14:textId="77777777" w:rsidR="000562E7" w:rsidRPr="00526DDD" w:rsidRDefault="000562E7" w:rsidP="00D12191">
      <w:pPr>
        <w:pStyle w:val="1Voetnoot"/>
        <w:rPr>
          <w:lang w:val="fr-FR"/>
        </w:rPr>
      </w:pPr>
      <w:r>
        <w:rPr>
          <w:rStyle w:val="Voetnootmarkering"/>
        </w:rPr>
        <w:footnoteRef/>
      </w:r>
      <w:r>
        <w:t xml:space="preserve"> </w:t>
      </w:r>
      <w:r w:rsidRPr="00FB1908">
        <w:rPr>
          <w:smallCaps/>
        </w:rPr>
        <w:t>P. Oliver</w:t>
      </w:r>
      <w:r>
        <w:t xml:space="preserve"> and </w:t>
      </w:r>
      <w:r w:rsidRPr="00FB1908">
        <w:rPr>
          <w:smallCaps/>
        </w:rPr>
        <w:t>J. Stefanelli</w:t>
      </w:r>
      <w:r>
        <w:t xml:space="preserve">, “Strengthening the Rule of Law in the EU: The Council's Inaction”, </w:t>
      </w:r>
      <w:r>
        <w:rPr>
          <w:i/>
        </w:rPr>
        <w:t xml:space="preserve">Journal of Common Market Studies </w:t>
      </w:r>
      <w:r>
        <w:t>2016, 4.</w:t>
      </w:r>
    </w:p>
  </w:footnote>
  <w:footnote w:id="96">
    <w:p w14:paraId="6935A3B8" w14:textId="0CE918B8" w:rsidR="000562E7" w:rsidRPr="00F469AD" w:rsidRDefault="000562E7" w:rsidP="00D600A5">
      <w:pPr>
        <w:pStyle w:val="1Voetnoot"/>
        <w:rPr>
          <w:lang w:val="fr-FR"/>
        </w:rPr>
      </w:pPr>
      <w:r>
        <w:rPr>
          <w:rStyle w:val="Voetnootmarkering"/>
        </w:rPr>
        <w:footnoteRef/>
      </w:r>
      <w:r>
        <w:t xml:space="preserve"> </w:t>
      </w:r>
      <w:r w:rsidRPr="00F469AD">
        <w:rPr>
          <w:smallCaps/>
          <w:lang w:val="fr-FR"/>
        </w:rPr>
        <w:t>L. Besselink</w:t>
      </w:r>
      <w:r>
        <w:rPr>
          <w:lang w:val="fr-FR"/>
        </w:rPr>
        <w:t xml:space="preserve">, </w:t>
      </w:r>
      <w:r>
        <w:t xml:space="preserve">“The bite, the bark and the howl: Article 7 TEU and the Rule of Law Initiatives”, </w:t>
      </w:r>
      <w:r>
        <w:rPr>
          <w:i/>
        </w:rPr>
        <w:t xml:space="preserve">Amsterdam Law School Legal Studies Research Paper </w:t>
      </w:r>
      <w:r>
        <w:t>No. 2016-02, 26.</w:t>
      </w:r>
    </w:p>
  </w:footnote>
  <w:footnote w:id="97">
    <w:p w14:paraId="64D88162" w14:textId="77777777" w:rsidR="000562E7" w:rsidRPr="00536BB2" w:rsidRDefault="000562E7" w:rsidP="00D600A5">
      <w:pPr>
        <w:pStyle w:val="1Voetnoot"/>
      </w:pPr>
      <w:r>
        <w:rPr>
          <w:rStyle w:val="Voetnootmarkering"/>
        </w:rPr>
        <w:footnoteRef/>
      </w:r>
      <w:r>
        <w:t xml:space="preserve"> D. </w:t>
      </w:r>
      <w:r w:rsidRPr="00536BB2">
        <w:rPr>
          <w:smallCaps/>
        </w:rPr>
        <w:t>Kochenov</w:t>
      </w:r>
      <w:r>
        <w:t xml:space="preserve">, A. </w:t>
      </w:r>
      <w:r w:rsidRPr="00536BB2">
        <w:rPr>
          <w:smallCaps/>
        </w:rPr>
        <w:t>Magen</w:t>
      </w:r>
      <w:r>
        <w:t xml:space="preserve"> and L. </w:t>
      </w:r>
      <w:r w:rsidRPr="00536BB2">
        <w:rPr>
          <w:smallCaps/>
        </w:rPr>
        <w:t>Pech</w:t>
      </w:r>
      <w:r>
        <w:t xml:space="preserve">, “Introduction: the great Rule of Law debate”, </w:t>
      </w:r>
      <w:r>
        <w:rPr>
          <w:i/>
        </w:rPr>
        <w:t>Journal of Common Market Studies</w:t>
      </w:r>
      <w:r>
        <w:t xml:space="preserve"> 2016, (1)4.</w:t>
      </w:r>
    </w:p>
  </w:footnote>
  <w:footnote w:id="98">
    <w:p w14:paraId="62DD4B87" w14:textId="638CCCF1" w:rsidR="000562E7" w:rsidRPr="003B6731" w:rsidRDefault="000562E7" w:rsidP="00D600A5">
      <w:pPr>
        <w:pStyle w:val="1Voetnoot"/>
        <w:rPr>
          <w:lang w:val="fr-FR"/>
        </w:rPr>
      </w:pPr>
      <w:r>
        <w:rPr>
          <w:rStyle w:val="Voetnootmarkering"/>
        </w:rPr>
        <w:footnoteRef/>
      </w:r>
      <w:r>
        <w:t xml:space="preserve"> </w:t>
      </w:r>
      <w:r w:rsidRPr="00F469AD">
        <w:rPr>
          <w:smallCaps/>
          <w:lang w:val="fr-FR"/>
        </w:rPr>
        <w:t>L. Besselink</w:t>
      </w:r>
      <w:r>
        <w:rPr>
          <w:lang w:val="fr-FR"/>
        </w:rPr>
        <w:t xml:space="preserve">, </w:t>
      </w:r>
      <w:r>
        <w:t xml:space="preserve">“The bite, the bark and the howl: Article 7 TEU and the Rule of Law Initiatives”, </w:t>
      </w:r>
      <w:r>
        <w:rPr>
          <w:i/>
        </w:rPr>
        <w:t xml:space="preserve">Amsterdam Law School Legal Studies Research Paper </w:t>
      </w:r>
      <w:r>
        <w:t>No. 2016-02, 31.</w:t>
      </w:r>
    </w:p>
  </w:footnote>
  <w:footnote w:id="99">
    <w:p w14:paraId="297973AB" w14:textId="77777777" w:rsidR="000562E7" w:rsidRPr="00C76F01" w:rsidRDefault="000562E7" w:rsidP="00D600A5">
      <w:pPr>
        <w:pStyle w:val="1Voetnoot"/>
      </w:pPr>
      <w:r>
        <w:rPr>
          <w:rStyle w:val="Voetnootmarkering"/>
        </w:rPr>
        <w:footnoteRef/>
      </w:r>
      <w:r>
        <w:t xml:space="preserve"> Committee on Civil Liberties, Justice and Home Affairs, 9 April 2016.</w:t>
      </w:r>
    </w:p>
  </w:footnote>
  <w:footnote w:id="100">
    <w:p w14:paraId="7CB066DE" w14:textId="108FDC13" w:rsidR="000562E7" w:rsidRPr="009E15D6" w:rsidRDefault="000562E7" w:rsidP="00D600A5">
      <w:pPr>
        <w:pStyle w:val="1Voetnoot"/>
        <w:rPr>
          <w:lang w:val="fr-FR"/>
        </w:rPr>
      </w:pPr>
      <w:r>
        <w:rPr>
          <w:rStyle w:val="Voetnootmarkering"/>
        </w:rPr>
        <w:footnoteRef/>
      </w:r>
      <w:r>
        <w:t xml:space="preserve"> Committee on Civil Liberties, Justice and Home Affairs, Report with recommendations to the Commission on the establishment of an EU mechanism on democracy, the rule of law and fundamental rights, 28-0283/2016, 10 October 2016, 24.</w:t>
      </w:r>
    </w:p>
  </w:footnote>
  <w:footnote w:id="101">
    <w:p w14:paraId="1D5C5AC3" w14:textId="3B3B4EA5" w:rsidR="000562E7" w:rsidRPr="001D7144" w:rsidRDefault="000562E7" w:rsidP="00D600A5">
      <w:pPr>
        <w:pStyle w:val="1Voetnoot"/>
        <w:rPr>
          <w:lang w:val="fr-FR"/>
        </w:rPr>
      </w:pPr>
      <w:r>
        <w:rPr>
          <w:rStyle w:val="Voetnootmarkering"/>
        </w:rPr>
        <w:footnoteRef/>
      </w:r>
      <w:r>
        <w:t xml:space="preserve"> </w:t>
      </w:r>
      <w:r>
        <w:rPr>
          <w:lang w:val="fr-FR"/>
        </w:rPr>
        <w:t>Article 1 of the Draft Inter-Institutional Agreement on arrangements concerning monitoring and follow-up procedures on the situation of Democracy, the Rule of Law and Fundamental Rights in the Member States and EU institutions.</w:t>
      </w:r>
    </w:p>
  </w:footnote>
  <w:footnote w:id="102">
    <w:p w14:paraId="01CB0B68" w14:textId="77777777" w:rsidR="000562E7" w:rsidRPr="004607E0" w:rsidRDefault="000562E7" w:rsidP="00364BFA">
      <w:pPr>
        <w:pStyle w:val="1Voetnoot"/>
        <w:rPr>
          <w:lang w:val="fr-FR"/>
        </w:rPr>
      </w:pPr>
      <w:r>
        <w:rPr>
          <w:rStyle w:val="Voetnootmarkering"/>
        </w:rPr>
        <w:footnoteRef/>
      </w:r>
      <w:r>
        <w:t xml:space="preserve"> Article 7 </w:t>
      </w:r>
      <w:r>
        <w:rPr>
          <w:lang w:val="fr-FR"/>
        </w:rPr>
        <w:t>of the Draft Inter-Institutional Agreement on arrangements concerning monitoring and follow-up procedures on the situation of Democracy, the Rule of Law and Fundamental Rights in the Member States and EU institutions focuses on a number of aspects, such as separation of powers, right to active and passive democratic participation in elections and participatory democracy, legal certainty, access to justice, titles I to VI of the Charter and the European Convention on Human Rights.</w:t>
      </w:r>
    </w:p>
  </w:footnote>
  <w:footnote w:id="103">
    <w:p w14:paraId="5BB5B7AA" w14:textId="7B461886" w:rsidR="000562E7" w:rsidRPr="001D7144" w:rsidRDefault="000562E7" w:rsidP="00C6312C">
      <w:pPr>
        <w:pStyle w:val="1Voetnoot"/>
        <w:rPr>
          <w:lang w:val="fr-FR"/>
        </w:rPr>
      </w:pPr>
      <w:r>
        <w:rPr>
          <w:rStyle w:val="Voetnootmarkering"/>
        </w:rPr>
        <w:footnoteRef/>
      </w:r>
      <w:r>
        <w:t xml:space="preserve"> </w:t>
      </w:r>
      <w:r>
        <w:rPr>
          <w:lang w:val="fr-FR"/>
        </w:rPr>
        <w:t>Articles 4 and 6 of the Draft Inter-Institutional Agreement on arrangements concerning monitoring and follow-up procedures on the situation of Democracy, the Rule of Law and Fundamental Rights in the Member States and EU institutions.</w:t>
      </w:r>
    </w:p>
  </w:footnote>
  <w:footnote w:id="104">
    <w:p w14:paraId="518FF790" w14:textId="4B27BB20" w:rsidR="000562E7" w:rsidRPr="00C6312C" w:rsidRDefault="000562E7" w:rsidP="00C6312C">
      <w:pPr>
        <w:pStyle w:val="1Voetnoot"/>
        <w:rPr>
          <w:lang w:val="fr-FR"/>
        </w:rPr>
      </w:pPr>
      <w:r>
        <w:rPr>
          <w:rStyle w:val="Voetnootmarkering"/>
        </w:rPr>
        <w:footnoteRef/>
      </w:r>
      <w:r>
        <w:t xml:space="preserve"> </w:t>
      </w:r>
      <w:r>
        <w:rPr>
          <w:lang w:val="fr-FR"/>
        </w:rPr>
        <w:t>Article 9 of the Draft Inter-Institutional Agreement on arrangements concerning monitoring and follow-up procedures on the situation of Democracy, the Rule of Law and Fundamental Rights in the Member States and EU institutions</w:t>
      </w:r>
    </w:p>
  </w:footnote>
  <w:footnote w:id="105">
    <w:p w14:paraId="4C439C38" w14:textId="09BE53A2" w:rsidR="000562E7" w:rsidRPr="00D66CEE" w:rsidRDefault="000562E7" w:rsidP="00566591">
      <w:pPr>
        <w:pStyle w:val="1Voetnoot"/>
        <w:rPr>
          <w:lang w:val="fr-FR"/>
        </w:rPr>
      </w:pPr>
      <w:r>
        <w:rPr>
          <w:rStyle w:val="Voetnootmarkering"/>
        </w:rPr>
        <w:footnoteRef/>
      </w:r>
      <w:r>
        <w:t xml:space="preserve"> </w:t>
      </w:r>
      <w:r>
        <w:rPr>
          <w:lang w:val="fr-FR"/>
        </w:rPr>
        <w:t>Article 10 of the Draft Inter-Institutional Agreement on arrangements concerning monitoring and follow-up procedures on the situation of Democracy, the Rule of Law and Fundamental Rights in the Member States and EU institutions.</w:t>
      </w:r>
    </w:p>
  </w:footnote>
  <w:footnote w:id="106">
    <w:p w14:paraId="5315971D" w14:textId="1ED2A8C8" w:rsidR="000562E7" w:rsidRPr="00BE63F0" w:rsidRDefault="000562E7" w:rsidP="00566591">
      <w:pPr>
        <w:pStyle w:val="1Voetnoot"/>
        <w:rPr>
          <w:lang w:val="fr-FR"/>
        </w:rPr>
      </w:pPr>
      <w:r>
        <w:rPr>
          <w:rStyle w:val="Voetnootmarkering"/>
        </w:rPr>
        <w:footnoteRef/>
      </w:r>
      <w:r>
        <w:t xml:space="preserve"> </w:t>
      </w:r>
      <w:r>
        <w:rPr>
          <w:smallCaps/>
        </w:rPr>
        <w:t>K.L.</w:t>
      </w:r>
      <w:r w:rsidRPr="00B45197">
        <w:rPr>
          <w:smallCaps/>
        </w:rPr>
        <w:t xml:space="preserve"> Scheppele</w:t>
      </w:r>
      <w:r w:rsidRPr="00B45197">
        <w:t xml:space="preserve">, </w:t>
      </w:r>
      <w:r>
        <w:t>“</w:t>
      </w:r>
      <w:r w:rsidRPr="00B45197">
        <w:t>What can the European Commission do when Member States violate basic principles of the European Union? The case for systemic infringement actions</w:t>
      </w:r>
      <w:r>
        <w:t>”</w:t>
      </w:r>
      <w:r w:rsidRPr="00B45197">
        <w:t>,</w:t>
      </w:r>
      <w:r>
        <w:t xml:space="preserve"> available at:</w:t>
      </w:r>
      <w:r w:rsidRPr="00B45197">
        <w:t xml:space="preserve"> </w:t>
      </w:r>
      <w:hyperlink r:id="rId14" w:history="1">
        <w:r w:rsidRPr="00B45197">
          <w:rPr>
            <w:rStyle w:val="Hyperlink"/>
          </w:rPr>
          <w:t>http://ec.europa.eu/justice/events/assises-justice-2013/files/contributions/45.princetonuniversityscheppelesystemicinfringementactionbrusselsversion_en.pdf</w:t>
        </w:r>
      </w:hyperlink>
      <w:r>
        <w:t>, November 2013</w:t>
      </w:r>
      <w:r w:rsidRPr="00B45197">
        <w:t>.</w:t>
      </w:r>
    </w:p>
  </w:footnote>
  <w:footnote w:id="107">
    <w:p w14:paraId="0D03A8DE" w14:textId="77777777" w:rsidR="000562E7" w:rsidRPr="00966784" w:rsidRDefault="000562E7" w:rsidP="00FE04B2">
      <w:pPr>
        <w:pStyle w:val="1Voetnoot"/>
        <w:rPr>
          <w:lang w:val="fr-FR"/>
        </w:rPr>
      </w:pPr>
      <w:r>
        <w:rPr>
          <w:rStyle w:val="Voetnootmarkering"/>
        </w:rPr>
        <w:footnoteRef/>
      </w:r>
      <w:r>
        <w:t xml:space="preserve"> Judgment of 26 April 2005, Commission v. Ireland C-494/01</w:t>
      </w:r>
      <w:r w:rsidRPr="006E3711">
        <w:t xml:space="preserve">, </w:t>
      </w:r>
      <w:r w:rsidRPr="006E3711">
        <w:rPr>
          <w:rFonts w:eastAsiaTheme="minorHAnsi" w:cs="Times New Roman"/>
          <w:bCs/>
          <w:lang w:val="en-US" w:eastAsia="en-US"/>
        </w:rPr>
        <w:t>ECLI:EU:C:2005:250</w:t>
      </w:r>
      <w:r w:rsidRPr="00770FA7">
        <w:rPr>
          <w:rFonts w:cs="Times New Roman"/>
        </w:rPr>
        <w:t>,</w:t>
      </w:r>
      <w:r>
        <w:t xml:space="preserve"> paragraph 32.</w:t>
      </w:r>
    </w:p>
  </w:footnote>
  <w:footnote w:id="108">
    <w:p w14:paraId="60720B10" w14:textId="77777777" w:rsidR="000562E7" w:rsidRPr="00E51BFB" w:rsidRDefault="000562E7" w:rsidP="00FE04B2">
      <w:pPr>
        <w:pStyle w:val="1Voetnoot"/>
        <w:rPr>
          <w:lang w:val="fr-FR"/>
        </w:rPr>
      </w:pPr>
      <w:r>
        <w:rPr>
          <w:rStyle w:val="Voetnootmarkering"/>
        </w:rPr>
        <w:footnoteRef/>
      </w:r>
      <w:r>
        <w:t xml:space="preserve"> </w:t>
      </w:r>
      <w:r w:rsidRPr="00862B11">
        <w:rPr>
          <w:smallCaps/>
          <w:lang w:val="fr-FR"/>
        </w:rPr>
        <w:t>P. Blokker</w:t>
      </w:r>
      <w:r>
        <w:rPr>
          <w:lang w:val="fr-FR"/>
        </w:rPr>
        <w:t xml:space="preserve">, </w:t>
      </w:r>
      <w:r>
        <w:t>“</w:t>
      </w:r>
      <w:r>
        <w:rPr>
          <w:lang w:val="fr-FR"/>
        </w:rPr>
        <w:t>Systemic infringement action: an effective solution or rather part of the problem?</w:t>
      </w:r>
      <w:r>
        <w:t>”</w:t>
      </w:r>
      <w:r>
        <w:rPr>
          <w:lang w:val="fr-FR"/>
        </w:rPr>
        <w:t xml:space="preserve">, 5 December 2013, available at: </w:t>
      </w:r>
      <w:hyperlink r:id="rId15" w:anchor=".VUSKkEJoWE4" w:history="1">
        <w:r w:rsidRPr="00CF321C">
          <w:rPr>
            <w:rStyle w:val="Hyperlink"/>
            <w:lang w:val="fr-FR"/>
          </w:rPr>
          <w:t>http://www.verfassungsblog.de/systemic-infringement-action-an-effective-solution-or-rather-part-of-the-problem/#.VUSKkEJoWE4</w:t>
        </w:r>
      </w:hyperlink>
      <w:r w:rsidRPr="00CF321C">
        <w:rPr>
          <w:lang w:val="fr-FR"/>
        </w:rPr>
        <w:t>.</w:t>
      </w:r>
    </w:p>
  </w:footnote>
  <w:footnote w:id="109">
    <w:p w14:paraId="121F4A6B" w14:textId="77777777" w:rsidR="000562E7" w:rsidRPr="00411299" w:rsidRDefault="000562E7" w:rsidP="00FE04B2">
      <w:pPr>
        <w:pStyle w:val="1Voetnoot"/>
        <w:rPr>
          <w:lang w:val="fr-FR"/>
        </w:rPr>
      </w:pPr>
      <w:r w:rsidRPr="00411299">
        <w:rPr>
          <w:rStyle w:val="Voetnootmarkering"/>
        </w:rPr>
        <w:footnoteRef/>
      </w:r>
      <w:r w:rsidRPr="00411299">
        <w:t xml:space="preserve"> </w:t>
      </w:r>
      <w:r w:rsidRPr="00411299">
        <w:rPr>
          <w:smallCaps/>
        </w:rPr>
        <w:t>D. Kochenov</w:t>
      </w:r>
      <w:r w:rsidRPr="00411299">
        <w:t xml:space="preserve">, </w:t>
      </w:r>
      <w:r>
        <w:t>“</w:t>
      </w:r>
      <w:r w:rsidRPr="00411299">
        <w:t xml:space="preserve">How to turn Article 2 TEU </w:t>
      </w:r>
      <w:r>
        <w:t>into a down-to-Earth provision?”</w:t>
      </w:r>
      <w:r w:rsidRPr="00411299">
        <w:t xml:space="preserve">, 8 December 2013, </w:t>
      </w:r>
      <w:r>
        <w:t xml:space="preserve">available at: </w:t>
      </w:r>
      <w:hyperlink r:id="rId16" w:anchor=".VUSx8EJoWE4" w:history="1">
        <w:r w:rsidRPr="00411299">
          <w:rPr>
            <w:rStyle w:val="Hyperlink"/>
          </w:rPr>
          <w:t>http://www.verfassungsblog.de/how-to-turn-article-2-teu-into-a-down-to-earth-provision/#.VUSx8EJoWE4</w:t>
        </w:r>
      </w:hyperlink>
      <w:r w:rsidRPr="00411299">
        <w:t>.</w:t>
      </w:r>
    </w:p>
  </w:footnote>
  <w:footnote w:id="110">
    <w:p w14:paraId="5576AA09" w14:textId="77777777" w:rsidR="000562E7" w:rsidRPr="00411299" w:rsidRDefault="000562E7" w:rsidP="00FE04B2">
      <w:pPr>
        <w:pStyle w:val="1Voetnoot"/>
        <w:rPr>
          <w:lang w:val="fr-FR"/>
        </w:rPr>
      </w:pPr>
      <w:r>
        <w:rPr>
          <w:rStyle w:val="Voetnootmarkering"/>
        </w:rPr>
        <w:footnoteRef/>
      </w:r>
      <w:r>
        <w:t xml:space="preserve"> </w:t>
      </w:r>
      <w:r>
        <w:rPr>
          <w:lang w:val="fr-FR"/>
        </w:rPr>
        <w:t xml:space="preserve">Opinion of Advocate General Geelhoed in </w:t>
      </w:r>
      <w:r>
        <w:t>judgment of 26 April 2005, Commission v. Ireland C-494/01</w:t>
      </w:r>
      <w:r w:rsidRPr="006E3711">
        <w:t xml:space="preserve">, </w:t>
      </w:r>
      <w:r w:rsidRPr="006E3711">
        <w:rPr>
          <w:rFonts w:eastAsiaTheme="minorHAnsi" w:cs="Times New Roman"/>
          <w:bCs/>
          <w:lang w:val="en-US" w:eastAsia="en-US"/>
        </w:rPr>
        <w:t>ECLI:EU:C:2004:546</w:t>
      </w:r>
      <w:r>
        <w:t>, paragraph 19.</w:t>
      </w:r>
    </w:p>
  </w:footnote>
  <w:footnote w:id="111">
    <w:p w14:paraId="24035465" w14:textId="0BC4467F" w:rsidR="000562E7" w:rsidRPr="00CF321C" w:rsidRDefault="000562E7" w:rsidP="00BE11A8">
      <w:pPr>
        <w:pStyle w:val="1Voetnoot"/>
        <w:rPr>
          <w:lang w:val="fr-FR"/>
        </w:rPr>
      </w:pPr>
      <w:r>
        <w:rPr>
          <w:rStyle w:val="Voetnootmarkering"/>
        </w:rPr>
        <w:footnoteRef/>
      </w:r>
      <w:r>
        <w:t xml:space="preserve"> </w:t>
      </w:r>
      <w:r w:rsidRPr="00862B11">
        <w:rPr>
          <w:smallCaps/>
          <w:lang w:val="fr-FR"/>
        </w:rPr>
        <w:t>P. Blokker</w:t>
      </w:r>
      <w:r>
        <w:rPr>
          <w:lang w:val="fr-FR"/>
        </w:rPr>
        <w:t xml:space="preserve">, </w:t>
      </w:r>
      <w:r>
        <w:t>“</w:t>
      </w:r>
      <w:r>
        <w:rPr>
          <w:lang w:val="fr-FR"/>
        </w:rPr>
        <w:t>Systemic infringement action: an effective solution or rather part of the problem?</w:t>
      </w:r>
      <w:r w:rsidRPr="00BE11A8">
        <w:t xml:space="preserve"> </w:t>
      </w:r>
      <w:r>
        <w:t>”</w:t>
      </w:r>
      <w:r>
        <w:rPr>
          <w:lang w:val="fr-FR"/>
        </w:rPr>
        <w:t xml:space="preserve">, 5 December 2013, available at: </w:t>
      </w:r>
      <w:hyperlink r:id="rId17" w:anchor=".VUSKkEJoWE4" w:history="1">
        <w:r w:rsidRPr="00CF321C">
          <w:rPr>
            <w:rStyle w:val="Hyperlink"/>
            <w:lang w:val="fr-FR"/>
          </w:rPr>
          <w:t>http://www.verfassungsblog.de/systemic-infringement-action-an-effective-solution-or-rather-part-of-the-problem/#.VUSKkEJoWE4</w:t>
        </w:r>
      </w:hyperlink>
      <w:r w:rsidRPr="00CF321C">
        <w:rPr>
          <w:lang w:val="fr-FR"/>
        </w:rPr>
        <w:t xml:space="preserve">. </w:t>
      </w:r>
    </w:p>
  </w:footnote>
  <w:footnote w:id="112">
    <w:p w14:paraId="2EC95F43" w14:textId="6B97B5E9" w:rsidR="000562E7" w:rsidRPr="00862B11" w:rsidRDefault="000562E7" w:rsidP="00BE11A8">
      <w:pPr>
        <w:pStyle w:val="1Voetnoot"/>
        <w:rPr>
          <w:lang w:val="fr-FR"/>
        </w:rPr>
      </w:pPr>
      <w:r>
        <w:rPr>
          <w:rStyle w:val="Voetnootmarkering"/>
        </w:rPr>
        <w:footnoteRef/>
      </w:r>
      <w:r>
        <w:t xml:space="preserve"> </w:t>
      </w:r>
      <w:r w:rsidRPr="00862B11">
        <w:rPr>
          <w:smallCaps/>
          <w:lang w:val="fr-FR"/>
        </w:rPr>
        <w:t>P. Blokker</w:t>
      </w:r>
      <w:r>
        <w:rPr>
          <w:lang w:val="fr-FR"/>
        </w:rPr>
        <w:t xml:space="preserve">, </w:t>
      </w:r>
      <w:r>
        <w:t>“</w:t>
      </w:r>
      <w:r>
        <w:rPr>
          <w:lang w:val="fr-FR"/>
        </w:rPr>
        <w:t>Systemic infringement action: an effective solution or rather part of the problem?</w:t>
      </w:r>
      <w:r>
        <w:t>”</w:t>
      </w:r>
      <w:r>
        <w:rPr>
          <w:lang w:val="fr-FR"/>
        </w:rPr>
        <w:t>, 5 December 2013, available at:</w:t>
      </w:r>
      <w:r w:rsidRPr="00770FA7">
        <w:t xml:space="preserve"> </w:t>
      </w:r>
      <w:hyperlink r:id="rId18" w:anchor=".VUSKkEJoWE4" w:history="1">
        <w:r w:rsidRPr="00481B1E">
          <w:rPr>
            <w:rStyle w:val="Hyperlink"/>
            <w:lang w:val="fr-FR"/>
          </w:rPr>
          <w:t>http://verfassungsblog.de/systemic-infringement-action-an-effective-solution-or-rather-part-of-the-problem/#.VUSKkEJoWE4</w:t>
        </w:r>
      </w:hyperlink>
      <w:r w:rsidRPr="00CF321C">
        <w:rPr>
          <w:lang w:val="fr-FR"/>
        </w:rPr>
        <w:t>.</w:t>
      </w:r>
      <w:r>
        <w:rPr>
          <w:lang w:val="fr-FR"/>
        </w:rPr>
        <w:t xml:space="preserve"> </w:t>
      </w:r>
    </w:p>
  </w:footnote>
  <w:footnote w:id="113">
    <w:p w14:paraId="5FB18DDB" w14:textId="61C18594" w:rsidR="000562E7" w:rsidRPr="003F6B6F" w:rsidRDefault="000562E7" w:rsidP="003F6B6F">
      <w:pPr>
        <w:pStyle w:val="1Voetnoot"/>
        <w:rPr>
          <w:lang w:val="fr-FR"/>
        </w:rPr>
      </w:pPr>
      <w:r>
        <w:rPr>
          <w:rStyle w:val="Voetnootmarkering"/>
        </w:rPr>
        <w:footnoteRef/>
      </w:r>
      <w:r>
        <w:t xml:space="preserve"> </w:t>
      </w:r>
      <w:r>
        <w:rPr>
          <w:lang w:val="fr-FR"/>
        </w:rPr>
        <w:t>Article 10.1 of the Draft Inter-Institutional Agreement on arrangements concerning monitoring and follow-up procedures on the situation of Democracy, the Rule of Law and Fundamental Rights in the Member States and EU institutions.</w:t>
      </w:r>
    </w:p>
  </w:footnote>
  <w:footnote w:id="114">
    <w:p w14:paraId="3F27B36D" w14:textId="08C4590C" w:rsidR="000562E7" w:rsidRPr="003F6B6F" w:rsidRDefault="000562E7" w:rsidP="003F6B6F">
      <w:pPr>
        <w:pStyle w:val="1Voetnoot"/>
        <w:rPr>
          <w:lang w:val="fr-FR"/>
        </w:rPr>
      </w:pPr>
      <w:r>
        <w:rPr>
          <w:rStyle w:val="Voetnootmarkering"/>
        </w:rPr>
        <w:footnoteRef/>
      </w:r>
      <w:r>
        <w:t xml:space="preserve"> Article 10.2</w:t>
      </w:r>
      <w:r w:rsidRPr="00D600A5">
        <w:rPr>
          <w:lang w:val="fr-FR"/>
        </w:rPr>
        <w:t xml:space="preserve"> </w:t>
      </w:r>
      <w:r>
        <w:rPr>
          <w:lang w:val="fr-FR"/>
        </w:rPr>
        <w:t>of the Draft Inter-Institutional Agreement on arrangements concerning monitoring and follow-up procedures on the situation of Democracy, the Rule of Law and Fundamental Rights in the Member States and EU institutions.</w:t>
      </w:r>
    </w:p>
  </w:footnote>
  <w:footnote w:id="115">
    <w:p w14:paraId="44547128" w14:textId="024E9571" w:rsidR="000562E7" w:rsidRPr="003F6B6F" w:rsidRDefault="000562E7" w:rsidP="006A3BB9">
      <w:pPr>
        <w:pStyle w:val="1Voetnoot"/>
        <w:rPr>
          <w:lang w:val="fr-FR"/>
        </w:rPr>
      </w:pPr>
      <w:r>
        <w:rPr>
          <w:rStyle w:val="Voetnootmarkering"/>
        </w:rPr>
        <w:footnoteRef/>
      </w:r>
      <w:r>
        <w:t xml:space="preserve"> </w:t>
      </w:r>
      <w:r>
        <w:rPr>
          <w:lang w:val="fr-FR"/>
        </w:rPr>
        <w:t>Article 10.2.1</w:t>
      </w:r>
      <w:r w:rsidRPr="00D600A5">
        <w:rPr>
          <w:lang w:val="fr-FR"/>
        </w:rPr>
        <w:t xml:space="preserve"> </w:t>
      </w:r>
      <w:r>
        <w:rPr>
          <w:lang w:val="fr-FR"/>
        </w:rPr>
        <w:t>of the Draft Inter-Institutional Agreement on arrangements concerning monitoring and follow-up procedures on the situation of Democracy, the Rule of Law and Fundamental Rights in the Member States and EU institutions.</w:t>
      </w:r>
    </w:p>
  </w:footnote>
  <w:footnote w:id="116">
    <w:p w14:paraId="4DA58098" w14:textId="570711F2" w:rsidR="000562E7" w:rsidRPr="006A3BB9" w:rsidRDefault="000562E7" w:rsidP="00D600A5">
      <w:pPr>
        <w:pStyle w:val="1Voetnoot"/>
        <w:rPr>
          <w:lang w:val="fr-FR"/>
        </w:rPr>
      </w:pPr>
      <w:r>
        <w:rPr>
          <w:rStyle w:val="Voetnootmarkering"/>
        </w:rPr>
        <w:footnoteRef/>
      </w:r>
      <w:r>
        <w:t xml:space="preserve"> </w:t>
      </w:r>
      <w:r>
        <w:rPr>
          <w:lang w:val="fr-FR"/>
        </w:rPr>
        <w:t>Article 10.3</w:t>
      </w:r>
      <w:r w:rsidRPr="00D600A5">
        <w:rPr>
          <w:lang w:val="fr-FR"/>
        </w:rPr>
        <w:t xml:space="preserve"> </w:t>
      </w:r>
      <w:r>
        <w:rPr>
          <w:lang w:val="fr-FR"/>
        </w:rPr>
        <w:t>of the Draft Inter-Institutional Agreement on arrangements concerning monitoring and follow-up procedures on the situation of Democracy, the Rule of Law and Fundamental Rights in the Member States and EU institutions.</w:t>
      </w:r>
    </w:p>
  </w:footnote>
  <w:footnote w:id="117">
    <w:p w14:paraId="320E3573" w14:textId="77777777" w:rsidR="000562E7" w:rsidRPr="005D793D" w:rsidRDefault="000562E7" w:rsidP="00D600A5">
      <w:pPr>
        <w:pStyle w:val="1Voetnoot"/>
      </w:pPr>
      <w:r>
        <w:rPr>
          <w:rStyle w:val="Voetnootmarkering"/>
        </w:rPr>
        <w:footnoteRef/>
      </w:r>
      <w:r>
        <w:t xml:space="preserve"> D. </w:t>
      </w:r>
      <w:r w:rsidRPr="008A7B9C">
        <w:rPr>
          <w:smallCaps/>
        </w:rPr>
        <w:t>Kochenov</w:t>
      </w:r>
      <w:r>
        <w:t xml:space="preserve">, and L. </w:t>
      </w:r>
      <w:r w:rsidRPr="008A7B9C">
        <w:rPr>
          <w:smallCaps/>
        </w:rPr>
        <w:t>Pech</w:t>
      </w:r>
      <w:r>
        <w:t xml:space="preserve">, “Upholding the Rule of Law in the EU: On the Commission’s ‘Pre-Article 7 Procedure’ as a Timid Step in the Right Direction”, </w:t>
      </w:r>
      <w:r w:rsidRPr="0012332C">
        <w:rPr>
          <w:i/>
        </w:rPr>
        <w:t>Foundation Robert Schuman Policy Paper European issues</w:t>
      </w:r>
      <w:r w:rsidRPr="0012332C">
        <w:t xml:space="preserve"> 2015, no. 356,</w:t>
      </w:r>
      <w:r>
        <w:t xml:space="preserve"> 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28665" w14:textId="77777777" w:rsidR="000562E7" w:rsidRPr="00555891" w:rsidRDefault="000562E7" w:rsidP="00555891">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D1D3B"/>
    <w:multiLevelType w:val="hybridMultilevel"/>
    <w:tmpl w:val="AF34EC4C"/>
    <w:lvl w:ilvl="0" w:tplc="D0060ABA">
      <w:start w:val="1"/>
      <w:numFmt w:val="decimal"/>
      <w:pStyle w:val="Kop3"/>
      <w:lvlText w:val="%1."/>
      <w:lvlJc w:val="left"/>
      <w:pPr>
        <w:ind w:left="2268" w:hanging="567"/>
      </w:pPr>
      <w:rPr>
        <w:rFonts w:hint="default"/>
      </w:rPr>
    </w:lvl>
    <w:lvl w:ilvl="1" w:tplc="08090019" w:tentative="1">
      <w:start w:val="1"/>
      <w:numFmt w:val="lowerLetter"/>
      <w:lvlText w:val="%2."/>
      <w:lvlJc w:val="left"/>
      <w:pPr>
        <w:ind w:left="3414" w:hanging="360"/>
      </w:pPr>
    </w:lvl>
    <w:lvl w:ilvl="2" w:tplc="0809001B" w:tentative="1">
      <w:start w:val="1"/>
      <w:numFmt w:val="lowerRoman"/>
      <w:lvlText w:val="%3."/>
      <w:lvlJc w:val="right"/>
      <w:pPr>
        <w:ind w:left="4134" w:hanging="180"/>
      </w:pPr>
    </w:lvl>
    <w:lvl w:ilvl="3" w:tplc="0809000F" w:tentative="1">
      <w:start w:val="1"/>
      <w:numFmt w:val="decimal"/>
      <w:lvlText w:val="%4."/>
      <w:lvlJc w:val="left"/>
      <w:pPr>
        <w:ind w:left="4854" w:hanging="360"/>
      </w:pPr>
    </w:lvl>
    <w:lvl w:ilvl="4" w:tplc="08090019" w:tentative="1">
      <w:start w:val="1"/>
      <w:numFmt w:val="lowerLetter"/>
      <w:lvlText w:val="%5."/>
      <w:lvlJc w:val="left"/>
      <w:pPr>
        <w:ind w:left="5574" w:hanging="360"/>
      </w:pPr>
    </w:lvl>
    <w:lvl w:ilvl="5" w:tplc="0809001B" w:tentative="1">
      <w:start w:val="1"/>
      <w:numFmt w:val="lowerRoman"/>
      <w:lvlText w:val="%6."/>
      <w:lvlJc w:val="right"/>
      <w:pPr>
        <w:ind w:left="6294" w:hanging="180"/>
      </w:pPr>
    </w:lvl>
    <w:lvl w:ilvl="6" w:tplc="0809000F" w:tentative="1">
      <w:start w:val="1"/>
      <w:numFmt w:val="decimal"/>
      <w:lvlText w:val="%7."/>
      <w:lvlJc w:val="left"/>
      <w:pPr>
        <w:ind w:left="7014" w:hanging="360"/>
      </w:pPr>
    </w:lvl>
    <w:lvl w:ilvl="7" w:tplc="08090019" w:tentative="1">
      <w:start w:val="1"/>
      <w:numFmt w:val="lowerLetter"/>
      <w:lvlText w:val="%8."/>
      <w:lvlJc w:val="left"/>
      <w:pPr>
        <w:ind w:left="7734" w:hanging="360"/>
      </w:pPr>
    </w:lvl>
    <w:lvl w:ilvl="8" w:tplc="0809001B" w:tentative="1">
      <w:start w:val="1"/>
      <w:numFmt w:val="lowerRoman"/>
      <w:lvlText w:val="%9."/>
      <w:lvlJc w:val="right"/>
      <w:pPr>
        <w:ind w:left="8454" w:hanging="180"/>
      </w:pPr>
    </w:lvl>
  </w:abstractNum>
  <w:abstractNum w:abstractNumId="1">
    <w:nsid w:val="14C31F05"/>
    <w:multiLevelType w:val="hybridMultilevel"/>
    <w:tmpl w:val="8C123068"/>
    <w:lvl w:ilvl="0" w:tplc="88048DA6">
      <w:start w:val="1"/>
      <w:numFmt w:val="decimal"/>
      <w:lvlText w:val="%1."/>
      <w:lvlJc w:val="left"/>
      <w:pPr>
        <w:tabs>
          <w:tab w:val="num" w:pos="113"/>
        </w:tabs>
        <w:ind w:left="0" w:firstLine="0"/>
      </w:pPr>
      <w:rPr>
        <w:rFonts w:ascii="Times New Roman" w:hAnsi="Times New Roman" w:hint="default"/>
        <w:b/>
        <w:bCs/>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53721F"/>
    <w:multiLevelType w:val="hybridMultilevel"/>
    <w:tmpl w:val="A4F2691A"/>
    <w:lvl w:ilvl="0" w:tplc="A9B887EA">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455629"/>
    <w:multiLevelType w:val="hybridMultilevel"/>
    <w:tmpl w:val="D18ED8F8"/>
    <w:lvl w:ilvl="0" w:tplc="194601FE">
      <w:start w:val="1"/>
      <w:numFmt w:val="lowerLetter"/>
      <w:pStyle w:val="Kop2"/>
      <w:lvlText w:val="%1)"/>
      <w:lvlJc w:val="left"/>
      <w:pPr>
        <w:ind w:left="1701"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3D6DE6"/>
    <w:multiLevelType w:val="hybridMultilevel"/>
    <w:tmpl w:val="C2C8E344"/>
    <w:lvl w:ilvl="0" w:tplc="F57E8DCE">
      <w:numFmt w:val="bullet"/>
      <w:lvlText w:val=""/>
      <w:lvlJc w:val="left"/>
      <w:pPr>
        <w:ind w:left="1065" w:hanging="360"/>
      </w:pPr>
      <w:rPr>
        <w:rFonts w:ascii="Wingdings" w:eastAsiaTheme="minorEastAsia" w:hAnsi="Wingdings" w:cstheme="minorBidi"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5">
    <w:nsid w:val="6E004F85"/>
    <w:multiLevelType w:val="hybridMultilevel"/>
    <w:tmpl w:val="ED4635F8"/>
    <w:lvl w:ilvl="0" w:tplc="0813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C163E0A"/>
    <w:multiLevelType w:val="hybridMultilevel"/>
    <w:tmpl w:val="B2E69838"/>
    <w:lvl w:ilvl="0" w:tplc="0C2A08A2">
      <w:start w:val="1"/>
      <w:numFmt w:val="upperRoman"/>
      <w:pStyle w:val="Kop1"/>
      <w:lvlText w:val="%1."/>
      <w:lvlJc w:val="right"/>
      <w:pPr>
        <w:ind w:left="1080" w:hanging="360"/>
      </w:pPr>
      <w:rPr>
        <w:rFonts w:asciiTheme="majorHAnsi" w:hAnsiTheme="majorHAnsi" w:hint="default"/>
        <w:b/>
        <w:bCs w:val="0"/>
        <w:i w:val="0"/>
        <w:iCs w:val="0"/>
        <w:caps w:val="0"/>
        <w:strike w:val="0"/>
        <w:dstrike w:val="0"/>
        <w:vanish w:val="0"/>
        <w:color w:val="000000"/>
        <w:spacing w:val="0"/>
        <w:kern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6"/>
  </w:num>
  <w:num w:numId="5">
    <w:abstractNumId w:val="3"/>
  </w:num>
  <w:num w:numId="6">
    <w:abstractNumId w:val="3"/>
    <w:lvlOverride w:ilvl="0">
      <w:startOverride w:val="1"/>
    </w:lvlOverride>
  </w:num>
  <w:num w:numId="7">
    <w:abstractNumId w:val="6"/>
  </w:num>
  <w:num w:numId="8">
    <w:abstractNumId w:val="3"/>
    <w:lvlOverride w:ilvl="0">
      <w:startOverride w:val="1"/>
    </w:lvlOverride>
  </w:num>
  <w:num w:numId="9">
    <w:abstractNumId w:val="1"/>
  </w:num>
  <w:num w:numId="10">
    <w:abstractNumId w:val="0"/>
  </w:num>
  <w:num w:numId="11">
    <w:abstractNumId w:val="6"/>
    <w:lvlOverride w:ilvl="0">
      <w:startOverride w:val="1"/>
    </w:lvlOverride>
  </w:num>
  <w:num w:numId="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755"/>
    <w:rsid w:val="00003952"/>
    <w:rsid w:val="00015981"/>
    <w:rsid w:val="00020311"/>
    <w:rsid w:val="00021B85"/>
    <w:rsid w:val="0003669D"/>
    <w:rsid w:val="00054B82"/>
    <w:rsid w:val="000562E7"/>
    <w:rsid w:val="00056DD3"/>
    <w:rsid w:val="00067AAD"/>
    <w:rsid w:val="000738A3"/>
    <w:rsid w:val="00077282"/>
    <w:rsid w:val="00082C07"/>
    <w:rsid w:val="00084B72"/>
    <w:rsid w:val="00086408"/>
    <w:rsid w:val="00086D65"/>
    <w:rsid w:val="00092B0A"/>
    <w:rsid w:val="00092CA7"/>
    <w:rsid w:val="00094B77"/>
    <w:rsid w:val="00095FFD"/>
    <w:rsid w:val="000A0D4A"/>
    <w:rsid w:val="000B1D18"/>
    <w:rsid w:val="000B52F2"/>
    <w:rsid w:val="000B6C1F"/>
    <w:rsid w:val="000B6F22"/>
    <w:rsid w:val="000C0D85"/>
    <w:rsid w:val="000C5C4E"/>
    <w:rsid w:val="000C670D"/>
    <w:rsid w:val="000D2F58"/>
    <w:rsid w:val="000E0231"/>
    <w:rsid w:val="000F0BE0"/>
    <w:rsid w:val="00100995"/>
    <w:rsid w:val="001040E3"/>
    <w:rsid w:val="00104DF6"/>
    <w:rsid w:val="00111E89"/>
    <w:rsid w:val="001142C5"/>
    <w:rsid w:val="00122DE6"/>
    <w:rsid w:val="0012332C"/>
    <w:rsid w:val="0012378B"/>
    <w:rsid w:val="0013210F"/>
    <w:rsid w:val="00133C2A"/>
    <w:rsid w:val="00133D16"/>
    <w:rsid w:val="0014304D"/>
    <w:rsid w:val="001500D6"/>
    <w:rsid w:val="00154C63"/>
    <w:rsid w:val="00155B52"/>
    <w:rsid w:val="0016016D"/>
    <w:rsid w:val="001608EF"/>
    <w:rsid w:val="001677D1"/>
    <w:rsid w:val="00170DEA"/>
    <w:rsid w:val="00175770"/>
    <w:rsid w:val="00175937"/>
    <w:rsid w:val="00180977"/>
    <w:rsid w:val="001909A0"/>
    <w:rsid w:val="00191563"/>
    <w:rsid w:val="00191F1C"/>
    <w:rsid w:val="001A44F6"/>
    <w:rsid w:val="001A4678"/>
    <w:rsid w:val="001A5A25"/>
    <w:rsid w:val="001B30EB"/>
    <w:rsid w:val="001B58B7"/>
    <w:rsid w:val="001C3430"/>
    <w:rsid w:val="001C3D28"/>
    <w:rsid w:val="001D376F"/>
    <w:rsid w:val="001D67D4"/>
    <w:rsid w:val="001D7144"/>
    <w:rsid w:val="001E33E1"/>
    <w:rsid w:val="001E3931"/>
    <w:rsid w:val="001E7908"/>
    <w:rsid w:val="001F1771"/>
    <w:rsid w:val="002143C4"/>
    <w:rsid w:val="002211CA"/>
    <w:rsid w:val="0022247C"/>
    <w:rsid w:val="002300FF"/>
    <w:rsid w:val="002347CE"/>
    <w:rsid w:val="00240FB5"/>
    <w:rsid w:val="00270CC4"/>
    <w:rsid w:val="00272526"/>
    <w:rsid w:val="00275109"/>
    <w:rsid w:val="00282755"/>
    <w:rsid w:val="00290D5E"/>
    <w:rsid w:val="00292FBE"/>
    <w:rsid w:val="002A4A21"/>
    <w:rsid w:val="002C0FDD"/>
    <w:rsid w:val="002C144A"/>
    <w:rsid w:val="002C5154"/>
    <w:rsid w:val="002D05C6"/>
    <w:rsid w:val="002D24FC"/>
    <w:rsid w:val="002E0E88"/>
    <w:rsid w:val="002E2B86"/>
    <w:rsid w:val="002E336E"/>
    <w:rsid w:val="002F0797"/>
    <w:rsid w:val="002F5138"/>
    <w:rsid w:val="003054CE"/>
    <w:rsid w:val="00307B6C"/>
    <w:rsid w:val="00320B4E"/>
    <w:rsid w:val="00360062"/>
    <w:rsid w:val="00361AD1"/>
    <w:rsid w:val="00362FFC"/>
    <w:rsid w:val="00364A74"/>
    <w:rsid w:val="00364BFA"/>
    <w:rsid w:val="0036671C"/>
    <w:rsid w:val="00367B6B"/>
    <w:rsid w:val="00372185"/>
    <w:rsid w:val="00372906"/>
    <w:rsid w:val="003753A6"/>
    <w:rsid w:val="00375651"/>
    <w:rsid w:val="003773C2"/>
    <w:rsid w:val="003856A8"/>
    <w:rsid w:val="00386AB8"/>
    <w:rsid w:val="00387D0A"/>
    <w:rsid w:val="00391951"/>
    <w:rsid w:val="003A2898"/>
    <w:rsid w:val="003B0A22"/>
    <w:rsid w:val="003B29A4"/>
    <w:rsid w:val="003B46B6"/>
    <w:rsid w:val="003B6731"/>
    <w:rsid w:val="003C151C"/>
    <w:rsid w:val="003C296F"/>
    <w:rsid w:val="003C7C69"/>
    <w:rsid w:val="003D07FF"/>
    <w:rsid w:val="003D0B71"/>
    <w:rsid w:val="003D1CEE"/>
    <w:rsid w:val="003E0070"/>
    <w:rsid w:val="003F55FC"/>
    <w:rsid w:val="003F6B6F"/>
    <w:rsid w:val="00404F2A"/>
    <w:rsid w:val="00417BB5"/>
    <w:rsid w:val="00422BE2"/>
    <w:rsid w:val="00427016"/>
    <w:rsid w:val="004272C7"/>
    <w:rsid w:val="004366DE"/>
    <w:rsid w:val="0044376A"/>
    <w:rsid w:val="00447F39"/>
    <w:rsid w:val="004555F3"/>
    <w:rsid w:val="004607E0"/>
    <w:rsid w:val="00470782"/>
    <w:rsid w:val="00476EE7"/>
    <w:rsid w:val="0047794D"/>
    <w:rsid w:val="0049066C"/>
    <w:rsid w:val="00490BA7"/>
    <w:rsid w:val="004910BF"/>
    <w:rsid w:val="0049164F"/>
    <w:rsid w:val="00495777"/>
    <w:rsid w:val="004B133B"/>
    <w:rsid w:val="004B145C"/>
    <w:rsid w:val="004C7304"/>
    <w:rsid w:val="004D77FD"/>
    <w:rsid w:val="004D7B34"/>
    <w:rsid w:val="004E297E"/>
    <w:rsid w:val="004E3FAC"/>
    <w:rsid w:val="004E4B14"/>
    <w:rsid w:val="004F7510"/>
    <w:rsid w:val="0050124E"/>
    <w:rsid w:val="00511037"/>
    <w:rsid w:val="0052485E"/>
    <w:rsid w:val="005255CA"/>
    <w:rsid w:val="00526DDD"/>
    <w:rsid w:val="00530BCC"/>
    <w:rsid w:val="00535710"/>
    <w:rsid w:val="00540BAB"/>
    <w:rsid w:val="0054138C"/>
    <w:rsid w:val="00542796"/>
    <w:rsid w:val="00543A94"/>
    <w:rsid w:val="00544F1E"/>
    <w:rsid w:val="00547E5C"/>
    <w:rsid w:val="00552A1E"/>
    <w:rsid w:val="00555891"/>
    <w:rsid w:val="0056112E"/>
    <w:rsid w:val="00561AA2"/>
    <w:rsid w:val="00566591"/>
    <w:rsid w:val="00571433"/>
    <w:rsid w:val="00575F4D"/>
    <w:rsid w:val="00580588"/>
    <w:rsid w:val="00587B4C"/>
    <w:rsid w:val="005933D1"/>
    <w:rsid w:val="005A6B57"/>
    <w:rsid w:val="005B2FB1"/>
    <w:rsid w:val="005B3745"/>
    <w:rsid w:val="005B5A55"/>
    <w:rsid w:val="005C27FD"/>
    <w:rsid w:val="005C43EA"/>
    <w:rsid w:val="005C4E7A"/>
    <w:rsid w:val="005D2A13"/>
    <w:rsid w:val="005D4FB8"/>
    <w:rsid w:val="005D730E"/>
    <w:rsid w:val="005D793D"/>
    <w:rsid w:val="005E0474"/>
    <w:rsid w:val="005E0AC5"/>
    <w:rsid w:val="005E6614"/>
    <w:rsid w:val="005F7648"/>
    <w:rsid w:val="00601458"/>
    <w:rsid w:val="006056CF"/>
    <w:rsid w:val="0060672C"/>
    <w:rsid w:val="006110AB"/>
    <w:rsid w:val="00626AC9"/>
    <w:rsid w:val="00634F5D"/>
    <w:rsid w:val="0063596C"/>
    <w:rsid w:val="00637F97"/>
    <w:rsid w:val="00643D39"/>
    <w:rsid w:val="00651806"/>
    <w:rsid w:val="006534CA"/>
    <w:rsid w:val="006538A0"/>
    <w:rsid w:val="00653B3D"/>
    <w:rsid w:val="006554CF"/>
    <w:rsid w:val="00656C4F"/>
    <w:rsid w:val="00666B76"/>
    <w:rsid w:val="006760FB"/>
    <w:rsid w:val="00680B64"/>
    <w:rsid w:val="00690BC0"/>
    <w:rsid w:val="006A3BB9"/>
    <w:rsid w:val="006C2550"/>
    <w:rsid w:val="006C3259"/>
    <w:rsid w:val="006C4E52"/>
    <w:rsid w:val="006D5D13"/>
    <w:rsid w:val="006E3711"/>
    <w:rsid w:val="006E3CF4"/>
    <w:rsid w:val="006E5FB9"/>
    <w:rsid w:val="006E7D30"/>
    <w:rsid w:val="007061E2"/>
    <w:rsid w:val="00707BF8"/>
    <w:rsid w:val="00717196"/>
    <w:rsid w:val="00722378"/>
    <w:rsid w:val="00722813"/>
    <w:rsid w:val="00732E1B"/>
    <w:rsid w:val="00752F34"/>
    <w:rsid w:val="00762C43"/>
    <w:rsid w:val="007649CE"/>
    <w:rsid w:val="00764A35"/>
    <w:rsid w:val="00766ECC"/>
    <w:rsid w:val="00770FA7"/>
    <w:rsid w:val="00782890"/>
    <w:rsid w:val="00783B86"/>
    <w:rsid w:val="007A05E0"/>
    <w:rsid w:val="007A1A08"/>
    <w:rsid w:val="007A774F"/>
    <w:rsid w:val="007A7F33"/>
    <w:rsid w:val="007B08D6"/>
    <w:rsid w:val="007B0B48"/>
    <w:rsid w:val="007B25A0"/>
    <w:rsid w:val="007C588B"/>
    <w:rsid w:val="007C6EB5"/>
    <w:rsid w:val="007C786F"/>
    <w:rsid w:val="007D5C84"/>
    <w:rsid w:val="007F5AD4"/>
    <w:rsid w:val="00803620"/>
    <w:rsid w:val="00810B80"/>
    <w:rsid w:val="00811079"/>
    <w:rsid w:val="00814C0D"/>
    <w:rsid w:val="008343E7"/>
    <w:rsid w:val="00836DBE"/>
    <w:rsid w:val="00836DED"/>
    <w:rsid w:val="008374CE"/>
    <w:rsid w:val="008405E4"/>
    <w:rsid w:val="008475EE"/>
    <w:rsid w:val="0085296F"/>
    <w:rsid w:val="00853BFC"/>
    <w:rsid w:val="0085762E"/>
    <w:rsid w:val="0086069A"/>
    <w:rsid w:val="008802F4"/>
    <w:rsid w:val="00883BF7"/>
    <w:rsid w:val="008844C0"/>
    <w:rsid w:val="008A2953"/>
    <w:rsid w:val="008A7B9C"/>
    <w:rsid w:val="008A7BD9"/>
    <w:rsid w:val="008B14B4"/>
    <w:rsid w:val="008B7268"/>
    <w:rsid w:val="008C0195"/>
    <w:rsid w:val="008C048A"/>
    <w:rsid w:val="008C1CC5"/>
    <w:rsid w:val="008C3067"/>
    <w:rsid w:val="008D35F4"/>
    <w:rsid w:val="008D59D6"/>
    <w:rsid w:val="008D7C44"/>
    <w:rsid w:val="008E4E98"/>
    <w:rsid w:val="008F037E"/>
    <w:rsid w:val="008F33A1"/>
    <w:rsid w:val="008F5C13"/>
    <w:rsid w:val="00906A1E"/>
    <w:rsid w:val="00913BF5"/>
    <w:rsid w:val="0091679B"/>
    <w:rsid w:val="00917A79"/>
    <w:rsid w:val="00923BAB"/>
    <w:rsid w:val="009362EE"/>
    <w:rsid w:val="00936685"/>
    <w:rsid w:val="00940ADB"/>
    <w:rsid w:val="00947279"/>
    <w:rsid w:val="009572BD"/>
    <w:rsid w:val="00960865"/>
    <w:rsid w:val="009675CB"/>
    <w:rsid w:val="00970F46"/>
    <w:rsid w:val="009736AE"/>
    <w:rsid w:val="00973AE7"/>
    <w:rsid w:val="00987AF3"/>
    <w:rsid w:val="00991184"/>
    <w:rsid w:val="0099469D"/>
    <w:rsid w:val="0099594C"/>
    <w:rsid w:val="009A070F"/>
    <w:rsid w:val="009A7D34"/>
    <w:rsid w:val="009C126D"/>
    <w:rsid w:val="009C366E"/>
    <w:rsid w:val="009C4213"/>
    <w:rsid w:val="009C7285"/>
    <w:rsid w:val="009D4816"/>
    <w:rsid w:val="009E15D6"/>
    <w:rsid w:val="009E267A"/>
    <w:rsid w:val="009E43DF"/>
    <w:rsid w:val="009F118C"/>
    <w:rsid w:val="009F31D1"/>
    <w:rsid w:val="009F3A12"/>
    <w:rsid w:val="00A0467F"/>
    <w:rsid w:val="00A04DD9"/>
    <w:rsid w:val="00A04E8B"/>
    <w:rsid w:val="00A147D2"/>
    <w:rsid w:val="00A149A6"/>
    <w:rsid w:val="00A2372B"/>
    <w:rsid w:val="00A307A3"/>
    <w:rsid w:val="00A30FA4"/>
    <w:rsid w:val="00A31B82"/>
    <w:rsid w:val="00A6135D"/>
    <w:rsid w:val="00A751AE"/>
    <w:rsid w:val="00A76C72"/>
    <w:rsid w:val="00A82809"/>
    <w:rsid w:val="00A8585B"/>
    <w:rsid w:val="00A9020D"/>
    <w:rsid w:val="00AA1CCD"/>
    <w:rsid w:val="00AB07B7"/>
    <w:rsid w:val="00AB1C93"/>
    <w:rsid w:val="00AB31E4"/>
    <w:rsid w:val="00AB3A1B"/>
    <w:rsid w:val="00AB5018"/>
    <w:rsid w:val="00AD15FD"/>
    <w:rsid w:val="00AD4830"/>
    <w:rsid w:val="00AF2577"/>
    <w:rsid w:val="00B00C9A"/>
    <w:rsid w:val="00B06EBF"/>
    <w:rsid w:val="00B114DA"/>
    <w:rsid w:val="00B11EF8"/>
    <w:rsid w:val="00B15372"/>
    <w:rsid w:val="00B20BC9"/>
    <w:rsid w:val="00B22994"/>
    <w:rsid w:val="00B23DEA"/>
    <w:rsid w:val="00B25974"/>
    <w:rsid w:val="00B35252"/>
    <w:rsid w:val="00B3615A"/>
    <w:rsid w:val="00B42C24"/>
    <w:rsid w:val="00B5180D"/>
    <w:rsid w:val="00B5708D"/>
    <w:rsid w:val="00B610FE"/>
    <w:rsid w:val="00B61490"/>
    <w:rsid w:val="00B63189"/>
    <w:rsid w:val="00B64DFE"/>
    <w:rsid w:val="00B668C9"/>
    <w:rsid w:val="00B67F9D"/>
    <w:rsid w:val="00B70AD9"/>
    <w:rsid w:val="00B7105A"/>
    <w:rsid w:val="00B80EA6"/>
    <w:rsid w:val="00B84A33"/>
    <w:rsid w:val="00B873B9"/>
    <w:rsid w:val="00B90020"/>
    <w:rsid w:val="00B90CB6"/>
    <w:rsid w:val="00B931D6"/>
    <w:rsid w:val="00B94980"/>
    <w:rsid w:val="00B94BDC"/>
    <w:rsid w:val="00BA0A41"/>
    <w:rsid w:val="00BA1BAD"/>
    <w:rsid w:val="00BB1C7D"/>
    <w:rsid w:val="00BC1CF7"/>
    <w:rsid w:val="00BC4BEB"/>
    <w:rsid w:val="00BC6D33"/>
    <w:rsid w:val="00BC6DD2"/>
    <w:rsid w:val="00BD0920"/>
    <w:rsid w:val="00BD1D41"/>
    <w:rsid w:val="00BD5565"/>
    <w:rsid w:val="00BD678D"/>
    <w:rsid w:val="00BE0B0F"/>
    <w:rsid w:val="00BE11A8"/>
    <w:rsid w:val="00BF732B"/>
    <w:rsid w:val="00C01E26"/>
    <w:rsid w:val="00C03686"/>
    <w:rsid w:val="00C05EFD"/>
    <w:rsid w:val="00C20003"/>
    <w:rsid w:val="00C20ABF"/>
    <w:rsid w:val="00C237AF"/>
    <w:rsid w:val="00C237B0"/>
    <w:rsid w:val="00C30F2A"/>
    <w:rsid w:val="00C35009"/>
    <w:rsid w:val="00C375EA"/>
    <w:rsid w:val="00C43442"/>
    <w:rsid w:val="00C6312C"/>
    <w:rsid w:val="00C74407"/>
    <w:rsid w:val="00C80CEA"/>
    <w:rsid w:val="00C91EF9"/>
    <w:rsid w:val="00C95F33"/>
    <w:rsid w:val="00CA1F81"/>
    <w:rsid w:val="00CA4486"/>
    <w:rsid w:val="00CA4E88"/>
    <w:rsid w:val="00CA4F79"/>
    <w:rsid w:val="00CB38DB"/>
    <w:rsid w:val="00CC1F9D"/>
    <w:rsid w:val="00CC6C8A"/>
    <w:rsid w:val="00CD1808"/>
    <w:rsid w:val="00CD2E4D"/>
    <w:rsid w:val="00CD4426"/>
    <w:rsid w:val="00CE1668"/>
    <w:rsid w:val="00CE627C"/>
    <w:rsid w:val="00CF2D08"/>
    <w:rsid w:val="00CF73E1"/>
    <w:rsid w:val="00D01D0F"/>
    <w:rsid w:val="00D12191"/>
    <w:rsid w:val="00D17EFB"/>
    <w:rsid w:val="00D2061E"/>
    <w:rsid w:val="00D25ED1"/>
    <w:rsid w:val="00D27847"/>
    <w:rsid w:val="00D40694"/>
    <w:rsid w:val="00D51065"/>
    <w:rsid w:val="00D600A5"/>
    <w:rsid w:val="00D603A7"/>
    <w:rsid w:val="00D61AFF"/>
    <w:rsid w:val="00D66B38"/>
    <w:rsid w:val="00D66CEE"/>
    <w:rsid w:val="00D728F2"/>
    <w:rsid w:val="00D86D25"/>
    <w:rsid w:val="00D92A13"/>
    <w:rsid w:val="00DA3B2C"/>
    <w:rsid w:val="00DB012E"/>
    <w:rsid w:val="00DB0B17"/>
    <w:rsid w:val="00DB5765"/>
    <w:rsid w:val="00DB5F33"/>
    <w:rsid w:val="00DC7454"/>
    <w:rsid w:val="00DD17ED"/>
    <w:rsid w:val="00DD2F1A"/>
    <w:rsid w:val="00DD64E3"/>
    <w:rsid w:val="00DE0047"/>
    <w:rsid w:val="00DE0BFF"/>
    <w:rsid w:val="00DE1D36"/>
    <w:rsid w:val="00DE219B"/>
    <w:rsid w:val="00DE3378"/>
    <w:rsid w:val="00E0195C"/>
    <w:rsid w:val="00E01AE7"/>
    <w:rsid w:val="00E046A8"/>
    <w:rsid w:val="00E1261F"/>
    <w:rsid w:val="00E12919"/>
    <w:rsid w:val="00E2196F"/>
    <w:rsid w:val="00E31741"/>
    <w:rsid w:val="00E339C7"/>
    <w:rsid w:val="00E422E1"/>
    <w:rsid w:val="00E4288D"/>
    <w:rsid w:val="00E51A64"/>
    <w:rsid w:val="00E52BC7"/>
    <w:rsid w:val="00E56741"/>
    <w:rsid w:val="00E659DA"/>
    <w:rsid w:val="00E80B8E"/>
    <w:rsid w:val="00E83C01"/>
    <w:rsid w:val="00E87E81"/>
    <w:rsid w:val="00E90477"/>
    <w:rsid w:val="00EA284B"/>
    <w:rsid w:val="00EA7905"/>
    <w:rsid w:val="00EB1EA4"/>
    <w:rsid w:val="00EB22C2"/>
    <w:rsid w:val="00EB439B"/>
    <w:rsid w:val="00EB5C31"/>
    <w:rsid w:val="00EB62F4"/>
    <w:rsid w:val="00EB77B4"/>
    <w:rsid w:val="00EC030B"/>
    <w:rsid w:val="00EC58B0"/>
    <w:rsid w:val="00ED1251"/>
    <w:rsid w:val="00ED289A"/>
    <w:rsid w:val="00EE1498"/>
    <w:rsid w:val="00EE3D49"/>
    <w:rsid w:val="00EE6BC6"/>
    <w:rsid w:val="00EF4C46"/>
    <w:rsid w:val="00EF6581"/>
    <w:rsid w:val="00F05783"/>
    <w:rsid w:val="00F06522"/>
    <w:rsid w:val="00F12877"/>
    <w:rsid w:val="00F14DA8"/>
    <w:rsid w:val="00F235EF"/>
    <w:rsid w:val="00F23BFE"/>
    <w:rsid w:val="00F27664"/>
    <w:rsid w:val="00F30037"/>
    <w:rsid w:val="00F32D39"/>
    <w:rsid w:val="00F35D01"/>
    <w:rsid w:val="00F46766"/>
    <w:rsid w:val="00F469AD"/>
    <w:rsid w:val="00F47278"/>
    <w:rsid w:val="00F50EEA"/>
    <w:rsid w:val="00F55F80"/>
    <w:rsid w:val="00F6602B"/>
    <w:rsid w:val="00F6701D"/>
    <w:rsid w:val="00F86306"/>
    <w:rsid w:val="00F9793C"/>
    <w:rsid w:val="00FA0711"/>
    <w:rsid w:val="00FA09AE"/>
    <w:rsid w:val="00FB1908"/>
    <w:rsid w:val="00FC3ABB"/>
    <w:rsid w:val="00FD094F"/>
    <w:rsid w:val="00FE04B2"/>
    <w:rsid w:val="00FE2F70"/>
    <w:rsid w:val="00FE67DB"/>
    <w:rsid w:val="00FF09F7"/>
    <w:rsid w:val="00FF6178"/>
    <w:rsid w:val="00FF6195"/>
    <w:rsid w:val="00FF735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D97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F7510"/>
    <w:pPr>
      <w:tabs>
        <w:tab w:val="left" w:pos="425"/>
      </w:tabs>
      <w:spacing w:after="240" w:line="360" w:lineRule="auto"/>
      <w:jc w:val="both"/>
    </w:pPr>
    <w:rPr>
      <w:rFonts w:asciiTheme="majorHAnsi" w:eastAsiaTheme="minorEastAsia" w:hAnsiTheme="majorHAnsi"/>
      <w:lang w:val="en-GB" w:eastAsia="nl-NL"/>
    </w:rPr>
  </w:style>
  <w:style w:type="paragraph" w:styleId="Kop1">
    <w:name w:val="heading 1"/>
    <w:basedOn w:val="Normaal"/>
    <w:next w:val="Normaal"/>
    <w:link w:val="Kop1Teken"/>
    <w:uiPriority w:val="9"/>
    <w:qFormat/>
    <w:rsid w:val="00601458"/>
    <w:pPr>
      <w:numPr>
        <w:numId w:val="7"/>
      </w:numPr>
      <w:spacing w:after="360"/>
      <w:jc w:val="left"/>
      <w:outlineLvl w:val="0"/>
    </w:pPr>
    <w:rPr>
      <w:b/>
      <w:sz w:val="24"/>
    </w:rPr>
  </w:style>
  <w:style w:type="paragraph" w:styleId="Kop2">
    <w:name w:val="heading 2"/>
    <w:basedOn w:val="Normaal"/>
    <w:next w:val="Normaal"/>
    <w:link w:val="Kop2Teken"/>
    <w:uiPriority w:val="9"/>
    <w:unhideWhenUsed/>
    <w:qFormat/>
    <w:rsid w:val="00601458"/>
    <w:pPr>
      <w:keepNext/>
      <w:keepLines/>
      <w:numPr>
        <w:numId w:val="5"/>
      </w:numPr>
      <w:spacing w:after="360"/>
      <w:outlineLvl w:val="1"/>
    </w:pPr>
    <w:rPr>
      <w:rFonts w:eastAsiaTheme="majorEastAsia" w:cstheme="majorBidi"/>
      <w:sz w:val="24"/>
      <w:szCs w:val="26"/>
    </w:rPr>
  </w:style>
  <w:style w:type="paragraph" w:styleId="Kop3">
    <w:name w:val="heading 3"/>
    <w:basedOn w:val="Doorlopendetekst"/>
    <w:next w:val="Doorlopendetekst"/>
    <w:link w:val="Kop3Teken"/>
    <w:uiPriority w:val="9"/>
    <w:unhideWhenUsed/>
    <w:qFormat/>
    <w:rsid w:val="00601458"/>
    <w:pPr>
      <w:numPr>
        <w:numId w:val="10"/>
      </w:numPr>
      <w:outlineLvl w:val="2"/>
    </w:pPr>
    <w:rPr>
      <w:rFonts w:asciiTheme="majorHAnsi" w:hAnsiTheme="majorHAnsi"/>
      <w:i/>
      <w:sz w:val="22"/>
    </w:rPr>
  </w:style>
  <w:style w:type="paragraph" w:styleId="Kop4">
    <w:name w:val="heading 4"/>
    <w:basedOn w:val="Normaal"/>
    <w:next w:val="Normaal"/>
    <w:link w:val="Kop4Teken"/>
    <w:uiPriority w:val="9"/>
    <w:unhideWhenUsed/>
    <w:qFormat/>
    <w:rsid w:val="0052485E"/>
    <w:pPr>
      <w:ind w:left="425"/>
      <w:outlineLvl w:val="3"/>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82755"/>
    <w:rPr>
      <w:color w:val="0563C1" w:themeColor="hyperlink"/>
      <w:u w:val="single"/>
    </w:rPr>
  </w:style>
  <w:style w:type="paragraph" w:customStyle="1" w:styleId="Doorlopendetekst">
    <w:name w:val="Doorlopende tekst"/>
    <w:basedOn w:val="Geenafstand"/>
    <w:link w:val="DoorlopendetekstChar"/>
    <w:rsid w:val="00282755"/>
    <w:pPr>
      <w:spacing w:after="360" w:line="360" w:lineRule="auto"/>
    </w:pPr>
  </w:style>
  <w:style w:type="character" w:customStyle="1" w:styleId="DoorlopendetekstChar">
    <w:name w:val="Doorlopende tekst Char"/>
    <w:basedOn w:val="Standaardalinea-lettertype"/>
    <w:link w:val="Doorlopendetekst"/>
    <w:rsid w:val="00282755"/>
    <w:rPr>
      <w:rFonts w:ascii="Times New Roman" w:eastAsiaTheme="minorEastAsia" w:hAnsi="Times New Roman"/>
      <w:sz w:val="24"/>
      <w:lang w:val="en-GB" w:eastAsia="nl-NL"/>
    </w:rPr>
  </w:style>
  <w:style w:type="paragraph" w:styleId="Geenafstand">
    <w:name w:val="No Spacing"/>
    <w:aliases w:val="alinea"/>
    <w:link w:val="GeenafstandTeken"/>
    <w:uiPriority w:val="1"/>
    <w:qFormat/>
    <w:rsid w:val="00282755"/>
    <w:pPr>
      <w:tabs>
        <w:tab w:val="left" w:pos="425"/>
      </w:tabs>
      <w:spacing w:after="0" w:line="240" w:lineRule="auto"/>
      <w:jc w:val="both"/>
    </w:pPr>
    <w:rPr>
      <w:rFonts w:ascii="Times New Roman" w:eastAsiaTheme="minorEastAsia" w:hAnsi="Times New Roman"/>
      <w:sz w:val="24"/>
      <w:lang w:val="en-GB" w:eastAsia="nl-NL"/>
    </w:rPr>
  </w:style>
  <w:style w:type="paragraph" w:styleId="Koptekst">
    <w:name w:val="header"/>
    <w:basedOn w:val="Normaal"/>
    <w:link w:val="KoptekstTeken"/>
    <w:uiPriority w:val="99"/>
    <w:unhideWhenUsed/>
    <w:rsid w:val="00B94BDC"/>
    <w:pPr>
      <w:tabs>
        <w:tab w:val="clear" w:pos="425"/>
        <w:tab w:val="center" w:pos="4536"/>
        <w:tab w:val="right" w:pos="9072"/>
      </w:tabs>
      <w:spacing w:line="240" w:lineRule="auto"/>
    </w:pPr>
  </w:style>
  <w:style w:type="character" w:customStyle="1" w:styleId="KoptekstTeken">
    <w:name w:val="Koptekst Teken"/>
    <w:basedOn w:val="Standaardalinea-lettertype"/>
    <w:link w:val="Koptekst"/>
    <w:uiPriority w:val="99"/>
    <w:rsid w:val="00B94BDC"/>
    <w:rPr>
      <w:rFonts w:ascii="Times New Roman" w:eastAsiaTheme="minorEastAsia" w:hAnsi="Times New Roman"/>
      <w:sz w:val="24"/>
      <w:lang w:val="en-GB" w:eastAsia="nl-NL"/>
    </w:rPr>
  </w:style>
  <w:style w:type="paragraph" w:styleId="Voettekst">
    <w:name w:val="footer"/>
    <w:basedOn w:val="Normaal"/>
    <w:link w:val="VoettekstTeken"/>
    <w:uiPriority w:val="99"/>
    <w:unhideWhenUsed/>
    <w:rsid w:val="00B94BDC"/>
    <w:pPr>
      <w:tabs>
        <w:tab w:val="clear" w:pos="425"/>
        <w:tab w:val="center" w:pos="4536"/>
        <w:tab w:val="right" w:pos="9072"/>
      </w:tabs>
      <w:spacing w:line="240" w:lineRule="auto"/>
    </w:pPr>
  </w:style>
  <w:style w:type="character" w:customStyle="1" w:styleId="VoettekstTeken">
    <w:name w:val="Voettekst Teken"/>
    <w:basedOn w:val="Standaardalinea-lettertype"/>
    <w:link w:val="Voettekst"/>
    <w:uiPriority w:val="99"/>
    <w:rsid w:val="00B94BDC"/>
    <w:rPr>
      <w:rFonts w:ascii="Times New Roman" w:eastAsiaTheme="minorEastAsia" w:hAnsi="Times New Roman"/>
      <w:sz w:val="24"/>
      <w:lang w:val="en-GB" w:eastAsia="nl-NL"/>
    </w:rPr>
  </w:style>
  <w:style w:type="character" w:styleId="Voetnootmarkering">
    <w:name w:val="footnote reference"/>
    <w:basedOn w:val="Standaardalinea-lettertype"/>
    <w:uiPriority w:val="99"/>
    <w:unhideWhenUsed/>
    <w:rsid w:val="00B94BDC"/>
    <w:rPr>
      <w:vertAlign w:val="superscript"/>
    </w:rPr>
  </w:style>
  <w:style w:type="paragraph" w:customStyle="1" w:styleId="Voetnoot">
    <w:name w:val="Voetnoot"/>
    <w:basedOn w:val="Voetnoottekst"/>
    <w:link w:val="VoetnootChar"/>
    <w:rsid w:val="00B94BDC"/>
    <w:rPr>
      <w:lang w:val="nl-NL"/>
    </w:rPr>
  </w:style>
  <w:style w:type="character" w:customStyle="1" w:styleId="VoetnootChar">
    <w:name w:val="Voetnoot Char"/>
    <w:basedOn w:val="VoetnoottekstTeken"/>
    <w:link w:val="Voetnoot"/>
    <w:rsid w:val="00B94BDC"/>
    <w:rPr>
      <w:rFonts w:ascii="Times New Roman" w:eastAsiaTheme="minorEastAsia" w:hAnsi="Times New Roman"/>
      <w:sz w:val="20"/>
      <w:szCs w:val="20"/>
      <w:lang w:val="nl-NL" w:eastAsia="nl-NL"/>
    </w:rPr>
  </w:style>
  <w:style w:type="paragraph" w:styleId="Voetnoottekst">
    <w:name w:val="footnote text"/>
    <w:basedOn w:val="Normaal"/>
    <w:link w:val="VoetnoottekstTeken"/>
    <w:uiPriority w:val="99"/>
    <w:unhideWhenUsed/>
    <w:rsid w:val="00B94BDC"/>
    <w:pPr>
      <w:spacing w:line="240" w:lineRule="auto"/>
    </w:pPr>
    <w:rPr>
      <w:sz w:val="20"/>
      <w:szCs w:val="20"/>
    </w:rPr>
  </w:style>
  <w:style w:type="character" w:customStyle="1" w:styleId="VoetnoottekstTeken">
    <w:name w:val="Voetnoottekst Teken"/>
    <w:basedOn w:val="Standaardalinea-lettertype"/>
    <w:link w:val="Voetnoottekst"/>
    <w:uiPriority w:val="99"/>
    <w:rsid w:val="00B94BDC"/>
    <w:rPr>
      <w:rFonts w:ascii="Times New Roman" w:eastAsiaTheme="minorEastAsia" w:hAnsi="Times New Roman"/>
      <w:sz w:val="20"/>
      <w:szCs w:val="20"/>
      <w:lang w:val="en-GB" w:eastAsia="nl-NL"/>
    </w:rPr>
  </w:style>
  <w:style w:type="paragraph" w:styleId="Lijstalinea">
    <w:name w:val="List Paragraph"/>
    <w:basedOn w:val="Normaal"/>
    <w:uiPriority w:val="34"/>
    <w:qFormat/>
    <w:rsid w:val="00A2372B"/>
    <w:pPr>
      <w:ind w:left="720"/>
      <w:contextualSpacing/>
    </w:pPr>
  </w:style>
  <w:style w:type="character" w:styleId="Verwijzingopmerking">
    <w:name w:val="annotation reference"/>
    <w:basedOn w:val="Standaardalinea-lettertype"/>
    <w:uiPriority w:val="99"/>
    <w:semiHidden/>
    <w:unhideWhenUsed/>
    <w:rsid w:val="00B15372"/>
    <w:rPr>
      <w:sz w:val="16"/>
      <w:szCs w:val="16"/>
    </w:rPr>
  </w:style>
  <w:style w:type="paragraph" w:styleId="Tekstopmerking">
    <w:name w:val="annotation text"/>
    <w:basedOn w:val="Normaal"/>
    <w:link w:val="TekstopmerkingTeken"/>
    <w:uiPriority w:val="99"/>
    <w:semiHidden/>
    <w:unhideWhenUsed/>
    <w:rsid w:val="00B15372"/>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B15372"/>
    <w:rPr>
      <w:rFonts w:ascii="Times New Roman" w:eastAsiaTheme="minorEastAsia" w:hAnsi="Times New Roman"/>
      <w:sz w:val="20"/>
      <w:szCs w:val="20"/>
      <w:lang w:val="en-GB" w:eastAsia="nl-NL"/>
    </w:rPr>
  </w:style>
  <w:style w:type="paragraph" w:styleId="Onderwerpvanopmerking">
    <w:name w:val="annotation subject"/>
    <w:basedOn w:val="Tekstopmerking"/>
    <w:next w:val="Tekstopmerking"/>
    <w:link w:val="OnderwerpvanopmerkingTeken"/>
    <w:uiPriority w:val="99"/>
    <w:semiHidden/>
    <w:unhideWhenUsed/>
    <w:rsid w:val="00B15372"/>
    <w:rPr>
      <w:b/>
      <w:bCs/>
    </w:rPr>
  </w:style>
  <w:style w:type="character" w:customStyle="1" w:styleId="OnderwerpvanopmerkingTeken">
    <w:name w:val="Onderwerp van opmerking Teken"/>
    <w:basedOn w:val="TekstopmerkingTeken"/>
    <w:link w:val="Onderwerpvanopmerking"/>
    <w:uiPriority w:val="99"/>
    <w:semiHidden/>
    <w:rsid w:val="00B15372"/>
    <w:rPr>
      <w:rFonts w:ascii="Times New Roman" w:eastAsiaTheme="minorEastAsia" w:hAnsi="Times New Roman"/>
      <w:b/>
      <w:bCs/>
      <w:sz w:val="20"/>
      <w:szCs w:val="20"/>
      <w:lang w:val="en-GB" w:eastAsia="nl-NL"/>
    </w:rPr>
  </w:style>
  <w:style w:type="paragraph" w:styleId="Ballontekst">
    <w:name w:val="Balloon Text"/>
    <w:basedOn w:val="Normaal"/>
    <w:link w:val="BallontekstTeken"/>
    <w:uiPriority w:val="99"/>
    <w:semiHidden/>
    <w:unhideWhenUsed/>
    <w:rsid w:val="00B15372"/>
    <w:pPr>
      <w:spacing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B15372"/>
    <w:rPr>
      <w:rFonts w:ascii="Segoe UI" w:eastAsiaTheme="minorEastAsia" w:hAnsi="Segoe UI" w:cs="Segoe UI"/>
      <w:sz w:val="18"/>
      <w:szCs w:val="18"/>
      <w:lang w:val="en-GB" w:eastAsia="nl-NL"/>
    </w:rPr>
  </w:style>
  <w:style w:type="paragraph" w:customStyle="1" w:styleId="voetnoot0">
    <w:name w:val="voetnoot"/>
    <w:basedOn w:val="Voetnoottekst"/>
    <w:link w:val="voetnootTeken"/>
    <w:rsid w:val="00B25974"/>
    <w:rPr>
      <w:rFonts w:cs="Times New Roman"/>
    </w:rPr>
  </w:style>
  <w:style w:type="character" w:customStyle="1" w:styleId="voetnootTeken">
    <w:name w:val="voetnoot Teken"/>
    <w:basedOn w:val="VoetnoottekstTeken"/>
    <w:link w:val="voetnoot0"/>
    <w:rsid w:val="00B25974"/>
    <w:rPr>
      <w:rFonts w:ascii="Times New Roman" w:eastAsiaTheme="minorEastAsia" w:hAnsi="Times New Roman" w:cs="Times New Roman"/>
      <w:sz w:val="20"/>
      <w:szCs w:val="20"/>
      <w:lang w:val="en-GB" w:eastAsia="nl-NL"/>
    </w:rPr>
  </w:style>
  <w:style w:type="paragraph" w:styleId="Normaalweb">
    <w:name w:val="Normal (Web)"/>
    <w:basedOn w:val="Normaal"/>
    <w:uiPriority w:val="99"/>
    <w:unhideWhenUsed/>
    <w:rsid w:val="00B25974"/>
    <w:pPr>
      <w:tabs>
        <w:tab w:val="clear" w:pos="425"/>
      </w:tabs>
      <w:spacing w:before="100" w:beforeAutospacing="1" w:after="100" w:afterAutospacing="1" w:line="240" w:lineRule="auto"/>
      <w:jc w:val="left"/>
    </w:pPr>
    <w:rPr>
      <w:rFonts w:ascii="Times" w:hAnsi="Times" w:cs="Times New Roman"/>
      <w:sz w:val="20"/>
      <w:szCs w:val="20"/>
      <w:lang w:val="nl-BE"/>
    </w:rPr>
  </w:style>
  <w:style w:type="character" w:customStyle="1" w:styleId="Kop1Teken">
    <w:name w:val="Kop 1 Teken"/>
    <w:basedOn w:val="Standaardalinea-lettertype"/>
    <w:link w:val="Kop1"/>
    <w:uiPriority w:val="9"/>
    <w:rsid w:val="00601458"/>
    <w:rPr>
      <w:rFonts w:asciiTheme="majorHAnsi" w:eastAsiaTheme="minorEastAsia" w:hAnsiTheme="majorHAnsi"/>
      <w:b/>
      <w:sz w:val="24"/>
      <w:lang w:val="en-GB" w:eastAsia="nl-NL"/>
    </w:rPr>
  </w:style>
  <w:style w:type="character" w:customStyle="1" w:styleId="Kop2Teken">
    <w:name w:val="Kop 2 Teken"/>
    <w:basedOn w:val="Standaardalinea-lettertype"/>
    <w:link w:val="Kop2"/>
    <w:uiPriority w:val="9"/>
    <w:rsid w:val="00601458"/>
    <w:rPr>
      <w:rFonts w:asciiTheme="majorHAnsi" w:eastAsiaTheme="majorEastAsia" w:hAnsiTheme="majorHAnsi" w:cstheme="majorBidi"/>
      <w:sz w:val="24"/>
      <w:szCs w:val="26"/>
      <w:lang w:val="en-GB" w:eastAsia="nl-NL"/>
    </w:rPr>
  </w:style>
  <w:style w:type="character" w:customStyle="1" w:styleId="Kop3Teken">
    <w:name w:val="Kop 3 Teken"/>
    <w:basedOn w:val="Standaardalinea-lettertype"/>
    <w:link w:val="Kop3"/>
    <w:uiPriority w:val="9"/>
    <w:rsid w:val="00601458"/>
    <w:rPr>
      <w:rFonts w:asciiTheme="majorHAnsi" w:eastAsiaTheme="minorEastAsia" w:hAnsiTheme="majorHAnsi"/>
      <w:i/>
      <w:lang w:val="en-GB" w:eastAsia="nl-NL"/>
    </w:rPr>
  </w:style>
  <w:style w:type="paragraph" w:styleId="Kopvaninhoudsopgave">
    <w:name w:val="TOC Heading"/>
    <w:basedOn w:val="Kop1"/>
    <w:next w:val="Normaal"/>
    <w:uiPriority w:val="39"/>
    <w:unhideWhenUsed/>
    <w:qFormat/>
    <w:rsid w:val="00EB1EA4"/>
    <w:pPr>
      <w:keepNext/>
      <w:keepLines/>
      <w:numPr>
        <w:numId w:val="0"/>
      </w:numPr>
      <w:tabs>
        <w:tab w:val="clear" w:pos="425"/>
      </w:tabs>
      <w:spacing w:before="240" w:after="0" w:line="259" w:lineRule="auto"/>
      <w:outlineLvl w:val="9"/>
    </w:pPr>
    <w:rPr>
      <w:rFonts w:eastAsiaTheme="majorEastAsia" w:cstheme="majorBidi"/>
      <w:b w:val="0"/>
      <w:color w:val="2E74B5" w:themeColor="accent1" w:themeShade="BF"/>
      <w:sz w:val="32"/>
      <w:szCs w:val="32"/>
      <w:lang w:eastAsia="en-GB"/>
    </w:rPr>
  </w:style>
  <w:style w:type="paragraph" w:styleId="Inhopg1">
    <w:name w:val="toc 1"/>
    <w:basedOn w:val="Normaal"/>
    <w:next w:val="Normaal"/>
    <w:autoRedefine/>
    <w:uiPriority w:val="39"/>
    <w:unhideWhenUsed/>
    <w:rsid w:val="00EB1EA4"/>
    <w:pPr>
      <w:tabs>
        <w:tab w:val="clear" w:pos="425"/>
      </w:tabs>
      <w:spacing w:after="100"/>
    </w:pPr>
  </w:style>
  <w:style w:type="paragraph" w:styleId="Inhopg2">
    <w:name w:val="toc 2"/>
    <w:basedOn w:val="Normaal"/>
    <w:next w:val="Normaal"/>
    <w:autoRedefine/>
    <w:uiPriority w:val="39"/>
    <w:unhideWhenUsed/>
    <w:rsid w:val="003856A8"/>
    <w:pPr>
      <w:tabs>
        <w:tab w:val="clear" w:pos="425"/>
        <w:tab w:val="left" w:pos="709"/>
        <w:tab w:val="right" w:pos="9062"/>
      </w:tabs>
      <w:spacing w:after="100"/>
      <w:ind w:left="240"/>
    </w:pPr>
  </w:style>
  <w:style w:type="paragraph" w:styleId="Inhopg3">
    <w:name w:val="toc 3"/>
    <w:basedOn w:val="Normaal"/>
    <w:next w:val="Normaal"/>
    <w:autoRedefine/>
    <w:uiPriority w:val="39"/>
    <w:unhideWhenUsed/>
    <w:rsid w:val="00EB1EA4"/>
    <w:pPr>
      <w:tabs>
        <w:tab w:val="clear" w:pos="425"/>
      </w:tabs>
      <w:spacing w:after="100"/>
      <w:ind w:left="480"/>
    </w:pPr>
  </w:style>
  <w:style w:type="paragraph" w:customStyle="1" w:styleId="Default">
    <w:name w:val="Default"/>
    <w:rsid w:val="00FF6178"/>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A7">
    <w:name w:val="A7"/>
    <w:uiPriority w:val="99"/>
    <w:rsid w:val="00FF6178"/>
    <w:rPr>
      <w:color w:val="000000"/>
      <w:sz w:val="18"/>
      <w:szCs w:val="18"/>
      <w:u w:val="single"/>
    </w:rPr>
  </w:style>
  <w:style w:type="paragraph" w:customStyle="1" w:styleId="1Voetnoot">
    <w:name w:val="1Voetnoot"/>
    <w:basedOn w:val="Voetnoot"/>
    <w:link w:val="1VoetnootChar"/>
    <w:qFormat/>
    <w:rsid w:val="00722378"/>
    <w:pPr>
      <w:spacing w:after="0"/>
      <w:jc w:val="left"/>
    </w:pPr>
    <w:rPr>
      <w:lang w:val="en-GB"/>
    </w:rPr>
  </w:style>
  <w:style w:type="character" w:customStyle="1" w:styleId="1VoetnootChar">
    <w:name w:val="1Voetnoot Char"/>
    <w:basedOn w:val="VoetnootChar"/>
    <w:link w:val="1Voetnoot"/>
    <w:rsid w:val="00722378"/>
    <w:rPr>
      <w:rFonts w:asciiTheme="majorHAnsi" w:eastAsiaTheme="minorEastAsia" w:hAnsiTheme="majorHAnsi"/>
      <w:sz w:val="20"/>
      <w:szCs w:val="20"/>
      <w:lang w:val="en-GB" w:eastAsia="nl-NL"/>
    </w:rPr>
  </w:style>
  <w:style w:type="character" w:styleId="Paginanummer">
    <w:name w:val="page number"/>
    <w:basedOn w:val="Standaardalinea-lettertype"/>
    <w:uiPriority w:val="99"/>
    <w:semiHidden/>
    <w:unhideWhenUsed/>
    <w:rsid w:val="00B90020"/>
  </w:style>
  <w:style w:type="character" w:customStyle="1" w:styleId="GeenafstandTeken">
    <w:name w:val="Geen afstand Teken"/>
    <w:aliases w:val="alinea Teken"/>
    <w:basedOn w:val="Standaardalinea-lettertype"/>
    <w:link w:val="Geenafstand"/>
    <w:uiPriority w:val="1"/>
    <w:rsid w:val="008C3067"/>
    <w:rPr>
      <w:rFonts w:ascii="Times New Roman" w:eastAsiaTheme="minorEastAsia" w:hAnsi="Times New Roman"/>
      <w:sz w:val="24"/>
      <w:lang w:val="en-GB" w:eastAsia="nl-NL"/>
    </w:rPr>
  </w:style>
  <w:style w:type="paragraph" w:styleId="Documentstructuur">
    <w:name w:val="Document Map"/>
    <w:basedOn w:val="Normaal"/>
    <w:link w:val="DocumentstructuurTeken"/>
    <w:uiPriority w:val="99"/>
    <w:semiHidden/>
    <w:unhideWhenUsed/>
    <w:rsid w:val="0003669D"/>
    <w:pPr>
      <w:spacing w:after="0" w:line="240" w:lineRule="auto"/>
    </w:pPr>
    <w:rPr>
      <w:rFonts w:ascii="Lucida Grande" w:hAnsi="Lucida Grande" w:cs="Lucida Grande"/>
      <w:sz w:val="24"/>
      <w:szCs w:val="24"/>
    </w:rPr>
  </w:style>
  <w:style w:type="character" w:customStyle="1" w:styleId="DocumentstructuurTeken">
    <w:name w:val="Documentstructuur Teken"/>
    <w:basedOn w:val="Standaardalinea-lettertype"/>
    <w:link w:val="Documentstructuur"/>
    <w:uiPriority w:val="99"/>
    <w:semiHidden/>
    <w:rsid w:val="0003669D"/>
    <w:rPr>
      <w:rFonts w:ascii="Lucida Grande" w:eastAsiaTheme="minorEastAsia" w:hAnsi="Lucida Grande" w:cs="Lucida Grande"/>
      <w:sz w:val="24"/>
      <w:szCs w:val="24"/>
      <w:lang w:val="en-GB" w:eastAsia="nl-NL"/>
    </w:rPr>
  </w:style>
  <w:style w:type="character" w:styleId="GevolgdeHyperlink">
    <w:name w:val="FollowedHyperlink"/>
    <w:basedOn w:val="Standaardalinea-lettertype"/>
    <w:uiPriority w:val="99"/>
    <w:semiHidden/>
    <w:unhideWhenUsed/>
    <w:rsid w:val="00770FA7"/>
    <w:rPr>
      <w:color w:val="954F72" w:themeColor="followedHyperlink"/>
      <w:u w:val="single"/>
    </w:rPr>
  </w:style>
  <w:style w:type="character" w:customStyle="1" w:styleId="Kop4Teken">
    <w:name w:val="Kop 4 Teken"/>
    <w:basedOn w:val="Standaardalinea-lettertype"/>
    <w:link w:val="Kop4"/>
    <w:uiPriority w:val="9"/>
    <w:rsid w:val="0052485E"/>
    <w:rPr>
      <w:rFonts w:asciiTheme="majorHAnsi" w:eastAsiaTheme="minorEastAsia" w:hAnsiTheme="majorHAnsi"/>
      <w:i/>
      <w:lang w:val="en-GB" w:eastAsia="nl-NL"/>
    </w:rPr>
  </w:style>
  <w:style w:type="paragraph" w:styleId="Inhopg4">
    <w:name w:val="toc 4"/>
    <w:basedOn w:val="Normaal"/>
    <w:next w:val="Normaal"/>
    <w:autoRedefine/>
    <w:uiPriority w:val="39"/>
    <w:unhideWhenUsed/>
    <w:rsid w:val="006534CA"/>
    <w:pPr>
      <w:tabs>
        <w:tab w:val="clear" w:pos="425"/>
      </w:tabs>
      <w:spacing w:after="100"/>
      <w:ind w:left="6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F7510"/>
    <w:pPr>
      <w:tabs>
        <w:tab w:val="left" w:pos="425"/>
      </w:tabs>
      <w:spacing w:after="240" w:line="360" w:lineRule="auto"/>
      <w:jc w:val="both"/>
    </w:pPr>
    <w:rPr>
      <w:rFonts w:asciiTheme="majorHAnsi" w:eastAsiaTheme="minorEastAsia" w:hAnsiTheme="majorHAnsi"/>
      <w:lang w:val="en-GB" w:eastAsia="nl-NL"/>
    </w:rPr>
  </w:style>
  <w:style w:type="paragraph" w:styleId="Kop1">
    <w:name w:val="heading 1"/>
    <w:basedOn w:val="Normaal"/>
    <w:next w:val="Normaal"/>
    <w:link w:val="Kop1Teken"/>
    <w:uiPriority w:val="9"/>
    <w:qFormat/>
    <w:rsid w:val="00601458"/>
    <w:pPr>
      <w:numPr>
        <w:numId w:val="7"/>
      </w:numPr>
      <w:spacing w:after="360"/>
      <w:jc w:val="left"/>
      <w:outlineLvl w:val="0"/>
    </w:pPr>
    <w:rPr>
      <w:b/>
      <w:sz w:val="24"/>
    </w:rPr>
  </w:style>
  <w:style w:type="paragraph" w:styleId="Kop2">
    <w:name w:val="heading 2"/>
    <w:basedOn w:val="Normaal"/>
    <w:next w:val="Normaal"/>
    <w:link w:val="Kop2Teken"/>
    <w:uiPriority w:val="9"/>
    <w:unhideWhenUsed/>
    <w:qFormat/>
    <w:rsid w:val="00601458"/>
    <w:pPr>
      <w:keepNext/>
      <w:keepLines/>
      <w:numPr>
        <w:numId w:val="5"/>
      </w:numPr>
      <w:spacing w:after="360"/>
      <w:outlineLvl w:val="1"/>
    </w:pPr>
    <w:rPr>
      <w:rFonts w:eastAsiaTheme="majorEastAsia" w:cstheme="majorBidi"/>
      <w:sz w:val="24"/>
      <w:szCs w:val="26"/>
    </w:rPr>
  </w:style>
  <w:style w:type="paragraph" w:styleId="Kop3">
    <w:name w:val="heading 3"/>
    <w:basedOn w:val="Doorlopendetekst"/>
    <w:next w:val="Doorlopendetekst"/>
    <w:link w:val="Kop3Teken"/>
    <w:uiPriority w:val="9"/>
    <w:unhideWhenUsed/>
    <w:qFormat/>
    <w:rsid w:val="00601458"/>
    <w:pPr>
      <w:numPr>
        <w:numId w:val="10"/>
      </w:numPr>
      <w:outlineLvl w:val="2"/>
    </w:pPr>
    <w:rPr>
      <w:rFonts w:asciiTheme="majorHAnsi" w:hAnsiTheme="majorHAnsi"/>
      <w:i/>
      <w:sz w:val="22"/>
    </w:rPr>
  </w:style>
  <w:style w:type="paragraph" w:styleId="Kop4">
    <w:name w:val="heading 4"/>
    <w:basedOn w:val="Normaal"/>
    <w:next w:val="Normaal"/>
    <w:link w:val="Kop4Teken"/>
    <w:uiPriority w:val="9"/>
    <w:unhideWhenUsed/>
    <w:qFormat/>
    <w:rsid w:val="0052485E"/>
    <w:pPr>
      <w:ind w:left="425"/>
      <w:outlineLvl w:val="3"/>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82755"/>
    <w:rPr>
      <w:color w:val="0563C1" w:themeColor="hyperlink"/>
      <w:u w:val="single"/>
    </w:rPr>
  </w:style>
  <w:style w:type="paragraph" w:customStyle="1" w:styleId="Doorlopendetekst">
    <w:name w:val="Doorlopende tekst"/>
    <w:basedOn w:val="Geenafstand"/>
    <w:link w:val="DoorlopendetekstChar"/>
    <w:rsid w:val="00282755"/>
    <w:pPr>
      <w:spacing w:after="360" w:line="360" w:lineRule="auto"/>
    </w:pPr>
  </w:style>
  <w:style w:type="character" w:customStyle="1" w:styleId="DoorlopendetekstChar">
    <w:name w:val="Doorlopende tekst Char"/>
    <w:basedOn w:val="Standaardalinea-lettertype"/>
    <w:link w:val="Doorlopendetekst"/>
    <w:rsid w:val="00282755"/>
    <w:rPr>
      <w:rFonts w:ascii="Times New Roman" w:eastAsiaTheme="minorEastAsia" w:hAnsi="Times New Roman"/>
      <w:sz w:val="24"/>
      <w:lang w:val="en-GB" w:eastAsia="nl-NL"/>
    </w:rPr>
  </w:style>
  <w:style w:type="paragraph" w:styleId="Geenafstand">
    <w:name w:val="No Spacing"/>
    <w:aliases w:val="alinea"/>
    <w:link w:val="GeenafstandTeken"/>
    <w:uiPriority w:val="1"/>
    <w:qFormat/>
    <w:rsid w:val="00282755"/>
    <w:pPr>
      <w:tabs>
        <w:tab w:val="left" w:pos="425"/>
      </w:tabs>
      <w:spacing w:after="0" w:line="240" w:lineRule="auto"/>
      <w:jc w:val="both"/>
    </w:pPr>
    <w:rPr>
      <w:rFonts w:ascii="Times New Roman" w:eastAsiaTheme="minorEastAsia" w:hAnsi="Times New Roman"/>
      <w:sz w:val="24"/>
      <w:lang w:val="en-GB" w:eastAsia="nl-NL"/>
    </w:rPr>
  </w:style>
  <w:style w:type="paragraph" w:styleId="Koptekst">
    <w:name w:val="header"/>
    <w:basedOn w:val="Normaal"/>
    <w:link w:val="KoptekstTeken"/>
    <w:uiPriority w:val="99"/>
    <w:unhideWhenUsed/>
    <w:rsid w:val="00B94BDC"/>
    <w:pPr>
      <w:tabs>
        <w:tab w:val="clear" w:pos="425"/>
        <w:tab w:val="center" w:pos="4536"/>
        <w:tab w:val="right" w:pos="9072"/>
      </w:tabs>
      <w:spacing w:line="240" w:lineRule="auto"/>
    </w:pPr>
  </w:style>
  <w:style w:type="character" w:customStyle="1" w:styleId="KoptekstTeken">
    <w:name w:val="Koptekst Teken"/>
    <w:basedOn w:val="Standaardalinea-lettertype"/>
    <w:link w:val="Koptekst"/>
    <w:uiPriority w:val="99"/>
    <w:rsid w:val="00B94BDC"/>
    <w:rPr>
      <w:rFonts w:ascii="Times New Roman" w:eastAsiaTheme="minorEastAsia" w:hAnsi="Times New Roman"/>
      <w:sz w:val="24"/>
      <w:lang w:val="en-GB" w:eastAsia="nl-NL"/>
    </w:rPr>
  </w:style>
  <w:style w:type="paragraph" w:styleId="Voettekst">
    <w:name w:val="footer"/>
    <w:basedOn w:val="Normaal"/>
    <w:link w:val="VoettekstTeken"/>
    <w:uiPriority w:val="99"/>
    <w:unhideWhenUsed/>
    <w:rsid w:val="00B94BDC"/>
    <w:pPr>
      <w:tabs>
        <w:tab w:val="clear" w:pos="425"/>
        <w:tab w:val="center" w:pos="4536"/>
        <w:tab w:val="right" w:pos="9072"/>
      </w:tabs>
      <w:spacing w:line="240" w:lineRule="auto"/>
    </w:pPr>
  </w:style>
  <w:style w:type="character" w:customStyle="1" w:styleId="VoettekstTeken">
    <w:name w:val="Voettekst Teken"/>
    <w:basedOn w:val="Standaardalinea-lettertype"/>
    <w:link w:val="Voettekst"/>
    <w:uiPriority w:val="99"/>
    <w:rsid w:val="00B94BDC"/>
    <w:rPr>
      <w:rFonts w:ascii="Times New Roman" w:eastAsiaTheme="minorEastAsia" w:hAnsi="Times New Roman"/>
      <w:sz w:val="24"/>
      <w:lang w:val="en-GB" w:eastAsia="nl-NL"/>
    </w:rPr>
  </w:style>
  <w:style w:type="character" w:styleId="Voetnootmarkering">
    <w:name w:val="footnote reference"/>
    <w:basedOn w:val="Standaardalinea-lettertype"/>
    <w:uiPriority w:val="99"/>
    <w:unhideWhenUsed/>
    <w:rsid w:val="00B94BDC"/>
    <w:rPr>
      <w:vertAlign w:val="superscript"/>
    </w:rPr>
  </w:style>
  <w:style w:type="paragraph" w:customStyle="1" w:styleId="Voetnoot">
    <w:name w:val="Voetnoot"/>
    <w:basedOn w:val="Voetnoottekst"/>
    <w:link w:val="VoetnootChar"/>
    <w:rsid w:val="00B94BDC"/>
    <w:rPr>
      <w:lang w:val="nl-NL"/>
    </w:rPr>
  </w:style>
  <w:style w:type="character" w:customStyle="1" w:styleId="VoetnootChar">
    <w:name w:val="Voetnoot Char"/>
    <w:basedOn w:val="VoetnoottekstTeken"/>
    <w:link w:val="Voetnoot"/>
    <w:rsid w:val="00B94BDC"/>
    <w:rPr>
      <w:rFonts w:ascii="Times New Roman" w:eastAsiaTheme="minorEastAsia" w:hAnsi="Times New Roman"/>
      <w:sz w:val="20"/>
      <w:szCs w:val="20"/>
      <w:lang w:val="nl-NL" w:eastAsia="nl-NL"/>
    </w:rPr>
  </w:style>
  <w:style w:type="paragraph" w:styleId="Voetnoottekst">
    <w:name w:val="footnote text"/>
    <w:basedOn w:val="Normaal"/>
    <w:link w:val="VoetnoottekstTeken"/>
    <w:uiPriority w:val="99"/>
    <w:unhideWhenUsed/>
    <w:rsid w:val="00B94BDC"/>
    <w:pPr>
      <w:spacing w:line="240" w:lineRule="auto"/>
    </w:pPr>
    <w:rPr>
      <w:sz w:val="20"/>
      <w:szCs w:val="20"/>
    </w:rPr>
  </w:style>
  <w:style w:type="character" w:customStyle="1" w:styleId="VoetnoottekstTeken">
    <w:name w:val="Voetnoottekst Teken"/>
    <w:basedOn w:val="Standaardalinea-lettertype"/>
    <w:link w:val="Voetnoottekst"/>
    <w:uiPriority w:val="99"/>
    <w:rsid w:val="00B94BDC"/>
    <w:rPr>
      <w:rFonts w:ascii="Times New Roman" w:eastAsiaTheme="minorEastAsia" w:hAnsi="Times New Roman"/>
      <w:sz w:val="20"/>
      <w:szCs w:val="20"/>
      <w:lang w:val="en-GB" w:eastAsia="nl-NL"/>
    </w:rPr>
  </w:style>
  <w:style w:type="paragraph" w:styleId="Lijstalinea">
    <w:name w:val="List Paragraph"/>
    <w:basedOn w:val="Normaal"/>
    <w:uiPriority w:val="34"/>
    <w:qFormat/>
    <w:rsid w:val="00A2372B"/>
    <w:pPr>
      <w:ind w:left="720"/>
      <w:contextualSpacing/>
    </w:pPr>
  </w:style>
  <w:style w:type="character" w:styleId="Verwijzingopmerking">
    <w:name w:val="annotation reference"/>
    <w:basedOn w:val="Standaardalinea-lettertype"/>
    <w:uiPriority w:val="99"/>
    <w:semiHidden/>
    <w:unhideWhenUsed/>
    <w:rsid w:val="00B15372"/>
    <w:rPr>
      <w:sz w:val="16"/>
      <w:szCs w:val="16"/>
    </w:rPr>
  </w:style>
  <w:style w:type="paragraph" w:styleId="Tekstopmerking">
    <w:name w:val="annotation text"/>
    <w:basedOn w:val="Normaal"/>
    <w:link w:val="TekstopmerkingTeken"/>
    <w:uiPriority w:val="99"/>
    <w:semiHidden/>
    <w:unhideWhenUsed/>
    <w:rsid w:val="00B15372"/>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B15372"/>
    <w:rPr>
      <w:rFonts w:ascii="Times New Roman" w:eastAsiaTheme="minorEastAsia" w:hAnsi="Times New Roman"/>
      <w:sz w:val="20"/>
      <w:szCs w:val="20"/>
      <w:lang w:val="en-GB" w:eastAsia="nl-NL"/>
    </w:rPr>
  </w:style>
  <w:style w:type="paragraph" w:styleId="Onderwerpvanopmerking">
    <w:name w:val="annotation subject"/>
    <w:basedOn w:val="Tekstopmerking"/>
    <w:next w:val="Tekstopmerking"/>
    <w:link w:val="OnderwerpvanopmerkingTeken"/>
    <w:uiPriority w:val="99"/>
    <w:semiHidden/>
    <w:unhideWhenUsed/>
    <w:rsid w:val="00B15372"/>
    <w:rPr>
      <w:b/>
      <w:bCs/>
    </w:rPr>
  </w:style>
  <w:style w:type="character" w:customStyle="1" w:styleId="OnderwerpvanopmerkingTeken">
    <w:name w:val="Onderwerp van opmerking Teken"/>
    <w:basedOn w:val="TekstopmerkingTeken"/>
    <w:link w:val="Onderwerpvanopmerking"/>
    <w:uiPriority w:val="99"/>
    <w:semiHidden/>
    <w:rsid w:val="00B15372"/>
    <w:rPr>
      <w:rFonts w:ascii="Times New Roman" w:eastAsiaTheme="minorEastAsia" w:hAnsi="Times New Roman"/>
      <w:b/>
      <w:bCs/>
      <w:sz w:val="20"/>
      <w:szCs w:val="20"/>
      <w:lang w:val="en-GB" w:eastAsia="nl-NL"/>
    </w:rPr>
  </w:style>
  <w:style w:type="paragraph" w:styleId="Ballontekst">
    <w:name w:val="Balloon Text"/>
    <w:basedOn w:val="Normaal"/>
    <w:link w:val="BallontekstTeken"/>
    <w:uiPriority w:val="99"/>
    <w:semiHidden/>
    <w:unhideWhenUsed/>
    <w:rsid w:val="00B15372"/>
    <w:pPr>
      <w:spacing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B15372"/>
    <w:rPr>
      <w:rFonts w:ascii="Segoe UI" w:eastAsiaTheme="minorEastAsia" w:hAnsi="Segoe UI" w:cs="Segoe UI"/>
      <w:sz w:val="18"/>
      <w:szCs w:val="18"/>
      <w:lang w:val="en-GB" w:eastAsia="nl-NL"/>
    </w:rPr>
  </w:style>
  <w:style w:type="paragraph" w:customStyle="1" w:styleId="voetnoot0">
    <w:name w:val="voetnoot"/>
    <w:basedOn w:val="Voetnoottekst"/>
    <w:link w:val="voetnootTeken"/>
    <w:rsid w:val="00B25974"/>
    <w:rPr>
      <w:rFonts w:cs="Times New Roman"/>
    </w:rPr>
  </w:style>
  <w:style w:type="character" w:customStyle="1" w:styleId="voetnootTeken">
    <w:name w:val="voetnoot Teken"/>
    <w:basedOn w:val="VoetnoottekstTeken"/>
    <w:link w:val="voetnoot0"/>
    <w:rsid w:val="00B25974"/>
    <w:rPr>
      <w:rFonts w:ascii="Times New Roman" w:eastAsiaTheme="minorEastAsia" w:hAnsi="Times New Roman" w:cs="Times New Roman"/>
      <w:sz w:val="20"/>
      <w:szCs w:val="20"/>
      <w:lang w:val="en-GB" w:eastAsia="nl-NL"/>
    </w:rPr>
  </w:style>
  <w:style w:type="paragraph" w:styleId="Normaalweb">
    <w:name w:val="Normal (Web)"/>
    <w:basedOn w:val="Normaal"/>
    <w:uiPriority w:val="99"/>
    <w:unhideWhenUsed/>
    <w:rsid w:val="00B25974"/>
    <w:pPr>
      <w:tabs>
        <w:tab w:val="clear" w:pos="425"/>
      </w:tabs>
      <w:spacing w:before="100" w:beforeAutospacing="1" w:after="100" w:afterAutospacing="1" w:line="240" w:lineRule="auto"/>
      <w:jc w:val="left"/>
    </w:pPr>
    <w:rPr>
      <w:rFonts w:ascii="Times" w:hAnsi="Times" w:cs="Times New Roman"/>
      <w:sz w:val="20"/>
      <w:szCs w:val="20"/>
      <w:lang w:val="nl-BE"/>
    </w:rPr>
  </w:style>
  <w:style w:type="character" w:customStyle="1" w:styleId="Kop1Teken">
    <w:name w:val="Kop 1 Teken"/>
    <w:basedOn w:val="Standaardalinea-lettertype"/>
    <w:link w:val="Kop1"/>
    <w:uiPriority w:val="9"/>
    <w:rsid w:val="00601458"/>
    <w:rPr>
      <w:rFonts w:asciiTheme="majorHAnsi" w:eastAsiaTheme="minorEastAsia" w:hAnsiTheme="majorHAnsi"/>
      <w:b/>
      <w:sz w:val="24"/>
      <w:lang w:val="en-GB" w:eastAsia="nl-NL"/>
    </w:rPr>
  </w:style>
  <w:style w:type="character" w:customStyle="1" w:styleId="Kop2Teken">
    <w:name w:val="Kop 2 Teken"/>
    <w:basedOn w:val="Standaardalinea-lettertype"/>
    <w:link w:val="Kop2"/>
    <w:uiPriority w:val="9"/>
    <w:rsid w:val="00601458"/>
    <w:rPr>
      <w:rFonts w:asciiTheme="majorHAnsi" w:eastAsiaTheme="majorEastAsia" w:hAnsiTheme="majorHAnsi" w:cstheme="majorBidi"/>
      <w:sz w:val="24"/>
      <w:szCs w:val="26"/>
      <w:lang w:val="en-GB" w:eastAsia="nl-NL"/>
    </w:rPr>
  </w:style>
  <w:style w:type="character" w:customStyle="1" w:styleId="Kop3Teken">
    <w:name w:val="Kop 3 Teken"/>
    <w:basedOn w:val="Standaardalinea-lettertype"/>
    <w:link w:val="Kop3"/>
    <w:uiPriority w:val="9"/>
    <w:rsid w:val="00601458"/>
    <w:rPr>
      <w:rFonts w:asciiTheme="majorHAnsi" w:eastAsiaTheme="minorEastAsia" w:hAnsiTheme="majorHAnsi"/>
      <w:i/>
      <w:lang w:val="en-GB" w:eastAsia="nl-NL"/>
    </w:rPr>
  </w:style>
  <w:style w:type="paragraph" w:styleId="Kopvaninhoudsopgave">
    <w:name w:val="TOC Heading"/>
    <w:basedOn w:val="Kop1"/>
    <w:next w:val="Normaal"/>
    <w:uiPriority w:val="39"/>
    <w:unhideWhenUsed/>
    <w:qFormat/>
    <w:rsid w:val="00EB1EA4"/>
    <w:pPr>
      <w:keepNext/>
      <w:keepLines/>
      <w:numPr>
        <w:numId w:val="0"/>
      </w:numPr>
      <w:tabs>
        <w:tab w:val="clear" w:pos="425"/>
      </w:tabs>
      <w:spacing w:before="240" w:after="0" w:line="259" w:lineRule="auto"/>
      <w:outlineLvl w:val="9"/>
    </w:pPr>
    <w:rPr>
      <w:rFonts w:eastAsiaTheme="majorEastAsia" w:cstheme="majorBidi"/>
      <w:b w:val="0"/>
      <w:color w:val="2E74B5" w:themeColor="accent1" w:themeShade="BF"/>
      <w:sz w:val="32"/>
      <w:szCs w:val="32"/>
      <w:lang w:eastAsia="en-GB"/>
    </w:rPr>
  </w:style>
  <w:style w:type="paragraph" w:styleId="Inhopg1">
    <w:name w:val="toc 1"/>
    <w:basedOn w:val="Normaal"/>
    <w:next w:val="Normaal"/>
    <w:autoRedefine/>
    <w:uiPriority w:val="39"/>
    <w:unhideWhenUsed/>
    <w:rsid w:val="00EB1EA4"/>
    <w:pPr>
      <w:tabs>
        <w:tab w:val="clear" w:pos="425"/>
      </w:tabs>
      <w:spacing w:after="100"/>
    </w:pPr>
  </w:style>
  <w:style w:type="paragraph" w:styleId="Inhopg2">
    <w:name w:val="toc 2"/>
    <w:basedOn w:val="Normaal"/>
    <w:next w:val="Normaal"/>
    <w:autoRedefine/>
    <w:uiPriority w:val="39"/>
    <w:unhideWhenUsed/>
    <w:rsid w:val="003856A8"/>
    <w:pPr>
      <w:tabs>
        <w:tab w:val="clear" w:pos="425"/>
        <w:tab w:val="left" w:pos="709"/>
        <w:tab w:val="right" w:pos="9062"/>
      </w:tabs>
      <w:spacing w:after="100"/>
      <w:ind w:left="240"/>
    </w:pPr>
  </w:style>
  <w:style w:type="paragraph" w:styleId="Inhopg3">
    <w:name w:val="toc 3"/>
    <w:basedOn w:val="Normaal"/>
    <w:next w:val="Normaal"/>
    <w:autoRedefine/>
    <w:uiPriority w:val="39"/>
    <w:unhideWhenUsed/>
    <w:rsid w:val="00EB1EA4"/>
    <w:pPr>
      <w:tabs>
        <w:tab w:val="clear" w:pos="425"/>
      </w:tabs>
      <w:spacing w:after="100"/>
      <w:ind w:left="480"/>
    </w:pPr>
  </w:style>
  <w:style w:type="paragraph" w:customStyle="1" w:styleId="Default">
    <w:name w:val="Default"/>
    <w:rsid w:val="00FF6178"/>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A7">
    <w:name w:val="A7"/>
    <w:uiPriority w:val="99"/>
    <w:rsid w:val="00FF6178"/>
    <w:rPr>
      <w:color w:val="000000"/>
      <w:sz w:val="18"/>
      <w:szCs w:val="18"/>
      <w:u w:val="single"/>
    </w:rPr>
  </w:style>
  <w:style w:type="paragraph" w:customStyle="1" w:styleId="1Voetnoot">
    <w:name w:val="1Voetnoot"/>
    <w:basedOn w:val="Voetnoot"/>
    <w:link w:val="1VoetnootChar"/>
    <w:qFormat/>
    <w:rsid w:val="00722378"/>
    <w:pPr>
      <w:spacing w:after="0"/>
      <w:jc w:val="left"/>
    </w:pPr>
    <w:rPr>
      <w:lang w:val="en-GB"/>
    </w:rPr>
  </w:style>
  <w:style w:type="character" w:customStyle="1" w:styleId="1VoetnootChar">
    <w:name w:val="1Voetnoot Char"/>
    <w:basedOn w:val="VoetnootChar"/>
    <w:link w:val="1Voetnoot"/>
    <w:rsid w:val="00722378"/>
    <w:rPr>
      <w:rFonts w:asciiTheme="majorHAnsi" w:eastAsiaTheme="minorEastAsia" w:hAnsiTheme="majorHAnsi"/>
      <w:sz w:val="20"/>
      <w:szCs w:val="20"/>
      <w:lang w:val="en-GB" w:eastAsia="nl-NL"/>
    </w:rPr>
  </w:style>
  <w:style w:type="character" w:styleId="Paginanummer">
    <w:name w:val="page number"/>
    <w:basedOn w:val="Standaardalinea-lettertype"/>
    <w:uiPriority w:val="99"/>
    <w:semiHidden/>
    <w:unhideWhenUsed/>
    <w:rsid w:val="00B90020"/>
  </w:style>
  <w:style w:type="character" w:customStyle="1" w:styleId="GeenafstandTeken">
    <w:name w:val="Geen afstand Teken"/>
    <w:aliases w:val="alinea Teken"/>
    <w:basedOn w:val="Standaardalinea-lettertype"/>
    <w:link w:val="Geenafstand"/>
    <w:uiPriority w:val="1"/>
    <w:rsid w:val="008C3067"/>
    <w:rPr>
      <w:rFonts w:ascii="Times New Roman" w:eastAsiaTheme="minorEastAsia" w:hAnsi="Times New Roman"/>
      <w:sz w:val="24"/>
      <w:lang w:val="en-GB" w:eastAsia="nl-NL"/>
    </w:rPr>
  </w:style>
  <w:style w:type="paragraph" w:styleId="Documentstructuur">
    <w:name w:val="Document Map"/>
    <w:basedOn w:val="Normaal"/>
    <w:link w:val="DocumentstructuurTeken"/>
    <w:uiPriority w:val="99"/>
    <w:semiHidden/>
    <w:unhideWhenUsed/>
    <w:rsid w:val="0003669D"/>
    <w:pPr>
      <w:spacing w:after="0" w:line="240" w:lineRule="auto"/>
    </w:pPr>
    <w:rPr>
      <w:rFonts w:ascii="Lucida Grande" w:hAnsi="Lucida Grande" w:cs="Lucida Grande"/>
      <w:sz w:val="24"/>
      <w:szCs w:val="24"/>
    </w:rPr>
  </w:style>
  <w:style w:type="character" w:customStyle="1" w:styleId="DocumentstructuurTeken">
    <w:name w:val="Documentstructuur Teken"/>
    <w:basedOn w:val="Standaardalinea-lettertype"/>
    <w:link w:val="Documentstructuur"/>
    <w:uiPriority w:val="99"/>
    <w:semiHidden/>
    <w:rsid w:val="0003669D"/>
    <w:rPr>
      <w:rFonts w:ascii="Lucida Grande" w:eastAsiaTheme="minorEastAsia" w:hAnsi="Lucida Grande" w:cs="Lucida Grande"/>
      <w:sz w:val="24"/>
      <w:szCs w:val="24"/>
      <w:lang w:val="en-GB" w:eastAsia="nl-NL"/>
    </w:rPr>
  </w:style>
  <w:style w:type="character" w:styleId="GevolgdeHyperlink">
    <w:name w:val="FollowedHyperlink"/>
    <w:basedOn w:val="Standaardalinea-lettertype"/>
    <w:uiPriority w:val="99"/>
    <w:semiHidden/>
    <w:unhideWhenUsed/>
    <w:rsid w:val="00770FA7"/>
    <w:rPr>
      <w:color w:val="954F72" w:themeColor="followedHyperlink"/>
      <w:u w:val="single"/>
    </w:rPr>
  </w:style>
  <w:style w:type="character" w:customStyle="1" w:styleId="Kop4Teken">
    <w:name w:val="Kop 4 Teken"/>
    <w:basedOn w:val="Standaardalinea-lettertype"/>
    <w:link w:val="Kop4"/>
    <w:uiPriority w:val="9"/>
    <w:rsid w:val="0052485E"/>
    <w:rPr>
      <w:rFonts w:asciiTheme="majorHAnsi" w:eastAsiaTheme="minorEastAsia" w:hAnsiTheme="majorHAnsi"/>
      <w:i/>
      <w:lang w:val="en-GB" w:eastAsia="nl-NL"/>
    </w:rPr>
  </w:style>
  <w:style w:type="paragraph" w:styleId="Inhopg4">
    <w:name w:val="toc 4"/>
    <w:basedOn w:val="Normaal"/>
    <w:next w:val="Normaal"/>
    <w:autoRedefine/>
    <w:uiPriority w:val="39"/>
    <w:unhideWhenUsed/>
    <w:rsid w:val="006534CA"/>
    <w:pPr>
      <w:tabs>
        <w:tab w:val="clear" w:pos="425"/>
      </w:tabs>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85431">
      <w:bodyDiv w:val="1"/>
      <w:marLeft w:val="0"/>
      <w:marRight w:val="0"/>
      <w:marTop w:val="0"/>
      <w:marBottom w:val="0"/>
      <w:divBdr>
        <w:top w:val="none" w:sz="0" w:space="0" w:color="auto"/>
        <w:left w:val="none" w:sz="0" w:space="0" w:color="auto"/>
        <w:bottom w:val="none" w:sz="0" w:space="0" w:color="auto"/>
        <w:right w:val="none" w:sz="0" w:space="0" w:color="auto"/>
      </w:divBdr>
      <w:divsChild>
        <w:div w:id="635646493">
          <w:marLeft w:val="0"/>
          <w:marRight w:val="0"/>
          <w:marTop w:val="0"/>
          <w:marBottom w:val="0"/>
          <w:divBdr>
            <w:top w:val="none" w:sz="0" w:space="0" w:color="auto"/>
            <w:left w:val="none" w:sz="0" w:space="0" w:color="auto"/>
            <w:bottom w:val="none" w:sz="0" w:space="0" w:color="auto"/>
            <w:right w:val="none" w:sz="0" w:space="0" w:color="auto"/>
          </w:divBdr>
          <w:divsChild>
            <w:div w:id="830028044">
              <w:marLeft w:val="0"/>
              <w:marRight w:val="0"/>
              <w:marTop w:val="0"/>
              <w:marBottom w:val="0"/>
              <w:divBdr>
                <w:top w:val="none" w:sz="0" w:space="0" w:color="auto"/>
                <w:left w:val="none" w:sz="0" w:space="0" w:color="auto"/>
                <w:bottom w:val="none" w:sz="0" w:space="0" w:color="auto"/>
                <w:right w:val="none" w:sz="0" w:space="0" w:color="auto"/>
              </w:divBdr>
              <w:divsChild>
                <w:div w:id="15578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89704">
      <w:bodyDiv w:val="1"/>
      <w:marLeft w:val="0"/>
      <w:marRight w:val="0"/>
      <w:marTop w:val="0"/>
      <w:marBottom w:val="0"/>
      <w:divBdr>
        <w:top w:val="none" w:sz="0" w:space="0" w:color="auto"/>
        <w:left w:val="none" w:sz="0" w:space="0" w:color="auto"/>
        <w:bottom w:val="none" w:sz="0" w:space="0" w:color="auto"/>
        <w:right w:val="none" w:sz="0" w:space="0" w:color="auto"/>
      </w:divBdr>
    </w:div>
    <w:div w:id="1287739977">
      <w:bodyDiv w:val="1"/>
      <w:marLeft w:val="0"/>
      <w:marRight w:val="0"/>
      <w:marTop w:val="0"/>
      <w:marBottom w:val="0"/>
      <w:divBdr>
        <w:top w:val="none" w:sz="0" w:space="0" w:color="auto"/>
        <w:left w:val="none" w:sz="0" w:space="0" w:color="auto"/>
        <w:bottom w:val="none" w:sz="0" w:space="0" w:color="auto"/>
        <w:right w:val="none" w:sz="0" w:space="0" w:color="auto"/>
      </w:divBdr>
      <w:divsChild>
        <w:div w:id="108016585">
          <w:marLeft w:val="0"/>
          <w:marRight w:val="0"/>
          <w:marTop w:val="0"/>
          <w:marBottom w:val="0"/>
          <w:divBdr>
            <w:top w:val="none" w:sz="0" w:space="0" w:color="auto"/>
            <w:left w:val="none" w:sz="0" w:space="0" w:color="auto"/>
            <w:bottom w:val="none" w:sz="0" w:space="0" w:color="auto"/>
            <w:right w:val="none" w:sz="0" w:space="0" w:color="auto"/>
          </w:divBdr>
          <w:divsChild>
            <w:div w:id="1530341466">
              <w:marLeft w:val="0"/>
              <w:marRight w:val="0"/>
              <w:marTop w:val="0"/>
              <w:marBottom w:val="0"/>
              <w:divBdr>
                <w:top w:val="none" w:sz="0" w:space="0" w:color="auto"/>
                <w:left w:val="none" w:sz="0" w:space="0" w:color="auto"/>
                <w:bottom w:val="none" w:sz="0" w:space="0" w:color="auto"/>
                <w:right w:val="none" w:sz="0" w:space="0" w:color="auto"/>
              </w:divBdr>
              <w:divsChild>
                <w:div w:id="213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5573">
      <w:bodyDiv w:val="1"/>
      <w:marLeft w:val="0"/>
      <w:marRight w:val="0"/>
      <w:marTop w:val="0"/>
      <w:marBottom w:val="0"/>
      <w:divBdr>
        <w:top w:val="none" w:sz="0" w:space="0" w:color="auto"/>
        <w:left w:val="none" w:sz="0" w:space="0" w:color="auto"/>
        <w:bottom w:val="none" w:sz="0" w:space="0" w:color="auto"/>
        <w:right w:val="none" w:sz="0" w:space="0" w:color="auto"/>
      </w:divBdr>
      <w:divsChild>
        <w:div w:id="1346050926">
          <w:marLeft w:val="0"/>
          <w:marRight w:val="0"/>
          <w:marTop w:val="0"/>
          <w:marBottom w:val="0"/>
          <w:divBdr>
            <w:top w:val="none" w:sz="0" w:space="0" w:color="auto"/>
            <w:left w:val="none" w:sz="0" w:space="0" w:color="auto"/>
            <w:bottom w:val="none" w:sz="0" w:space="0" w:color="auto"/>
            <w:right w:val="none" w:sz="0" w:space="0" w:color="auto"/>
          </w:divBdr>
          <w:divsChild>
            <w:div w:id="1039936217">
              <w:marLeft w:val="0"/>
              <w:marRight w:val="0"/>
              <w:marTop w:val="0"/>
              <w:marBottom w:val="0"/>
              <w:divBdr>
                <w:top w:val="none" w:sz="0" w:space="0" w:color="auto"/>
                <w:left w:val="none" w:sz="0" w:space="0" w:color="auto"/>
                <w:bottom w:val="none" w:sz="0" w:space="0" w:color="auto"/>
                <w:right w:val="none" w:sz="0" w:space="0" w:color="auto"/>
              </w:divBdr>
              <w:divsChild>
                <w:div w:id="4174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57194">
      <w:bodyDiv w:val="1"/>
      <w:marLeft w:val="0"/>
      <w:marRight w:val="0"/>
      <w:marTop w:val="0"/>
      <w:marBottom w:val="0"/>
      <w:divBdr>
        <w:top w:val="none" w:sz="0" w:space="0" w:color="auto"/>
        <w:left w:val="none" w:sz="0" w:space="0" w:color="auto"/>
        <w:bottom w:val="none" w:sz="0" w:space="0" w:color="auto"/>
        <w:right w:val="none" w:sz="0" w:space="0" w:color="auto"/>
      </w:divBdr>
      <w:divsChild>
        <w:div w:id="1089738533">
          <w:marLeft w:val="0"/>
          <w:marRight w:val="0"/>
          <w:marTop w:val="0"/>
          <w:marBottom w:val="0"/>
          <w:divBdr>
            <w:top w:val="none" w:sz="0" w:space="0" w:color="auto"/>
            <w:left w:val="none" w:sz="0" w:space="0" w:color="auto"/>
            <w:bottom w:val="none" w:sz="0" w:space="0" w:color="auto"/>
            <w:right w:val="none" w:sz="0" w:space="0" w:color="auto"/>
          </w:divBdr>
          <w:divsChild>
            <w:div w:id="1727534650">
              <w:marLeft w:val="0"/>
              <w:marRight w:val="0"/>
              <w:marTop w:val="0"/>
              <w:marBottom w:val="0"/>
              <w:divBdr>
                <w:top w:val="none" w:sz="0" w:space="0" w:color="auto"/>
                <w:left w:val="none" w:sz="0" w:space="0" w:color="auto"/>
                <w:bottom w:val="none" w:sz="0" w:space="0" w:color="auto"/>
                <w:right w:val="none" w:sz="0" w:space="0" w:color="auto"/>
              </w:divBdr>
              <w:divsChild>
                <w:div w:id="18651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5151">
      <w:bodyDiv w:val="1"/>
      <w:marLeft w:val="0"/>
      <w:marRight w:val="0"/>
      <w:marTop w:val="0"/>
      <w:marBottom w:val="0"/>
      <w:divBdr>
        <w:top w:val="none" w:sz="0" w:space="0" w:color="auto"/>
        <w:left w:val="none" w:sz="0" w:space="0" w:color="auto"/>
        <w:bottom w:val="none" w:sz="0" w:space="0" w:color="auto"/>
        <w:right w:val="none" w:sz="0" w:space="0" w:color="auto"/>
      </w:divBdr>
      <w:divsChild>
        <w:div w:id="1453399845">
          <w:marLeft w:val="0"/>
          <w:marRight w:val="0"/>
          <w:marTop w:val="0"/>
          <w:marBottom w:val="0"/>
          <w:divBdr>
            <w:top w:val="none" w:sz="0" w:space="0" w:color="auto"/>
            <w:left w:val="none" w:sz="0" w:space="0" w:color="auto"/>
            <w:bottom w:val="none" w:sz="0" w:space="0" w:color="auto"/>
            <w:right w:val="none" w:sz="0" w:space="0" w:color="auto"/>
          </w:divBdr>
          <w:divsChild>
            <w:div w:id="2065444172">
              <w:marLeft w:val="0"/>
              <w:marRight w:val="0"/>
              <w:marTop w:val="0"/>
              <w:marBottom w:val="0"/>
              <w:divBdr>
                <w:top w:val="none" w:sz="0" w:space="0" w:color="auto"/>
                <w:left w:val="none" w:sz="0" w:space="0" w:color="auto"/>
                <w:bottom w:val="none" w:sz="0" w:space="0" w:color="auto"/>
                <w:right w:val="none" w:sz="0" w:space="0" w:color="auto"/>
              </w:divBdr>
              <w:divsChild>
                <w:div w:id="14685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Femke.Gremmelprez@UGent.be"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1" Type="http://schemas.openxmlformats.org/officeDocument/2006/relationships/hyperlink" Target="http://www.mfa.gov.pl/en/news/mfa_statement_on_the_polish_government_s_response_to_commission_recommendation_of_27_07_2016" TargetMode="External"/><Relationship Id="rId12" Type="http://schemas.openxmlformats.org/officeDocument/2006/relationships/hyperlink" Target="http://www.msz.gov.pl/en/news/mfa_statement_on_the_polish_government_s_response_to_commission_recommendation_of_27_07_2016" TargetMode="External"/><Relationship Id="rId13" Type="http://schemas.openxmlformats.org/officeDocument/2006/relationships/hyperlink" Target="http://www.mfa.gov.pl/en/news/mfa_statement_on_poland_s_response_to_european_commission_s_complementary_recommendation_of_21_december_2016_" TargetMode="External"/><Relationship Id="rId14" Type="http://schemas.openxmlformats.org/officeDocument/2006/relationships/hyperlink" Target="http://ec.europa.eu/justice/events/assises-justice-2013/files/contributions/45.princetonuniversityscheppelesystemicinfringementactionbrusselsversion_en.pdf" TargetMode="External"/><Relationship Id="rId15" Type="http://schemas.openxmlformats.org/officeDocument/2006/relationships/hyperlink" Target="http://www.verfassungsblog.de/systemic-infringement-action-an-effective-solution-or-rather-part-of-the-problem/" TargetMode="External"/><Relationship Id="rId16" Type="http://schemas.openxmlformats.org/officeDocument/2006/relationships/hyperlink" Target="http://www.verfassungsblog.de/how-to-turn-article-2-teu-into-a-down-to-earth-provision/" TargetMode="External"/><Relationship Id="rId17" Type="http://schemas.openxmlformats.org/officeDocument/2006/relationships/hyperlink" Target="http://www.verfassungsblog.de/systemic-infringement-action-an-effective-solution-or-rather-part-of-the-problem/" TargetMode="External"/><Relationship Id="rId18" Type="http://schemas.openxmlformats.org/officeDocument/2006/relationships/hyperlink" Target="http://verfassungsblog.de/systemic-infringement-action-an-effective-solution-or-rather-part-of-the-problem/" TargetMode="External"/><Relationship Id="rId1" Type="http://schemas.openxmlformats.org/officeDocument/2006/relationships/hyperlink" Target="https://www.ft.com/content/2234f99a-2942-11e4-8b81-00144feabdc0" TargetMode="External"/><Relationship Id="rId2" Type="http://schemas.openxmlformats.org/officeDocument/2006/relationships/hyperlink" Target="http://www.venice.coe.int/webforms/documents/?pdf=CDL-AD(2012)001-e" TargetMode="External"/><Relationship Id="rId3" Type="http://schemas.openxmlformats.org/officeDocument/2006/relationships/hyperlink" Target="http://ec.europa.eu/justice/events/assises-justice-2013/files/contributions/45.princetonuniversityscheppelesystemicinfringementactionbrusselsversion_en.pdf" TargetMode="External"/><Relationship Id="rId4" Type="http://schemas.openxmlformats.org/officeDocument/2006/relationships/hyperlink" Target="http://europa.eu/rapid/press-release_SPEECH-13-677_nl.htm" TargetMode="External"/><Relationship Id="rId5" Type="http://schemas.openxmlformats.org/officeDocument/2006/relationships/hyperlink" Target="http://verfassungsblog.de/can-poland-be-sanctioned-by-the-eu-not-unless-hungary-is-sanctioned-too/" TargetMode="External"/><Relationship Id="rId6" Type="http://schemas.openxmlformats.org/officeDocument/2006/relationships/hyperlink" Target="http://eulawanalysis.blogspot.be/2015/01/from-bad-to-worse-on-commission-and.htm" TargetMode="External"/><Relationship Id="rId7" Type="http://schemas.openxmlformats.org/officeDocument/2006/relationships/hyperlink" Target="http://euobserver.com/institutional/133649" TargetMode="External"/><Relationship Id="rId8" Type="http://schemas.openxmlformats.org/officeDocument/2006/relationships/hyperlink" Target="http://euobserver.com/institutional/133649" TargetMode="External"/><Relationship Id="rId9" Type="http://schemas.openxmlformats.org/officeDocument/2006/relationships/hyperlink" Target="http://eulawanalysis.blogspot.be/2016/08/commission-opinion-of-1-june-2016.html" TargetMode="External"/><Relationship Id="rId10" Type="http://schemas.openxmlformats.org/officeDocument/2006/relationships/hyperlink" Target="http://www.politico.eu/article/beate-szydlo-eu-law-and-justice-poland-rejects-commissions-rule-of-law-reques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FDF33-AB27-F140-B909-198DE6088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8768</Words>
  <Characters>48230</Characters>
  <Application>Microsoft Macintosh Word</Application>
  <DocSecurity>0</DocSecurity>
  <Lines>401</Lines>
  <Paragraphs>113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UGent</Company>
  <LinksUpToDate>false</LinksUpToDate>
  <CharactersWithSpaces>56885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Gremmelprez</dc:creator>
  <cp:keywords/>
  <dc:description/>
  <cp:lastModifiedBy>Femke Gremmelprez</cp:lastModifiedBy>
  <cp:revision>2</cp:revision>
  <cp:lastPrinted>2017-04-26T09:31:00Z</cp:lastPrinted>
  <dcterms:created xsi:type="dcterms:W3CDTF">2017-04-28T06:32:00Z</dcterms:created>
  <dcterms:modified xsi:type="dcterms:W3CDTF">2017-04-28T06:32:00Z</dcterms:modified>
</cp:coreProperties>
</file>