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0DB0" w14:textId="77777777" w:rsidR="00C363D3" w:rsidRDefault="00C363D3" w:rsidP="00656239">
      <w:pPr>
        <w:spacing w:line="480" w:lineRule="auto"/>
        <w:rPr>
          <w:rFonts w:ascii="Times New Roman" w:hAnsi="Times New Roman" w:cs="Times New Roman"/>
        </w:rPr>
      </w:pPr>
    </w:p>
    <w:p w14:paraId="20BBD299" w14:textId="77777777" w:rsidR="00733369" w:rsidRDefault="00733369" w:rsidP="00733369">
      <w:pPr>
        <w:jc w:val="center"/>
        <w:rPr>
          <w:rFonts w:ascii="Times New Roman" w:hAnsi="Times New Roman" w:cs="Times New Roman"/>
          <w:i/>
        </w:rPr>
      </w:pPr>
    </w:p>
    <w:p w14:paraId="608B0AAD" w14:textId="77777777" w:rsidR="00733369" w:rsidRDefault="00733369" w:rsidP="00733369">
      <w:pPr>
        <w:jc w:val="center"/>
        <w:rPr>
          <w:rFonts w:ascii="Times New Roman" w:hAnsi="Times New Roman" w:cs="Times New Roman"/>
          <w:i/>
        </w:rPr>
      </w:pPr>
    </w:p>
    <w:p w14:paraId="5125798B" w14:textId="77777777" w:rsidR="00733369" w:rsidRDefault="00733369" w:rsidP="00733369">
      <w:pPr>
        <w:jc w:val="center"/>
        <w:rPr>
          <w:rFonts w:ascii="Times New Roman" w:hAnsi="Times New Roman" w:cs="Times New Roman"/>
          <w:i/>
        </w:rPr>
      </w:pPr>
    </w:p>
    <w:p w14:paraId="25B4BC83" w14:textId="77777777" w:rsidR="00733369" w:rsidRDefault="00733369" w:rsidP="00733369">
      <w:pPr>
        <w:jc w:val="center"/>
        <w:rPr>
          <w:rFonts w:ascii="Times New Roman" w:hAnsi="Times New Roman" w:cs="Times New Roman"/>
          <w:i/>
        </w:rPr>
      </w:pPr>
    </w:p>
    <w:p w14:paraId="21B0C076" w14:textId="77777777" w:rsidR="00733369" w:rsidRDefault="00733369" w:rsidP="00733369">
      <w:pPr>
        <w:jc w:val="center"/>
        <w:rPr>
          <w:rFonts w:ascii="Times New Roman" w:hAnsi="Times New Roman" w:cs="Times New Roman"/>
          <w:i/>
        </w:rPr>
      </w:pPr>
    </w:p>
    <w:p w14:paraId="14D444AA" w14:textId="77777777" w:rsidR="00733369" w:rsidRDefault="00733369" w:rsidP="00733369">
      <w:pPr>
        <w:jc w:val="center"/>
        <w:rPr>
          <w:rFonts w:ascii="Times New Roman" w:hAnsi="Times New Roman" w:cs="Times New Roman"/>
          <w:i/>
        </w:rPr>
      </w:pPr>
    </w:p>
    <w:p w14:paraId="2E5AE069" w14:textId="77777777" w:rsidR="00733369" w:rsidRDefault="00733369" w:rsidP="00733369">
      <w:pPr>
        <w:jc w:val="center"/>
        <w:rPr>
          <w:rFonts w:ascii="Times New Roman" w:hAnsi="Times New Roman" w:cs="Times New Roman"/>
          <w:i/>
        </w:rPr>
      </w:pPr>
      <w:r>
        <w:rPr>
          <w:rFonts w:ascii="Times New Roman" w:hAnsi="Times New Roman" w:cs="Times New Roman"/>
          <w:i/>
        </w:rPr>
        <w:t xml:space="preserve">Of Rainbows and Crosses: </w:t>
      </w:r>
    </w:p>
    <w:p w14:paraId="6F5FEDE4" w14:textId="77777777" w:rsidR="00733369" w:rsidRDefault="00733369" w:rsidP="00733369">
      <w:pPr>
        <w:jc w:val="center"/>
        <w:rPr>
          <w:rFonts w:ascii="Times New Roman" w:hAnsi="Times New Roman" w:cs="Times New Roman"/>
          <w:i/>
        </w:rPr>
      </w:pPr>
      <w:r>
        <w:rPr>
          <w:rFonts w:ascii="Times New Roman" w:hAnsi="Times New Roman" w:cs="Times New Roman"/>
          <w:i/>
        </w:rPr>
        <w:t>Why Religious Organizations Oppose EU Equality Legislation for Gays and Lesbians</w:t>
      </w:r>
    </w:p>
    <w:p w14:paraId="4E36242F" w14:textId="77777777" w:rsidR="00733369" w:rsidRDefault="00733369" w:rsidP="00733369">
      <w:pPr>
        <w:spacing w:line="480" w:lineRule="auto"/>
        <w:rPr>
          <w:rFonts w:ascii="Times New Roman" w:hAnsi="Times New Roman" w:cs="Times New Roman"/>
          <w:i/>
        </w:rPr>
      </w:pPr>
    </w:p>
    <w:p w14:paraId="0E170FB2" w14:textId="77777777" w:rsidR="00733369" w:rsidRDefault="00733369" w:rsidP="00733369">
      <w:pPr>
        <w:spacing w:line="480" w:lineRule="auto"/>
        <w:rPr>
          <w:rFonts w:ascii="Times New Roman" w:hAnsi="Times New Roman" w:cs="Times New Roman"/>
          <w:i/>
        </w:rPr>
      </w:pPr>
    </w:p>
    <w:p w14:paraId="25C1D35E" w14:textId="77777777" w:rsidR="00733369" w:rsidRDefault="00733369" w:rsidP="00733369">
      <w:pPr>
        <w:spacing w:line="480" w:lineRule="auto"/>
        <w:rPr>
          <w:rFonts w:ascii="Times New Roman" w:hAnsi="Times New Roman" w:cs="Times New Roman"/>
          <w:i/>
        </w:rPr>
      </w:pPr>
    </w:p>
    <w:p w14:paraId="17D67D5D" w14:textId="77777777" w:rsidR="00733369" w:rsidRDefault="00733369" w:rsidP="00733369">
      <w:pPr>
        <w:spacing w:line="480" w:lineRule="auto"/>
        <w:rPr>
          <w:rFonts w:ascii="Times New Roman" w:hAnsi="Times New Roman" w:cs="Times New Roman"/>
          <w:i/>
        </w:rPr>
      </w:pPr>
    </w:p>
    <w:p w14:paraId="1A9425D0" w14:textId="77777777" w:rsidR="00733369" w:rsidRDefault="00733369" w:rsidP="00733369">
      <w:pPr>
        <w:spacing w:line="480" w:lineRule="auto"/>
        <w:rPr>
          <w:rFonts w:ascii="Times New Roman" w:hAnsi="Times New Roman" w:cs="Times New Roman"/>
          <w:i/>
        </w:rPr>
      </w:pPr>
    </w:p>
    <w:p w14:paraId="407B6BE9" w14:textId="77777777" w:rsidR="00733369" w:rsidRDefault="00733369" w:rsidP="00733369">
      <w:pPr>
        <w:spacing w:line="480" w:lineRule="auto"/>
        <w:rPr>
          <w:rFonts w:ascii="Times New Roman" w:hAnsi="Times New Roman" w:cs="Times New Roman"/>
          <w:i/>
        </w:rPr>
      </w:pPr>
    </w:p>
    <w:p w14:paraId="59E7B132" w14:textId="77777777" w:rsidR="00733369" w:rsidRDefault="00733369" w:rsidP="00733369">
      <w:pPr>
        <w:rPr>
          <w:rFonts w:ascii="Times New Roman" w:hAnsi="Times New Roman" w:cs="Times New Roman"/>
          <w:i/>
        </w:rPr>
      </w:pPr>
    </w:p>
    <w:p w14:paraId="2885A60E" w14:textId="77777777" w:rsidR="00733369" w:rsidRDefault="00733369" w:rsidP="00733369">
      <w:pPr>
        <w:jc w:val="center"/>
        <w:rPr>
          <w:rFonts w:ascii="Times New Roman" w:hAnsi="Times New Roman" w:cs="Times New Roman"/>
        </w:rPr>
      </w:pPr>
      <w:r>
        <w:rPr>
          <w:rFonts w:ascii="Times New Roman" w:hAnsi="Times New Roman" w:cs="Times New Roman"/>
        </w:rPr>
        <w:t>Scott N. Siegel</w:t>
      </w:r>
    </w:p>
    <w:p w14:paraId="2A40273A" w14:textId="77777777" w:rsidR="00733369" w:rsidRDefault="00733369" w:rsidP="00733369">
      <w:pPr>
        <w:jc w:val="center"/>
        <w:rPr>
          <w:rFonts w:ascii="Times New Roman" w:hAnsi="Times New Roman" w:cs="Times New Roman"/>
        </w:rPr>
      </w:pPr>
      <w:r>
        <w:rPr>
          <w:rFonts w:ascii="Times New Roman" w:hAnsi="Times New Roman" w:cs="Times New Roman"/>
        </w:rPr>
        <w:t>San Francisco State University</w:t>
      </w:r>
    </w:p>
    <w:p w14:paraId="7A2DA220" w14:textId="77777777" w:rsidR="00733369" w:rsidRDefault="00733369" w:rsidP="00733369">
      <w:pPr>
        <w:spacing w:line="480" w:lineRule="auto"/>
        <w:jc w:val="center"/>
        <w:rPr>
          <w:rFonts w:ascii="Times New Roman" w:hAnsi="Times New Roman" w:cs="Times New Roman"/>
        </w:rPr>
      </w:pPr>
      <w:r>
        <w:rPr>
          <w:rFonts w:ascii="Times New Roman" w:hAnsi="Times New Roman" w:cs="Times New Roman"/>
        </w:rPr>
        <w:t>San Francisco, CA</w:t>
      </w:r>
    </w:p>
    <w:p w14:paraId="43B19F75" w14:textId="77777777" w:rsidR="00733369" w:rsidRDefault="00733369" w:rsidP="00733369">
      <w:pPr>
        <w:spacing w:line="480" w:lineRule="auto"/>
        <w:jc w:val="center"/>
        <w:rPr>
          <w:rFonts w:ascii="Times New Roman" w:hAnsi="Times New Roman" w:cs="Times New Roman"/>
        </w:rPr>
      </w:pPr>
      <w:r>
        <w:rPr>
          <w:rFonts w:ascii="Times New Roman" w:hAnsi="Times New Roman" w:cs="Times New Roman"/>
        </w:rPr>
        <w:t>Contact: snsiegel@sfsu.edu</w:t>
      </w:r>
    </w:p>
    <w:p w14:paraId="103F32D5" w14:textId="77777777" w:rsidR="00733369" w:rsidRDefault="00733369" w:rsidP="00733369">
      <w:pPr>
        <w:spacing w:line="480" w:lineRule="auto"/>
        <w:jc w:val="center"/>
        <w:rPr>
          <w:rFonts w:ascii="Times New Roman" w:hAnsi="Times New Roman" w:cs="Times New Roman"/>
        </w:rPr>
      </w:pPr>
    </w:p>
    <w:p w14:paraId="638DDB5C" w14:textId="77777777" w:rsidR="00733369" w:rsidRDefault="00733369" w:rsidP="00733369">
      <w:pPr>
        <w:jc w:val="center"/>
        <w:rPr>
          <w:rFonts w:ascii="Times New Roman" w:hAnsi="Times New Roman" w:cs="Times New Roman"/>
        </w:rPr>
      </w:pPr>
      <w:r>
        <w:rPr>
          <w:rFonts w:ascii="Times New Roman" w:hAnsi="Times New Roman" w:cs="Times New Roman"/>
        </w:rPr>
        <w:t xml:space="preserve">Paper presented for the EUSA Fifteenth Biennial Conference </w:t>
      </w:r>
    </w:p>
    <w:p w14:paraId="54254B49" w14:textId="77777777" w:rsidR="00733369" w:rsidRDefault="00733369" w:rsidP="00733369">
      <w:pPr>
        <w:jc w:val="center"/>
        <w:rPr>
          <w:rFonts w:ascii="Times New Roman" w:hAnsi="Times New Roman" w:cs="Times New Roman"/>
        </w:rPr>
      </w:pPr>
      <w:r>
        <w:rPr>
          <w:rFonts w:ascii="Times New Roman" w:hAnsi="Times New Roman" w:cs="Times New Roman"/>
        </w:rPr>
        <w:t>May 4-6, 2017</w:t>
      </w:r>
    </w:p>
    <w:p w14:paraId="35C61AD1" w14:textId="77777777" w:rsidR="00733369" w:rsidRDefault="00733369" w:rsidP="00733369">
      <w:pPr>
        <w:jc w:val="center"/>
        <w:rPr>
          <w:rFonts w:ascii="Times New Roman" w:hAnsi="Times New Roman" w:cs="Times New Roman"/>
        </w:rPr>
      </w:pPr>
      <w:r>
        <w:rPr>
          <w:rFonts w:ascii="Times New Roman" w:hAnsi="Times New Roman" w:cs="Times New Roman"/>
        </w:rPr>
        <w:t>Miami, FL</w:t>
      </w:r>
    </w:p>
    <w:p w14:paraId="0BFFA1F7" w14:textId="77777777" w:rsidR="00733369" w:rsidRDefault="00733369" w:rsidP="00733369">
      <w:pPr>
        <w:spacing w:line="480" w:lineRule="auto"/>
        <w:jc w:val="center"/>
        <w:rPr>
          <w:rFonts w:ascii="Times New Roman" w:hAnsi="Times New Roman" w:cs="Times New Roman"/>
        </w:rPr>
      </w:pPr>
    </w:p>
    <w:p w14:paraId="68F532A1" w14:textId="77777777" w:rsidR="00733369" w:rsidRDefault="00733369" w:rsidP="00733369">
      <w:pPr>
        <w:spacing w:line="480" w:lineRule="auto"/>
        <w:jc w:val="center"/>
        <w:rPr>
          <w:rFonts w:ascii="Times New Roman" w:hAnsi="Times New Roman" w:cs="Times New Roman"/>
        </w:rPr>
      </w:pPr>
    </w:p>
    <w:p w14:paraId="21A449A5" w14:textId="77777777" w:rsidR="00733369" w:rsidRDefault="00733369" w:rsidP="00733369">
      <w:pPr>
        <w:spacing w:line="480" w:lineRule="auto"/>
        <w:jc w:val="center"/>
        <w:rPr>
          <w:rFonts w:ascii="Times New Roman" w:hAnsi="Times New Roman" w:cs="Times New Roman"/>
        </w:rPr>
      </w:pPr>
    </w:p>
    <w:p w14:paraId="36A9FBC9" w14:textId="77777777" w:rsidR="00733369" w:rsidRDefault="00733369" w:rsidP="00733369">
      <w:pPr>
        <w:spacing w:line="480" w:lineRule="auto"/>
        <w:jc w:val="center"/>
        <w:rPr>
          <w:rFonts w:ascii="Times New Roman" w:hAnsi="Times New Roman" w:cs="Times New Roman"/>
        </w:rPr>
      </w:pPr>
    </w:p>
    <w:p w14:paraId="06739639" w14:textId="77777777" w:rsidR="00733369" w:rsidRDefault="00733369" w:rsidP="00733369">
      <w:pPr>
        <w:spacing w:line="480" w:lineRule="auto"/>
        <w:rPr>
          <w:rFonts w:ascii="Times New Roman" w:hAnsi="Times New Roman" w:cs="Times New Roman"/>
        </w:rPr>
      </w:pPr>
    </w:p>
    <w:p w14:paraId="21D26D67" w14:textId="0816C6FE" w:rsidR="00733369" w:rsidRPr="00EE196A" w:rsidRDefault="00733369" w:rsidP="00EE196A">
      <w:pPr>
        <w:spacing w:line="480" w:lineRule="auto"/>
        <w:jc w:val="center"/>
        <w:rPr>
          <w:rFonts w:ascii="Times New Roman" w:hAnsi="Times New Roman" w:cs="Times New Roman"/>
          <w:i/>
        </w:rPr>
      </w:pPr>
      <w:r>
        <w:rPr>
          <w:rFonts w:ascii="Times New Roman" w:hAnsi="Times New Roman" w:cs="Times New Roman"/>
          <w:i/>
        </w:rPr>
        <w:t>DRAFT—PLEASE DO NOT CITE WITHOUT PERMISSION</w:t>
      </w:r>
      <w:bookmarkStart w:id="0" w:name="_GoBack"/>
      <w:bookmarkEnd w:id="0"/>
    </w:p>
    <w:p w14:paraId="36BC3DD8" w14:textId="119C345D" w:rsidR="002C6D8D" w:rsidRPr="00E02692" w:rsidRDefault="002C6D8D" w:rsidP="00E02692">
      <w:pPr>
        <w:pStyle w:val="ListParagraph"/>
        <w:numPr>
          <w:ilvl w:val="0"/>
          <w:numId w:val="16"/>
        </w:numPr>
        <w:spacing w:line="480" w:lineRule="auto"/>
        <w:rPr>
          <w:rFonts w:ascii="Times New Roman" w:hAnsi="Times New Roman" w:cs="Times New Roman"/>
          <w:i/>
        </w:rPr>
      </w:pPr>
      <w:r w:rsidRPr="00E02692">
        <w:rPr>
          <w:rFonts w:ascii="Times New Roman" w:hAnsi="Times New Roman" w:cs="Times New Roman"/>
          <w:i/>
        </w:rPr>
        <w:lastRenderedPageBreak/>
        <w:t>Introduction</w:t>
      </w:r>
    </w:p>
    <w:p w14:paraId="0355382C" w14:textId="7D0A0105" w:rsidR="002F0004" w:rsidRPr="00B74863" w:rsidRDefault="00B9253B" w:rsidP="002B10DF">
      <w:pPr>
        <w:pStyle w:val="ListParagraph"/>
        <w:spacing w:line="480" w:lineRule="auto"/>
        <w:ind w:left="0" w:firstLine="450"/>
        <w:rPr>
          <w:rFonts w:ascii="Times New Roman" w:hAnsi="Times New Roman" w:cs="Times New Roman"/>
        </w:rPr>
      </w:pPr>
      <w:r w:rsidRPr="00B74863">
        <w:rPr>
          <w:rFonts w:ascii="Times New Roman" w:hAnsi="Times New Roman" w:cs="Times New Roman"/>
        </w:rPr>
        <w:t>Christian religious o</w:t>
      </w:r>
      <w:r w:rsidR="00E7398C">
        <w:rPr>
          <w:rFonts w:ascii="Times New Roman" w:hAnsi="Times New Roman" w:cs="Times New Roman"/>
        </w:rPr>
        <w:t xml:space="preserve">rganizations have been long and </w:t>
      </w:r>
      <w:r w:rsidRPr="00B74863">
        <w:rPr>
          <w:rFonts w:ascii="Times New Roman" w:hAnsi="Times New Roman" w:cs="Times New Roman"/>
        </w:rPr>
        <w:t xml:space="preserve">consistent supporters of European integration. </w:t>
      </w:r>
      <w:r w:rsidR="00553CD4">
        <w:rPr>
          <w:rFonts w:ascii="Times New Roman" w:hAnsi="Times New Roman" w:cs="Times New Roman"/>
        </w:rPr>
        <w:t xml:space="preserve">European integration was crucial to responding to two postwar threats </w:t>
      </w:r>
      <w:r w:rsidR="00977BBD">
        <w:rPr>
          <w:rFonts w:ascii="Times New Roman" w:hAnsi="Times New Roman" w:cs="Times New Roman"/>
        </w:rPr>
        <w:t xml:space="preserve">to their role and influence </w:t>
      </w:r>
      <w:r w:rsidR="00707635">
        <w:rPr>
          <w:rFonts w:ascii="Times New Roman" w:hAnsi="Times New Roman" w:cs="Times New Roman"/>
        </w:rPr>
        <w:t>among Western Europe’s postwar democracies</w:t>
      </w:r>
      <w:r w:rsidR="00E7398C">
        <w:rPr>
          <w:rFonts w:ascii="Times New Roman" w:hAnsi="Times New Roman" w:cs="Times New Roman"/>
        </w:rPr>
        <w:t>.</w:t>
      </w:r>
      <w:r w:rsidR="003F55C5" w:rsidRPr="00B74863">
        <w:rPr>
          <w:rFonts w:ascii="Times New Roman" w:hAnsi="Times New Roman" w:cs="Times New Roman"/>
        </w:rPr>
        <w:t xml:space="preserve"> </w:t>
      </w:r>
      <w:r w:rsidR="00E7398C">
        <w:rPr>
          <w:rFonts w:ascii="Times New Roman" w:hAnsi="Times New Roman" w:cs="Times New Roman"/>
        </w:rPr>
        <w:t>P</w:t>
      </w:r>
      <w:r w:rsidR="00553CD4">
        <w:rPr>
          <w:rFonts w:ascii="Times New Roman" w:hAnsi="Times New Roman" w:cs="Times New Roman"/>
        </w:rPr>
        <w:t>olitical integration would</w:t>
      </w:r>
      <w:r w:rsidR="002A7F8E" w:rsidRPr="00B74863">
        <w:rPr>
          <w:rFonts w:ascii="Times New Roman" w:hAnsi="Times New Roman" w:cs="Times New Roman"/>
        </w:rPr>
        <w:t xml:space="preserve"> help prevent another devastating European war </w:t>
      </w:r>
      <w:r w:rsidR="002F0004" w:rsidRPr="00B74863">
        <w:rPr>
          <w:rFonts w:ascii="Times New Roman" w:hAnsi="Times New Roman" w:cs="Times New Roman"/>
        </w:rPr>
        <w:t>caused by virulent nationalism</w:t>
      </w:r>
      <w:r w:rsidR="00553CD4">
        <w:rPr>
          <w:rFonts w:ascii="Times New Roman" w:hAnsi="Times New Roman" w:cs="Times New Roman"/>
        </w:rPr>
        <w:t>. Economic integration would accelerate Europe’s economic recovery and, therefore, contain the</w:t>
      </w:r>
      <w:r w:rsidR="00515E11" w:rsidRPr="00B74863">
        <w:rPr>
          <w:rFonts w:ascii="Times New Roman" w:hAnsi="Times New Roman" w:cs="Times New Roman"/>
        </w:rPr>
        <w:t xml:space="preserve"> spread and appeal of domestic </w:t>
      </w:r>
      <w:r w:rsidR="00553CD4">
        <w:rPr>
          <w:rFonts w:ascii="Times New Roman" w:hAnsi="Times New Roman" w:cs="Times New Roman"/>
        </w:rPr>
        <w:t>communist movements, especially in Italy and France. European integration would al</w:t>
      </w:r>
      <w:r w:rsidR="00553CD4" w:rsidRPr="000E72C5">
        <w:rPr>
          <w:rFonts w:ascii="Times New Roman" w:hAnsi="Times New Roman" w:cs="Times New Roman"/>
        </w:rPr>
        <w:t>so be an opportunity for the Catholic Church and other religious organiz</w:t>
      </w:r>
      <w:r w:rsidR="00707635">
        <w:rPr>
          <w:rFonts w:ascii="Times New Roman" w:hAnsi="Times New Roman" w:cs="Times New Roman"/>
        </w:rPr>
        <w:t>ations to imprint their values on</w:t>
      </w:r>
      <w:r w:rsidR="00553CD4" w:rsidRPr="000E72C5">
        <w:rPr>
          <w:rFonts w:ascii="Times New Roman" w:hAnsi="Times New Roman" w:cs="Times New Roman"/>
        </w:rPr>
        <w:t xml:space="preserve"> the Euro</w:t>
      </w:r>
      <w:r w:rsidR="00206BF4" w:rsidRPr="000E72C5">
        <w:rPr>
          <w:rFonts w:ascii="Times New Roman" w:hAnsi="Times New Roman" w:cs="Times New Roman"/>
        </w:rPr>
        <w:t xml:space="preserve">pean integration process. </w:t>
      </w:r>
      <w:r w:rsidR="000E72C5">
        <w:rPr>
          <w:rFonts w:ascii="Times New Roman" w:hAnsi="Times New Roman" w:cs="Times New Roman"/>
        </w:rPr>
        <w:t>I</w:t>
      </w:r>
      <w:r w:rsidR="008315C5" w:rsidRPr="000E72C5">
        <w:rPr>
          <w:rFonts w:ascii="Times New Roman" w:hAnsi="Times New Roman" w:cs="Times New Roman"/>
        </w:rPr>
        <w:t xml:space="preserve">n the view of Pope Benedict XVI, </w:t>
      </w:r>
      <w:r w:rsidR="000E72C5">
        <w:rPr>
          <w:rFonts w:ascii="Times New Roman" w:hAnsi="Times New Roman" w:cs="Times New Roman"/>
        </w:rPr>
        <w:t xml:space="preserve">“The EU should </w:t>
      </w:r>
      <w:r w:rsidR="008315C5" w:rsidRPr="000E72C5">
        <w:rPr>
          <w:rFonts w:ascii="Times New Roman" w:hAnsi="Times New Roman" w:cs="Times New Roman"/>
        </w:rPr>
        <w:t>defend three core areas of morality policy: the defense of all life from conception to death; defending heterosexual marriage and families as the only union deserving of legal recognition and alternatives relationship as harming the natural family; and, protecting the rights of parents to educate their children.”</w:t>
      </w:r>
      <w:r w:rsidR="00707635">
        <w:rPr>
          <w:rStyle w:val="EndnoteReference"/>
          <w:rFonts w:ascii="Times New Roman" w:hAnsi="Times New Roman" w:cs="Times New Roman"/>
        </w:rPr>
        <w:endnoteReference w:id="1"/>
      </w:r>
    </w:p>
    <w:p w14:paraId="3AFA2C74" w14:textId="00EEF503" w:rsidR="00042CE3" w:rsidRDefault="002F0004" w:rsidP="000E72C5">
      <w:pPr>
        <w:pStyle w:val="ListParagraph"/>
        <w:spacing w:line="480" w:lineRule="auto"/>
        <w:ind w:left="0" w:firstLine="450"/>
        <w:rPr>
          <w:rFonts w:ascii="Times New Roman" w:hAnsi="Times New Roman" w:cs="Times New Roman"/>
        </w:rPr>
      </w:pPr>
      <w:r w:rsidRPr="00B74863">
        <w:rPr>
          <w:rFonts w:ascii="Times New Roman" w:hAnsi="Times New Roman" w:cs="Times New Roman"/>
        </w:rPr>
        <w:t>However, now European integration is perceived as more of a danger than an opportunity</w:t>
      </w:r>
      <w:r w:rsidR="00E7398C">
        <w:rPr>
          <w:rFonts w:ascii="Times New Roman" w:hAnsi="Times New Roman" w:cs="Times New Roman"/>
        </w:rPr>
        <w:t xml:space="preserve"> for religious groups</w:t>
      </w:r>
      <w:r w:rsidRPr="00B74863">
        <w:rPr>
          <w:rFonts w:ascii="Times New Roman" w:hAnsi="Times New Roman" w:cs="Times New Roman"/>
        </w:rPr>
        <w:t xml:space="preserve">. </w:t>
      </w:r>
      <w:r w:rsidR="000E72C5">
        <w:rPr>
          <w:rFonts w:ascii="Times New Roman" w:hAnsi="Times New Roman" w:cs="Times New Roman"/>
        </w:rPr>
        <w:t xml:space="preserve">The European Union is </w:t>
      </w:r>
      <w:r w:rsidR="00E7398C">
        <w:rPr>
          <w:rFonts w:ascii="Times New Roman" w:hAnsi="Times New Roman" w:cs="Times New Roman"/>
        </w:rPr>
        <w:t xml:space="preserve">now </w:t>
      </w:r>
      <w:r w:rsidR="00707635">
        <w:rPr>
          <w:rFonts w:ascii="Times New Roman" w:hAnsi="Times New Roman" w:cs="Times New Roman"/>
        </w:rPr>
        <w:t xml:space="preserve">perceived mora as an </w:t>
      </w:r>
      <w:r w:rsidR="000779E6" w:rsidRPr="00B74863">
        <w:rPr>
          <w:rFonts w:ascii="Times New Roman" w:hAnsi="Times New Roman" w:cs="Times New Roman"/>
        </w:rPr>
        <w:t>agent of secularism</w:t>
      </w:r>
      <w:r w:rsidR="00707635">
        <w:rPr>
          <w:rFonts w:ascii="Times New Roman" w:hAnsi="Times New Roman" w:cs="Times New Roman"/>
        </w:rPr>
        <w:t xml:space="preserve"> by religious groups. </w:t>
      </w:r>
      <w:r w:rsidR="000779E6" w:rsidRPr="00B74863">
        <w:rPr>
          <w:rFonts w:ascii="Times New Roman" w:hAnsi="Times New Roman" w:cs="Times New Roman"/>
        </w:rPr>
        <w:t xml:space="preserve">The Europeanization of </w:t>
      </w:r>
      <w:r w:rsidR="000E72C5">
        <w:rPr>
          <w:rFonts w:ascii="Times New Roman" w:hAnsi="Times New Roman" w:cs="Times New Roman"/>
        </w:rPr>
        <w:t xml:space="preserve">national </w:t>
      </w:r>
      <w:r w:rsidR="000779E6" w:rsidRPr="00B74863">
        <w:rPr>
          <w:rFonts w:ascii="Times New Roman" w:hAnsi="Times New Roman" w:cs="Times New Roman"/>
        </w:rPr>
        <w:t xml:space="preserve">civil rights laws, </w:t>
      </w:r>
      <w:r w:rsidR="000E72C5">
        <w:rPr>
          <w:rFonts w:ascii="Times New Roman" w:hAnsi="Times New Roman" w:cs="Times New Roman"/>
        </w:rPr>
        <w:t>religious organizations and domestic churches</w:t>
      </w:r>
      <w:r w:rsidR="000779E6" w:rsidRPr="00B74863">
        <w:rPr>
          <w:rFonts w:ascii="Times New Roman" w:hAnsi="Times New Roman" w:cs="Times New Roman"/>
        </w:rPr>
        <w:t xml:space="preserve"> argue, is threatening the </w:t>
      </w:r>
      <w:r w:rsidR="00042CE3">
        <w:rPr>
          <w:rFonts w:ascii="Times New Roman" w:hAnsi="Times New Roman" w:cs="Times New Roman"/>
        </w:rPr>
        <w:t xml:space="preserve">proper </w:t>
      </w:r>
      <w:r w:rsidR="000779E6" w:rsidRPr="00B74863">
        <w:rPr>
          <w:rFonts w:ascii="Times New Roman" w:hAnsi="Times New Roman" w:cs="Times New Roman"/>
        </w:rPr>
        <w:t xml:space="preserve">balance </w:t>
      </w:r>
      <w:r w:rsidR="000E72C5">
        <w:rPr>
          <w:rFonts w:ascii="Times New Roman" w:hAnsi="Times New Roman" w:cs="Times New Roman"/>
        </w:rPr>
        <w:t>between church and state at the national level</w:t>
      </w:r>
      <w:r w:rsidR="000779E6" w:rsidRPr="00B74863">
        <w:rPr>
          <w:rFonts w:ascii="Times New Roman" w:hAnsi="Times New Roman" w:cs="Times New Roman"/>
        </w:rPr>
        <w:t xml:space="preserve">. </w:t>
      </w:r>
      <w:r w:rsidR="00BC4EEC" w:rsidRPr="00B74863">
        <w:rPr>
          <w:rFonts w:ascii="Times New Roman" w:hAnsi="Times New Roman" w:cs="Times New Roman"/>
        </w:rPr>
        <w:t xml:space="preserve">The EU’s efforts to harmonize national laws regarding the treatment of sexual minorities </w:t>
      </w:r>
      <w:r w:rsidR="00E7398C">
        <w:rPr>
          <w:rFonts w:ascii="Times New Roman" w:hAnsi="Times New Roman" w:cs="Times New Roman"/>
        </w:rPr>
        <w:t xml:space="preserve">are at the center of that threat. </w:t>
      </w:r>
      <w:r w:rsidR="00042CE3">
        <w:rPr>
          <w:rFonts w:ascii="Times New Roman" w:hAnsi="Times New Roman" w:cs="Times New Roman"/>
        </w:rPr>
        <w:t>A key example is the adoption and implementation of the</w:t>
      </w:r>
      <w:r w:rsidR="00BC4EEC" w:rsidRPr="00B74863">
        <w:rPr>
          <w:rFonts w:ascii="Times New Roman" w:hAnsi="Times New Roman" w:cs="Times New Roman"/>
        </w:rPr>
        <w:t xml:space="preserve"> Equality in Employment Directive</w:t>
      </w:r>
      <w:r w:rsidR="00042CE3">
        <w:rPr>
          <w:rFonts w:ascii="Times New Roman" w:hAnsi="Times New Roman" w:cs="Times New Roman"/>
        </w:rPr>
        <w:t xml:space="preserve">. </w:t>
      </w:r>
      <w:r w:rsidR="00E7398C">
        <w:rPr>
          <w:rFonts w:ascii="Times New Roman" w:hAnsi="Times New Roman" w:cs="Times New Roman"/>
        </w:rPr>
        <w:t>The law is unique in that it is</w:t>
      </w:r>
      <w:r w:rsidR="00BC4EEC" w:rsidRPr="00B74863">
        <w:rPr>
          <w:rFonts w:ascii="Times New Roman" w:hAnsi="Times New Roman" w:cs="Times New Roman"/>
        </w:rPr>
        <w:t xml:space="preserve"> the first, and so far, only, piece of EU legislation that </w:t>
      </w:r>
      <w:r w:rsidR="000E72C5">
        <w:rPr>
          <w:rFonts w:ascii="Times New Roman" w:hAnsi="Times New Roman" w:cs="Times New Roman"/>
        </w:rPr>
        <w:t xml:space="preserve">requires countries adoption legislation that prohibits </w:t>
      </w:r>
      <w:r w:rsidR="00BC4EEC" w:rsidRPr="00B74863">
        <w:rPr>
          <w:rFonts w:ascii="Times New Roman" w:hAnsi="Times New Roman" w:cs="Times New Roman"/>
        </w:rPr>
        <w:t>discrimination based on sexual orientation.</w:t>
      </w:r>
      <w:r w:rsidR="00A02428" w:rsidRPr="00B74863">
        <w:rPr>
          <w:rFonts w:ascii="Times New Roman" w:hAnsi="Times New Roman" w:cs="Times New Roman"/>
        </w:rPr>
        <w:t xml:space="preserve"> </w:t>
      </w:r>
      <w:r w:rsidR="00BC4EEC" w:rsidRPr="00B74863">
        <w:rPr>
          <w:rFonts w:ascii="Times New Roman" w:hAnsi="Times New Roman" w:cs="Times New Roman"/>
        </w:rPr>
        <w:t xml:space="preserve">While there </w:t>
      </w:r>
      <w:r w:rsidR="00707635">
        <w:rPr>
          <w:rFonts w:ascii="Times New Roman" w:hAnsi="Times New Roman" w:cs="Times New Roman"/>
        </w:rPr>
        <w:t>was</w:t>
      </w:r>
      <w:r w:rsidR="00BC4EEC" w:rsidRPr="00B74863">
        <w:rPr>
          <w:rFonts w:ascii="Times New Roman" w:hAnsi="Times New Roman" w:cs="Times New Roman"/>
        </w:rPr>
        <w:t xml:space="preserve"> broad consensus among the member states that EU legislation </w:t>
      </w:r>
      <w:r w:rsidR="000E72C5">
        <w:rPr>
          <w:rFonts w:ascii="Times New Roman" w:hAnsi="Times New Roman" w:cs="Times New Roman"/>
        </w:rPr>
        <w:t>in favor of combatting such discrimination</w:t>
      </w:r>
      <w:r w:rsidR="00707635">
        <w:rPr>
          <w:rFonts w:ascii="Times New Roman" w:hAnsi="Times New Roman" w:cs="Times New Roman"/>
        </w:rPr>
        <w:t xml:space="preserve"> was necessary</w:t>
      </w:r>
      <w:r w:rsidR="000E72C5">
        <w:rPr>
          <w:rFonts w:ascii="Times New Roman" w:hAnsi="Times New Roman" w:cs="Times New Roman"/>
        </w:rPr>
        <w:t xml:space="preserve">, they were deeply divided </w:t>
      </w:r>
      <w:r w:rsidR="000E72C5">
        <w:rPr>
          <w:rFonts w:ascii="Times New Roman" w:hAnsi="Times New Roman" w:cs="Times New Roman"/>
        </w:rPr>
        <w:lastRenderedPageBreak/>
        <w:t xml:space="preserve">over whether and to what extent it would affect </w:t>
      </w:r>
      <w:r w:rsidR="00E7398C">
        <w:rPr>
          <w:rFonts w:ascii="Times New Roman" w:hAnsi="Times New Roman" w:cs="Times New Roman"/>
        </w:rPr>
        <w:t>the autonomy of religious employers</w:t>
      </w:r>
      <w:r w:rsidR="000E72C5">
        <w:rPr>
          <w:rFonts w:ascii="Times New Roman" w:hAnsi="Times New Roman" w:cs="Times New Roman"/>
        </w:rPr>
        <w:t xml:space="preserve">. </w:t>
      </w:r>
      <w:r w:rsidR="00042CE3">
        <w:rPr>
          <w:rFonts w:ascii="Times New Roman" w:hAnsi="Times New Roman" w:cs="Times New Roman"/>
        </w:rPr>
        <w:t xml:space="preserve">Because the Directive would require governments treat religious employers just like secular ones and not permit them to discriminate based on sexual orientation, </w:t>
      </w:r>
      <w:r w:rsidR="0012737E">
        <w:rPr>
          <w:rFonts w:ascii="Times New Roman" w:hAnsi="Times New Roman" w:cs="Times New Roman"/>
        </w:rPr>
        <w:t>countries</w:t>
      </w:r>
      <w:r w:rsidR="00042CE3">
        <w:rPr>
          <w:rFonts w:ascii="Times New Roman" w:hAnsi="Times New Roman" w:cs="Times New Roman"/>
        </w:rPr>
        <w:t xml:space="preserve"> with strong ties to religious institutions had more difficulty implementing the law. </w:t>
      </w:r>
      <w:r w:rsidR="00BC4EEC" w:rsidRPr="00B74863">
        <w:rPr>
          <w:rFonts w:ascii="Times New Roman" w:hAnsi="Times New Roman" w:cs="Times New Roman"/>
        </w:rPr>
        <w:t xml:space="preserve">Those states that </w:t>
      </w:r>
      <w:r w:rsidR="00042CE3">
        <w:rPr>
          <w:rFonts w:ascii="Times New Roman" w:hAnsi="Times New Roman" w:cs="Times New Roman"/>
        </w:rPr>
        <w:t>strongly support</w:t>
      </w:r>
      <w:r w:rsidR="00BC4EEC" w:rsidRPr="00B74863">
        <w:rPr>
          <w:rFonts w:ascii="Times New Roman" w:hAnsi="Times New Roman" w:cs="Times New Roman"/>
        </w:rPr>
        <w:t xml:space="preserve"> religious organizations or established churches</w:t>
      </w:r>
      <w:r w:rsidR="00040512" w:rsidRPr="00B74863">
        <w:rPr>
          <w:rFonts w:ascii="Times New Roman" w:hAnsi="Times New Roman" w:cs="Times New Roman"/>
        </w:rPr>
        <w:t xml:space="preserve"> not only opposed the law, but also implemented the EU directive poorly. </w:t>
      </w:r>
    </w:p>
    <w:p w14:paraId="2C55A817" w14:textId="4D7D875C" w:rsidR="001B18B8" w:rsidRDefault="001B18B8" w:rsidP="007B21C1">
      <w:pPr>
        <w:pStyle w:val="ListParagraph"/>
        <w:spacing w:line="480" w:lineRule="auto"/>
        <w:ind w:left="0" w:firstLine="450"/>
        <w:rPr>
          <w:rFonts w:ascii="Times New Roman" w:hAnsi="Times New Roman" w:cs="Times New Roman"/>
        </w:rPr>
      </w:pPr>
      <w:r>
        <w:rPr>
          <w:rFonts w:ascii="Times New Roman" w:hAnsi="Times New Roman" w:cs="Times New Roman"/>
        </w:rPr>
        <w:t xml:space="preserve">This article builds on the growing </w:t>
      </w:r>
      <w:r w:rsidR="00E7398C">
        <w:rPr>
          <w:rFonts w:ascii="Times New Roman" w:hAnsi="Times New Roman" w:cs="Times New Roman"/>
        </w:rPr>
        <w:t xml:space="preserve">scholarship that </w:t>
      </w:r>
      <w:r w:rsidR="00042CE3">
        <w:rPr>
          <w:rFonts w:ascii="Times New Roman" w:hAnsi="Times New Roman" w:cs="Times New Roman"/>
        </w:rPr>
        <w:t>investigates how</w:t>
      </w:r>
      <w:r w:rsidR="00AA5FE9">
        <w:rPr>
          <w:rFonts w:ascii="Times New Roman" w:hAnsi="Times New Roman" w:cs="Times New Roman"/>
        </w:rPr>
        <w:t xml:space="preserve"> religious groups </w:t>
      </w:r>
      <w:r w:rsidR="00270E27">
        <w:rPr>
          <w:rFonts w:ascii="Times New Roman" w:hAnsi="Times New Roman" w:cs="Times New Roman"/>
        </w:rPr>
        <w:t xml:space="preserve">act </w:t>
      </w:r>
      <w:r w:rsidR="00F13AC4">
        <w:rPr>
          <w:rFonts w:ascii="Times New Roman" w:hAnsi="Times New Roman" w:cs="Times New Roman"/>
        </w:rPr>
        <w:t>within liberal democracies to advance their interests and influence public policy.</w:t>
      </w:r>
      <w:r w:rsidR="000942C9">
        <w:rPr>
          <w:rFonts w:ascii="Times New Roman" w:hAnsi="Times New Roman" w:cs="Times New Roman"/>
        </w:rPr>
        <w:t xml:space="preserve"> </w:t>
      </w:r>
      <w:r w:rsidR="00A205DD">
        <w:rPr>
          <w:rFonts w:ascii="Times New Roman" w:hAnsi="Times New Roman" w:cs="Times New Roman"/>
        </w:rPr>
        <w:t xml:space="preserve">While many studies focus on their role in domestic politics, less </w:t>
      </w:r>
      <w:r w:rsidR="000E72C5">
        <w:rPr>
          <w:rFonts w:ascii="Times New Roman" w:hAnsi="Times New Roman" w:cs="Times New Roman"/>
        </w:rPr>
        <w:t xml:space="preserve">attention is paid to their role in shaping </w:t>
      </w:r>
      <w:r w:rsidR="00E7398C">
        <w:rPr>
          <w:rFonts w:ascii="Times New Roman" w:hAnsi="Times New Roman" w:cs="Times New Roman"/>
        </w:rPr>
        <w:t>EU public policy</w:t>
      </w:r>
      <w:r w:rsidR="000E72C5">
        <w:rPr>
          <w:rFonts w:ascii="Times New Roman" w:hAnsi="Times New Roman" w:cs="Times New Roman"/>
        </w:rPr>
        <w:t xml:space="preserve"> and reacting to it.</w:t>
      </w:r>
      <w:r w:rsidR="00A205DD">
        <w:rPr>
          <w:rFonts w:ascii="Times New Roman" w:hAnsi="Times New Roman" w:cs="Times New Roman"/>
        </w:rPr>
        <w:t xml:space="preserve"> Similarly, while many studies of EU compliance </w:t>
      </w:r>
      <w:r w:rsidR="00E7398C">
        <w:rPr>
          <w:rFonts w:ascii="Times New Roman" w:hAnsi="Times New Roman" w:cs="Times New Roman"/>
        </w:rPr>
        <w:t>focus on</w:t>
      </w:r>
      <w:r w:rsidR="00A205DD">
        <w:rPr>
          <w:rFonts w:ascii="Times New Roman" w:hAnsi="Times New Roman" w:cs="Times New Roman"/>
        </w:rPr>
        <w:t xml:space="preserve"> </w:t>
      </w:r>
      <w:r w:rsidR="0012737E">
        <w:rPr>
          <w:rFonts w:ascii="Times New Roman" w:hAnsi="Times New Roman" w:cs="Times New Roman"/>
        </w:rPr>
        <w:t>how</w:t>
      </w:r>
      <w:r w:rsidR="00A205DD">
        <w:rPr>
          <w:rFonts w:ascii="Times New Roman" w:hAnsi="Times New Roman" w:cs="Times New Roman"/>
        </w:rPr>
        <w:t xml:space="preserve"> </w:t>
      </w:r>
      <w:r w:rsidR="0012737E">
        <w:rPr>
          <w:rFonts w:ascii="Times New Roman" w:hAnsi="Times New Roman" w:cs="Times New Roman"/>
        </w:rPr>
        <w:t xml:space="preserve">domestic economic interest groups, institutions, and policy traditions can </w:t>
      </w:r>
      <w:r w:rsidR="00A205DD">
        <w:rPr>
          <w:rFonts w:ascii="Times New Roman" w:hAnsi="Times New Roman" w:cs="Times New Roman"/>
        </w:rPr>
        <w:t xml:space="preserve">inhibit </w:t>
      </w:r>
      <w:r w:rsidR="000E72C5">
        <w:rPr>
          <w:rFonts w:ascii="Times New Roman" w:hAnsi="Times New Roman" w:cs="Times New Roman"/>
        </w:rPr>
        <w:t>full implementation and, thus, harmonization of national laws</w:t>
      </w:r>
      <w:r w:rsidR="00A205DD">
        <w:rPr>
          <w:rFonts w:ascii="Times New Roman" w:hAnsi="Times New Roman" w:cs="Times New Roman"/>
        </w:rPr>
        <w:t xml:space="preserve">, few studies examine the role religious groups are playing to block the </w:t>
      </w:r>
      <w:r w:rsidR="0012737E">
        <w:rPr>
          <w:rFonts w:ascii="Times New Roman" w:hAnsi="Times New Roman" w:cs="Times New Roman"/>
        </w:rPr>
        <w:t xml:space="preserve">domestic </w:t>
      </w:r>
      <w:r w:rsidR="00A205DD">
        <w:rPr>
          <w:rFonts w:ascii="Times New Roman" w:hAnsi="Times New Roman" w:cs="Times New Roman"/>
        </w:rPr>
        <w:t xml:space="preserve">impact </w:t>
      </w:r>
      <w:r w:rsidR="0012737E">
        <w:rPr>
          <w:rFonts w:ascii="Times New Roman" w:hAnsi="Times New Roman" w:cs="Times New Roman"/>
        </w:rPr>
        <w:t>of EU law</w:t>
      </w:r>
      <w:r w:rsidR="000E72C5">
        <w:rPr>
          <w:rFonts w:ascii="Times New Roman" w:hAnsi="Times New Roman" w:cs="Times New Roman"/>
        </w:rPr>
        <w:t>.</w:t>
      </w:r>
      <w:r w:rsidR="00A205DD">
        <w:rPr>
          <w:rFonts w:ascii="Times New Roman" w:hAnsi="Times New Roman" w:cs="Times New Roman"/>
        </w:rPr>
        <w:t xml:space="preserve"> This is somewhat puzzling given the growing role EU institutions and EU law have in transforming national social policies</w:t>
      </w:r>
      <w:r w:rsidR="000E72C5">
        <w:rPr>
          <w:rFonts w:ascii="Times New Roman" w:hAnsi="Times New Roman" w:cs="Times New Roman"/>
        </w:rPr>
        <w:t>, such as discrimination laws,</w:t>
      </w:r>
      <w:r w:rsidR="00A205DD">
        <w:rPr>
          <w:rFonts w:ascii="Times New Roman" w:hAnsi="Times New Roman" w:cs="Times New Roman"/>
        </w:rPr>
        <w:t xml:space="preserve"> that </w:t>
      </w:r>
      <w:r w:rsidR="00E7398C">
        <w:rPr>
          <w:rFonts w:ascii="Times New Roman" w:hAnsi="Times New Roman" w:cs="Times New Roman"/>
        </w:rPr>
        <w:t>were once</w:t>
      </w:r>
      <w:r w:rsidR="00A205DD">
        <w:rPr>
          <w:rFonts w:ascii="Times New Roman" w:hAnsi="Times New Roman" w:cs="Times New Roman"/>
        </w:rPr>
        <w:t xml:space="preserve"> off limits to EU </w:t>
      </w:r>
      <w:r w:rsidR="00E7398C">
        <w:rPr>
          <w:rFonts w:ascii="Times New Roman" w:hAnsi="Times New Roman" w:cs="Times New Roman"/>
        </w:rPr>
        <w:t xml:space="preserve">legal </w:t>
      </w:r>
      <w:r w:rsidR="00A205DD">
        <w:rPr>
          <w:rFonts w:ascii="Times New Roman" w:hAnsi="Times New Roman" w:cs="Times New Roman"/>
        </w:rPr>
        <w:t>intervention.</w:t>
      </w:r>
    </w:p>
    <w:p w14:paraId="6A864F81" w14:textId="5F302F02" w:rsidR="00A17416" w:rsidRPr="00B74863" w:rsidRDefault="003E3F6A" w:rsidP="007B21C1">
      <w:pPr>
        <w:pStyle w:val="ListParagraph"/>
        <w:spacing w:line="480" w:lineRule="auto"/>
        <w:ind w:left="0" w:firstLine="450"/>
        <w:rPr>
          <w:rFonts w:ascii="Times New Roman" w:hAnsi="Times New Roman" w:cs="Times New Roman"/>
        </w:rPr>
      </w:pPr>
      <w:r w:rsidRPr="00B74863">
        <w:rPr>
          <w:rFonts w:ascii="Times New Roman" w:hAnsi="Times New Roman" w:cs="Times New Roman"/>
        </w:rPr>
        <w:t xml:space="preserve">The next section highlights </w:t>
      </w:r>
      <w:r w:rsidR="00297F11" w:rsidRPr="00B74863">
        <w:rPr>
          <w:rFonts w:ascii="Times New Roman" w:hAnsi="Times New Roman" w:cs="Times New Roman"/>
        </w:rPr>
        <w:t xml:space="preserve">how religious organizations traditionally supported European integration, but then how the debate over granting sexual </w:t>
      </w:r>
      <w:r w:rsidR="00E7398C">
        <w:rPr>
          <w:rFonts w:ascii="Times New Roman" w:hAnsi="Times New Roman" w:cs="Times New Roman"/>
        </w:rPr>
        <w:t>minorities equal treatment became</w:t>
      </w:r>
      <w:r w:rsidR="00297F11" w:rsidRPr="00B74863">
        <w:rPr>
          <w:rFonts w:ascii="Times New Roman" w:hAnsi="Times New Roman" w:cs="Times New Roman"/>
        </w:rPr>
        <w:t xml:space="preserve"> </w:t>
      </w:r>
      <w:r w:rsidR="001B18B8">
        <w:rPr>
          <w:rFonts w:ascii="Times New Roman" w:hAnsi="Times New Roman" w:cs="Times New Roman"/>
        </w:rPr>
        <w:t xml:space="preserve">the focal </w:t>
      </w:r>
      <w:r w:rsidR="00033945">
        <w:rPr>
          <w:rFonts w:ascii="Times New Roman" w:hAnsi="Times New Roman" w:cs="Times New Roman"/>
        </w:rPr>
        <w:t>point</w:t>
      </w:r>
      <w:r w:rsidR="001B18B8">
        <w:rPr>
          <w:rFonts w:ascii="Times New Roman" w:hAnsi="Times New Roman" w:cs="Times New Roman"/>
        </w:rPr>
        <w:t xml:space="preserve"> </w:t>
      </w:r>
      <w:r w:rsidR="00033945">
        <w:rPr>
          <w:rFonts w:ascii="Times New Roman" w:hAnsi="Times New Roman" w:cs="Times New Roman"/>
        </w:rPr>
        <w:t xml:space="preserve">at which religious organizations </w:t>
      </w:r>
      <w:r w:rsidR="00707635">
        <w:rPr>
          <w:rFonts w:ascii="Times New Roman" w:hAnsi="Times New Roman" w:cs="Times New Roman"/>
        </w:rPr>
        <w:t>started to become</w:t>
      </w:r>
      <w:r w:rsidR="00E7398C">
        <w:rPr>
          <w:rFonts w:ascii="Times New Roman" w:hAnsi="Times New Roman" w:cs="Times New Roman"/>
        </w:rPr>
        <w:t xml:space="preserve"> </w:t>
      </w:r>
      <w:r w:rsidR="00033945">
        <w:rPr>
          <w:rFonts w:ascii="Times New Roman" w:hAnsi="Times New Roman" w:cs="Times New Roman"/>
        </w:rPr>
        <w:t>concerned that the EU was impinging on traditional national norms</w:t>
      </w:r>
      <w:r w:rsidR="001B18B8">
        <w:rPr>
          <w:rFonts w:ascii="Times New Roman" w:hAnsi="Times New Roman" w:cs="Times New Roman"/>
        </w:rPr>
        <w:t>.</w:t>
      </w:r>
      <w:r w:rsidR="00297F11" w:rsidRPr="00B74863">
        <w:rPr>
          <w:rFonts w:ascii="Times New Roman" w:hAnsi="Times New Roman" w:cs="Times New Roman"/>
        </w:rPr>
        <w:t xml:space="preserve"> </w:t>
      </w:r>
      <w:r w:rsidRPr="00B74863">
        <w:rPr>
          <w:rFonts w:ascii="Times New Roman" w:hAnsi="Times New Roman" w:cs="Times New Roman"/>
        </w:rPr>
        <w:t xml:space="preserve">I then </w:t>
      </w:r>
      <w:r w:rsidR="0012737E">
        <w:rPr>
          <w:rFonts w:ascii="Times New Roman" w:hAnsi="Times New Roman" w:cs="Times New Roman"/>
        </w:rPr>
        <w:t xml:space="preserve">explain how the EED’s ban on discrimination based on sexual orientation challenged the core interests of </w:t>
      </w:r>
      <w:r w:rsidR="00033945">
        <w:rPr>
          <w:rFonts w:ascii="Times New Roman" w:hAnsi="Times New Roman" w:cs="Times New Roman"/>
        </w:rPr>
        <w:t xml:space="preserve">these </w:t>
      </w:r>
      <w:r w:rsidR="0012737E">
        <w:rPr>
          <w:rFonts w:ascii="Times New Roman" w:hAnsi="Times New Roman" w:cs="Times New Roman"/>
        </w:rPr>
        <w:t xml:space="preserve">religious </w:t>
      </w:r>
      <w:r w:rsidR="00033945">
        <w:rPr>
          <w:rFonts w:ascii="Times New Roman" w:hAnsi="Times New Roman" w:cs="Times New Roman"/>
        </w:rPr>
        <w:t>organizations</w:t>
      </w:r>
      <w:r w:rsidR="0012737E">
        <w:rPr>
          <w:rFonts w:ascii="Times New Roman" w:hAnsi="Times New Roman" w:cs="Times New Roman"/>
        </w:rPr>
        <w:t xml:space="preserve">. </w:t>
      </w:r>
      <w:r w:rsidR="001333AB" w:rsidRPr="00B74863">
        <w:rPr>
          <w:rFonts w:ascii="Times New Roman" w:hAnsi="Times New Roman" w:cs="Times New Roman"/>
        </w:rPr>
        <w:t>Q</w:t>
      </w:r>
      <w:r w:rsidR="008B2350" w:rsidRPr="00B74863">
        <w:rPr>
          <w:rFonts w:ascii="Times New Roman" w:hAnsi="Times New Roman" w:cs="Times New Roman"/>
        </w:rPr>
        <w:t>uantitative evidence shows that those countries</w:t>
      </w:r>
      <w:r w:rsidR="001F5BE2" w:rsidRPr="00B74863">
        <w:rPr>
          <w:rFonts w:ascii="Times New Roman" w:hAnsi="Times New Roman" w:cs="Times New Roman"/>
        </w:rPr>
        <w:t xml:space="preserve"> that </w:t>
      </w:r>
      <w:r w:rsidR="00033945">
        <w:rPr>
          <w:rFonts w:ascii="Times New Roman" w:hAnsi="Times New Roman" w:cs="Times New Roman"/>
        </w:rPr>
        <w:t>strongly support</w:t>
      </w:r>
      <w:r w:rsidR="001333AB" w:rsidRPr="00B74863">
        <w:rPr>
          <w:rFonts w:ascii="Times New Roman" w:hAnsi="Times New Roman" w:cs="Times New Roman"/>
        </w:rPr>
        <w:t xml:space="preserve"> religious institutions opposed a narrow exemption for religious employers at the bargaining table and implemented provisions of the EED incorrectly to protect the special relationship states had with religious </w:t>
      </w:r>
      <w:r w:rsidR="001333AB" w:rsidRPr="00B74863">
        <w:rPr>
          <w:rFonts w:ascii="Times New Roman" w:hAnsi="Times New Roman" w:cs="Times New Roman"/>
        </w:rPr>
        <w:lastRenderedPageBreak/>
        <w:t>institutions.</w:t>
      </w:r>
      <w:r w:rsidR="008B2350" w:rsidRPr="00B74863">
        <w:rPr>
          <w:rFonts w:ascii="Times New Roman" w:hAnsi="Times New Roman" w:cs="Times New Roman"/>
        </w:rPr>
        <w:t xml:space="preserve"> </w:t>
      </w:r>
      <w:r w:rsidR="00F83A55" w:rsidRPr="00B74863">
        <w:rPr>
          <w:rFonts w:ascii="Times New Roman" w:hAnsi="Times New Roman" w:cs="Times New Roman"/>
        </w:rPr>
        <w:t xml:space="preserve">The concluding section summarizes these results </w:t>
      </w:r>
      <w:r w:rsidR="008239C6" w:rsidRPr="00B74863">
        <w:rPr>
          <w:rFonts w:ascii="Times New Roman" w:hAnsi="Times New Roman" w:cs="Times New Roman"/>
        </w:rPr>
        <w:t xml:space="preserve">and </w:t>
      </w:r>
      <w:r w:rsidR="00E05A26" w:rsidRPr="00B74863">
        <w:rPr>
          <w:rFonts w:ascii="Times New Roman" w:hAnsi="Times New Roman" w:cs="Times New Roman"/>
        </w:rPr>
        <w:t xml:space="preserve">highlights how religious organizations, backed by their national governments, will prevent further steps taken to </w:t>
      </w:r>
      <w:r w:rsidR="008239C6" w:rsidRPr="00B74863">
        <w:rPr>
          <w:rFonts w:ascii="Times New Roman" w:hAnsi="Times New Roman" w:cs="Times New Roman"/>
        </w:rPr>
        <w:t>realize equal treatment for gays and lesbians in the EU.</w:t>
      </w:r>
      <w:r w:rsidR="00E05A26" w:rsidRPr="00B74863">
        <w:rPr>
          <w:rFonts w:ascii="Times New Roman" w:hAnsi="Times New Roman" w:cs="Times New Roman"/>
        </w:rPr>
        <w:t xml:space="preserve"> </w:t>
      </w:r>
      <w:r w:rsidR="00E73C00" w:rsidRPr="00B74863">
        <w:rPr>
          <w:rFonts w:ascii="Times New Roman" w:hAnsi="Times New Roman" w:cs="Times New Roman"/>
        </w:rPr>
        <w:t xml:space="preserve"> </w:t>
      </w:r>
      <w:r w:rsidR="00F83A55" w:rsidRPr="00B74863">
        <w:rPr>
          <w:rFonts w:ascii="Times New Roman" w:hAnsi="Times New Roman" w:cs="Times New Roman"/>
        </w:rPr>
        <w:t xml:space="preserve"> </w:t>
      </w:r>
      <w:r w:rsidR="00A17416" w:rsidRPr="00B74863">
        <w:rPr>
          <w:rFonts w:ascii="Times New Roman" w:hAnsi="Times New Roman" w:cs="Times New Roman"/>
        </w:rPr>
        <w:t xml:space="preserve"> </w:t>
      </w:r>
    </w:p>
    <w:p w14:paraId="6D705F83" w14:textId="51E2C5BC" w:rsidR="006C382C" w:rsidRPr="00E02692" w:rsidRDefault="00E02692" w:rsidP="00E02692">
      <w:pPr>
        <w:pStyle w:val="ListParagraph"/>
        <w:numPr>
          <w:ilvl w:val="0"/>
          <w:numId w:val="16"/>
        </w:numPr>
        <w:spacing w:line="480" w:lineRule="auto"/>
        <w:rPr>
          <w:rFonts w:ascii="Times New Roman" w:hAnsi="Times New Roman" w:cs="Times New Roman"/>
          <w:i/>
        </w:rPr>
      </w:pPr>
      <w:r w:rsidRPr="00E02692">
        <w:rPr>
          <w:rFonts w:ascii="Times New Roman" w:hAnsi="Times New Roman" w:cs="Times New Roman"/>
          <w:i/>
        </w:rPr>
        <w:t>Christianity, LGBT Rights, and the EU</w:t>
      </w:r>
    </w:p>
    <w:p w14:paraId="32E2DBFE" w14:textId="55033485" w:rsidR="0093094E" w:rsidRDefault="00F97A89" w:rsidP="003B0949">
      <w:pPr>
        <w:spacing w:line="480" w:lineRule="auto"/>
        <w:ind w:firstLine="360"/>
        <w:rPr>
          <w:rFonts w:ascii="Times New Roman" w:hAnsi="Times New Roman" w:cs="Times New Roman"/>
        </w:rPr>
      </w:pPr>
      <w:r>
        <w:rPr>
          <w:rFonts w:ascii="Times New Roman" w:hAnsi="Times New Roman" w:cs="Times New Roman"/>
        </w:rPr>
        <w:t>Christian organizations, especially the Catholic Church, have been long supporters of European integration.</w:t>
      </w:r>
      <w:r w:rsidR="005263EC" w:rsidRPr="00B74863">
        <w:rPr>
          <w:rFonts w:ascii="Times New Roman" w:hAnsi="Times New Roman" w:cs="Times New Roman"/>
        </w:rPr>
        <w:t xml:space="preserve"> </w:t>
      </w:r>
      <w:r w:rsidR="009D0C71" w:rsidRPr="00B74863">
        <w:rPr>
          <w:rFonts w:ascii="Times New Roman" w:hAnsi="Times New Roman" w:cs="Times New Roman"/>
        </w:rPr>
        <w:t xml:space="preserve">Many Christian Democratic leaders were observant Catholics who </w:t>
      </w:r>
      <w:r w:rsidR="003B0949" w:rsidRPr="00B74863">
        <w:rPr>
          <w:rFonts w:ascii="Times New Roman" w:hAnsi="Times New Roman" w:cs="Times New Roman"/>
        </w:rPr>
        <w:t>believed in r</w:t>
      </w:r>
      <w:r w:rsidR="009D0C71" w:rsidRPr="00B74863">
        <w:rPr>
          <w:rFonts w:ascii="Times New Roman" w:hAnsi="Times New Roman" w:cs="Times New Roman"/>
        </w:rPr>
        <w:t>econstructing a new, democratic version of the medieval Carolingian Empire, when Catholic Europe was last unified</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{"citationID":"TSDdgbqB","properties":{"formattedCitation":"(Kaiser 2007, 228)","plainCitation":"(Kaiser 2007, 228)"},"citationItems":[{"id":1474,"uris":["http://zotero.org/users/local/jz89q5UV/items/MV5VUNMN"],"uri":["http://zotero.org/users/local/jz89q5UV/items/MV5VUNMN"],"itemData":{"id":1474,"type":"book","title":"Christian Democracy and the Origins of European Union","publisher":"Cambridge University Press","number-of-pages":"389","source":"Google Books","abstract":"Major study of the role of European Christian democratic parties in the making of the European Union. It radically re-conceptualises European integration in long-term historical perspective as the outcome of partisan competition of political ideologies and parties and their guiding ideas for the future of Europe. Wolfram Kaiser takes a comparative approach to political Catholicism in the nineteenth century, Catholic parties in interwar Europe and Christian democratic parties in postwar Europe and studies these parties' cross-border contacts and co-ordination of policy-making. He shows how well networked party elites ensured that the origins of European Union were predominately Christian democratic, with considerable repercussions for the present-day EU. The elites succeeded by intensifying their cross-border communication and coordinating their political tactics and policy making in government. This is a major contribution to the new transnational history of Europe and the history of European integration.","ISBN":"978-1-139-46900-5","note":"Google-Books-ID: DTzdwiN490UC","language":"en","author":[{"family":"Kaiser","given":"Wolfram"}],"issued":{"date-parts":[["2007",11,29]]}},"locator":"228"}],"schema":"https://github.com/citation-style-language/schema/raw/master/csl-citation.json"}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(Kaiser 2007, 228)</w:t>
      </w:r>
      <w:r w:rsidR="003A5879">
        <w:rPr>
          <w:rFonts w:ascii="Times New Roman" w:hAnsi="Times New Roman" w:cs="Times New Roman"/>
        </w:rPr>
        <w:fldChar w:fldCharType="end"/>
      </w:r>
      <w:r w:rsidR="00E271F0">
        <w:rPr>
          <w:rFonts w:ascii="Times New Roman" w:hAnsi="Times New Roman" w:cs="Times New Roman"/>
        </w:rPr>
        <w:t>.</w:t>
      </w:r>
      <w:r w:rsidR="009D0C71" w:rsidRPr="00B74863">
        <w:rPr>
          <w:rFonts w:ascii="Times New Roman" w:hAnsi="Times New Roman" w:cs="Times New Roman"/>
        </w:rPr>
        <w:t xml:space="preserve"> The Vatican under Pope Pius XII publicly supported a European federation to prevent Europe from slipping back into military conflict, while also containing the dual threats of communis</w:t>
      </w:r>
      <w:r w:rsidR="002340BF">
        <w:rPr>
          <w:rFonts w:ascii="Times New Roman" w:hAnsi="Times New Roman" w:cs="Times New Roman"/>
        </w:rPr>
        <w:t>m and any resurgence of fascism</w:t>
      </w:r>
      <w:r w:rsidR="00033945">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{"citationID":"mKL40Pwi","properties":{"formattedCitation":"(Philpott and Shah 2006)","plainCitation":"(Philpott and Shah 2006)"},"citationItems":[{"id":1476,"uris":["http://zotero.org/users/local/jz89q5UV/items/G5IK2BBX"],"uri":["http://zotero.org/users/local/jz89q5UV/items/G5IK2BBX"],"itemData":{"id":1476,"type":"chapter","title":"Faith, Freedom, and Federation: The Role of Religious Ideas and Institutions in European Political Convergence","container-title":"Religion in an Expanding Europe","publisher":"Cambridge University Press","publisher-place":"Cambridge, UK","page":"34-64","event-place":"Cambridge, UK","author":[{"family":"Philpott","given":"Daniel"},{"family":"Shah","given":"Timothy Samuel"}],"editor":[{"family":"Byrnes, Timothy A.","given":""},{"family":"Katzenstein","given":"Peter"}],"issued":{"date-parts":[["2006"]]}}}],"schema":"https://github.com/citation-style-language/schema/raw/master/csl-citation.json"}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(Philpott and Shah 2006)</w:t>
      </w:r>
      <w:r w:rsidR="003A5879">
        <w:rPr>
          <w:rFonts w:ascii="Times New Roman" w:hAnsi="Times New Roman" w:cs="Times New Roman"/>
        </w:rPr>
        <w:fldChar w:fldCharType="end"/>
      </w:r>
      <w:r w:rsidR="00033945">
        <w:rPr>
          <w:rFonts w:ascii="Times New Roman" w:hAnsi="Times New Roman" w:cs="Times New Roman"/>
        </w:rPr>
        <w:t>.</w:t>
      </w:r>
      <w:r w:rsidR="009D0C71" w:rsidRPr="00B74863">
        <w:rPr>
          <w:rFonts w:ascii="Times New Roman" w:hAnsi="Times New Roman" w:cs="Times New Roman"/>
        </w:rPr>
        <w:t xml:space="preserve"> Subsequent popes have continued to support European integration</w:t>
      </w:r>
      <w:r w:rsidR="00E7398C">
        <w:rPr>
          <w:rFonts w:ascii="Times New Roman" w:hAnsi="Times New Roman" w:cs="Times New Roman"/>
        </w:rPr>
        <w:t xml:space="preserve"> </w:t>
      </w:r>
      <w:r w:rsidR="003B0949" w:rsidRPr="00B74863">
        <w:rPr>
          <w:rFonts w:ascii="Times New Roman" w:hAnsi="Times New Roman" w:cs="Times New Roman"/>
        </w:rPr>
        <w:t>through enlargement</w:t>
      </w:r>
      <w:r w:rsidR="009D0C71" w:rsidRPr="00B74863">
        <w:rPr>
          <w:rFonts w:ascii="Times New Roman" w:hAnsi="Times New Roman" w:cs="Times New Roman"/>
        </w:rPr>
        <w:t xml:space="preserve">. Pope John Paul II called for Poland to join </w:t>
      </w:r>
      <w:r w:rsidR="00707635">
        <w:rPr>
          <w:rFonts w:ascii="Times New Roman" w:hAnsi="Times New Roman" w:cs="Times New Roman"/>
        </w:rPr>
        <w:t>after the</w:t>
      </w:r>
      <w:r w:rsidR="009D0C71" w:rsidRPr="00B74863">
        <w:rPr>
          <w:rFonts w:ascii="Times New Roman" w:hAnsi="Times New Roman" w:cs="Times New Roman"/>
        </w:rPr>
        <w:t xml:space="preserve"> Iron Curtain</w:t>
      </w:r>
      <w:r w:rsidR="00707635">
        <w:rPr>
          <w:rFonts w:ascii="Times New Roman" w:hAnsi="Times New Roman" w:cs="Times New Roman"/>
        </w:rPr>
        <w:t xml:space="preserve"> fell</w:t>
      </w:r>
      <w:r w:rsidR="009D0C71" w:rsidRPr="00B74863">
        <w:rPr>
          <w:rFonts w:ascii="Times New Roman" w:hAnsi="Times New Roman" w:cs="Times New Roman"/>
        </w:rPr>
        <w:t xml:space="preserve"> as </w:t>
      </w:r>
      <w:r w:rsidR="00707635">
        <w:rPr>
          <w:rFonts w:ascii="Times New Roman" w:hAnsi="Times New Roman" w:cs="Times New Roman"/>
        </w:rPr>
        <w:t xml:space="preserve">a </w:t>
      </w:r>
      <w:r w:rsidR="009D0C71" w:rsidRPr="00B74863">
        <w:rPr>
          <w:rFonts w:ascii="Times New Roman" w:hAnsi="Times New Roman" w:cs="Times New Roman"/>
        </w:rPr>
        <w:t>moment to start “re”-evangelizing</w:t>
      </w:r>
      <w:r w:rsidR="002340BF">
        <w:rPr>
          <w:rFonts w:ascii="Times New Roman" w:hAnsi="Times New Roman" w:cs="Times New Roman"/>
        </w:rPr>
        <w:t xml:space="preserve"> Europe</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{"citationID":"8Hn6DxK5","properties":{"formattedCitation":"(Byrnes 2006, 289)","plainCitation":"(Byrnes 2006, 289)"},"citationItems":[{"id":1158,"uris":["http://zotero.org/users/local/jz89q5UV/items/G8DS7BDV"],"uri":["http://zotero.org/users/local/jz89q5UV/items/G8DS7BDV"],"itemData":{"id":1158,"type":"chapter","title":"Transnational Religion and Europeanization","container-title":"Religion in an Expanding Europe","publisher":"Cambridge University Press","publisher-place":"Cambridge, UK ; New York","page":"283-305","source":"Amazon","event-place":"Cambridge, UK ; New York","abstract":"With political controversies raging over issues such as the wearing of headscarves in schools and the mention of Christianity in the European Constitution, religious issues are of growing importance in European politics. In this volume, Byrnes and Katzenstein analyze the effect that enlargement to countries with different and stronger religious traditions may have on the EU as a whole, and in particular on its homogeneity and assumed secular nature. Looking through the lens of the transnational religious communities of Catholicism, Orthodoxy and Islam, they argue that religious factors are stumbling blocks rather than stepping stones toward the further integration of Europe. All three religious traditions are advancing notions of European identity and European union that differ substantially from how the European integration process is generally understood by political leaders and scholars. This volume makes an important addition to the fields of European politics, political sociology, and the sociology of religion.","ISBN":"978-0-521-67651-9","language":"English","author":[{"family":"Byrnes","given":"Timothy A."}],"editor":[{"family":"Byrnes, Timothy A.","given":""},{"family":"Katzenstein","given":"Peter J."}],"issued":{"date-parts":[["2006",3,23]]}},"locator":"289"}],"schema":"https://github.com/citation-style-language/schema/raw/master/csl-citation.json"}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(Byrnes 2006, 289)</w:t>
      </w:r>
      <w:r w:rsidR="003A5879">
        <w:rPr>
          <w:rFonts w:ascii="Times New Roman" w:hAnsi="Times New Roman" w:cs="Times New Roman"/>
        </w:rPr>
        <w:fldChar w:fldCharType="end"/>
      </w:r>
      <w:r w:rsidR="00033945">
        <w:rPr>
          <w:rFonts w:ascii="Times New Roman" w:hAnsi="Times New Roman" w:cs="Times New Roman"/>
        </w:rPr>
        <w:t xml:space="preserve">. </w:t>
      </w:r>
      <w:r w:rsidR="009D0C71" w:rsidRPr="00B74863">
        <w:rPr>
          <w:rFonts w:ascii="Times New Roman" w:hAnsi="Times New Roman" w:cs="Times New Roman"/>
        </w:rPr>
        <w:t xml:space="preserve">Efforts to define </w:t>
      </w:r>
      <w:r w:rsidR="00AD25B5" w:rsidRPr="00B74863">
        <w:rPr>
          <w:rFonts w:ascii="Times New Roman" w:hAnsi="Times New Roman" w:cs="Times New Roman"/>
        </w:rPr>
        <w:t xml:space="preserve">EU </w:t>
      </w:r>
      <w:r w:rsidR="009D0C71" w:rsidRPr="00B74863">
        <w:rPr>
          <w:rFonts w:ascii="Times New Roman" w:hAnsi="Times New Roman" w:cs="Times New Roman"/>
        </w:rPr>
        <w:t xml:space="preserve">identity </w:t>
      </w:r>
      <w:r w:rsidR="00AD25B5" w:rsidRPr="00B74863">
        <w:rPr>
          <w:rFonts w:ascii="Times New Roman" w:hAnsi="Times New Roman" w:cs="Times New Roman"/>
        </w:rPr>
        <w:t xml:space="preserve">as Christian </w:t>
      </w:r>
      <w:r w:rsidR="009D0C71" w:rsidRPr="00B74863">
        <w:rPr>
          <w:rFonts w:ascii="Times New Roman" w:hAnsi="Times New Roman" w:cs="Times New Roman"/>
        </w:rPr>
        <w:t>continued when Pope Benedict XVI pushed strongly for</w:t>
      </w:r>
      <w:r w:rsidR="00AD25B5" w:rsidRPr="00B74863">
        <w:rPr>
          <w:rFonts w:ascii="Times New Roman" w:hAnsi="Times New Roman" w:cs="Times New Roman"/>
        </w:rPr>
        <w:t xml:space="preserve"> a</w:t>
      </w:r>
      <w:r w:rsidR="009D0C71" w:rsidRPr="00B74863">
        <w:rPr>
          <w:rFonts w:ascii="Times New Roman" w:hAnsi="Times New Roman" w:cs="Times New Roman"/>
        </w:rPr>
        <w:t xml:space="preserve"> reference </w:t>
      </w:r>
      <w:r w:rsidR="002B1DA4">
        <w:rPr>
          <w:rFonts w:ascii="Times New Roman" w:hAnsi="Times New Roman" w:cs="Times New Roman"/>
        </w:rPr>
        <w:t xml:space="preserve">to </w:t>
      </w:r>
      <w:r w:rsidR="009D0C71" w:rsidRPr="00B74863">
        <w:rPr>
          <w:rFonts w:ascii="Times New Roman" w:hAnsi="Times New Roman" w:cs="Times New Roman"/>
        </w:rPr>
        <w:t xml:space="preserve">Europe’s common Christian heritage in the preamble </w:t>
      </w:r>
      <w:r w:rsidR="002B1DA4">
        <w:rPr>
          <w:rFonts w:ascii="Times New Roman" w:hAnsi="Times New Roman" w:cs="Times New Roman"/>
        </w:rPr>
        <w:t>of the</w:t>
      </w:r>
      <w:r w:rsidR="009D0C71" w:rsidRPr="00B74863">
        <w:rPr>
          <w:rFonts w:ascii="Times New Roman" w:hAnsi="Times New Roman" w:cs="Times New Roman"/>
        </w:rPr>
        <w:t xml:space="preserve"> European Constitution</w:t>
      </w:r>
      <w:r w:rsidR="002B1DA4">
        <w:rPr>
          <w:rFonts w:ascii="Times New Roman" w:hAnsi="Times New Roman" w:cs="Times New Roman"/>
        </w:rPr>
        <w:t>.</w:t>
      </w:r>
      <w:r w:rsidR="00AD25B5" w:rsidRPr="00B74863">
        <w:rPr>
          <w:rFonts w:ascii="Times New Roman" w:hAnsi="Times New Roman" w:cs="Times New Roman"/>
        </w:rPr>
        <w:t xml:space="preserve"> </w:t>
      </w:r>
    </w:p>
    <w:p w14:paraId="2D0CA05B" w14:textId="6DF4A0AE" w:rsidR="00B03BE7" w:rsidRPr="00B74863" w:rsidRDefault="002B1DA4" w:rsidP="00F97A89">
      <w:pPr>
        <w:spacing w:line="480" w:lineRule="auto"/>
        <w:ind w:firstLine="360"/>
        <w:rPr>
          <w:rFonts w:ascii="Times New Roman" w:hAnsi="Times New Roman" w:cs="Times New Roman"/>
        </w:rPr>
      </w:pPr>
      <w:r>
        <w:rPr>
          <w:rFonts w:ascii="Times New Roman" w:hAnsi="Times New Roman" w:cs="Times New Roman"/>
        </w:rPr>
        <w:t>As EU law began to expand into national policy areas not foreseen by religious organizations</w:t>
      </w:r>
      <w:r w:rsidR="00F97A89">
        <w:rPr>
          <w:rFonts w:ascii="Times New Roman" w:hAnsi="Times New Roman" w:cs="Times New Roman"/>
        </w:rPr>
        <w:t xml:space="preserve">, they became increasingly wary </w:t>
      </w:r>
      <w:r>
        <w:rPr>
          <w:rFonts w:ascii="Times New Roman" w:hAnsi="Times New Roman" w:cs="Times New Roman"/>
        </w:rPr>
        <w:t>of the effect EU law would have on the institutional status quo for them.</w:t>
      </w:r>
      <w:r w:rsidR="00F97A89">
        <w:rPr>
          <w:rFonts w:ascii="Times New Roman" w:hAnsi="Times New Roman" w:cs="Times New Roman"/>
        </w:rPr>
        <w:t xml:space="preserve"> The EU’s attempt to extend equal rights to sexual minorities is one the chief areas in which religious </w:t>
      </w:r>
      <w:r w:rsidR="00AA0231">
        <w:rPr>
          <w:rFonts w:ascii="Times New Roman" w:hAnsi="Times New Roman" w:cs="Times New Roman"/>
        </w:rPr>
        <w:t xml:space="preserve">groups started </w:t>
      </w:r>
      <w:r w:rsidR="00F97A89">
        <w:rPr>
          <w:rFonts w:ascii="Times New Roman" w:hAnsi="Times New Roman" w:cs="Times New Roman"/>
        </w:rPr>
        <w:t>mounting</w:t>
      </w:r>
      <w:r w:rsidR="00AA0231">
        <w:rPr>
          <w:rFonts w:ascii="Times New Roman" w:hAnsi="Times New Roman" w:cs="Times New Roman"/>
        </w:rPr>
        <w:t xml:space="preserve"> opposition </w:t>
      </w:r>
      <w:r>
        <w:rPr>
          <w:rFonts w:ascii="Times New Roman" w:hAnsi="Times New Roman" w:cs="Times New Roman"/>
        </w:rPr>
        <w:t>to European integration.</w:t>
      </w:r>
      <w:r w:rsidR="00F97A89">
        <w:rPr>
          <w:rFonts w:ascii="Times New Roman" w:hAnsi="Times New Roman" w:cs="Times New Roman"/>
        </w:rPr>
        <w:t xml:space="preserve"> Beginning in</w:t>
      </w:r>
      <w:r w:rsidR="0093094E" w:rsidRPr="00B74863">
        <w:rPr>
          <w:rFonts w:ascii="Times New Roman" w:hAnsi="Times New Roman" w:cs="Times New Roman"/>
        </w:rPr>
        <w:t xml:space="preserve"> 1983</w:t>
      </w:r>
      <w:r w:rsidR="00F97A89">
        <w:rPr>
          <w:rFonts w:ascii="Times New Roman" w:hAnsi="Times New Roman" w:cs="Times New Roman"/>
        </w:rPr>
        <w:t xml:space="preserve"> </w:t>
      </w:r>
      <w:r w:rsidR="005263EC" w:rsidRPr="00B74863">
        <w:rPr>
          <w:rFonts w:ascii="Times New Roman" w:hAnsi="Times New Roman" w:cs="Times New Roman"/>
        </w:rPr>
        <w:t xml:space="preserve">the </w:t>
      </w:r>
      <w:r w:rsidR="00F97A89">
        <w:rPr>
          <w:rFonts w:ascii="Times New Roman" w:hAnsi="Times New Roman" w:cs="Times New Roman"/>
        </w:rPr>
        <w:t>E</w:t>
      </w:r>
      <w:r w:rsidR="005263EC" w:rsidRPr="00B74863">
        <w:rPr>
          <w:rFonts w:ascii="Times New Roman" w:hAnsi="Times New Roman" w:cs="Times New Roman"/>
        </w:rPr>
        <w:t xml:space="preserve">uropean Parliament </w:t>
      </w:r>
      <w:r w:rsidR="0093094E" w:rsidRPr="00B74863">
        <w:rPr>
          <w:rFonts w:ascii="Times New Roman" w:hAnsi="Times New Roman" w:cs="Times New Roman"/>
        </w:rPr>
        <w:t>commissioned the</w:t>
      </w:r>
      <w:r w:rsidR="005263EC" w:rsidRPr="00B74863">
        <w:rPr>
          <w:rFonts w:ascii="Times New Roman" w:hAnsi="Times New Roman" w:cs="Times New Roman"/>
        </w:rPr>
        <w:t xml:space="preserve"> Squarcialupi Repo</w:t>
      </w:r>
      <w:r w:rsidR="0093094E" w:rsidRPr="00B74863">
        <w:rPr>
          <w:rFonts w:ascii="Times New Roman" w:hAnsi="Times New Roman" w:cs="Times New Roman"/>
        </w:rPr>
        <w:t>rt to assess conditions of gays and lesbians in the EU in the area of employment.</w:t>
      </w:r>
      <w:r w:rsidR="00B03BE7" w:rsidRPr="00042CE3">
        <w:rPr>
          <w:rStyle w:val="EndnoteReference"/>
        </w:rPr>
        <w:endnoteReference w:id="2"/>
      </w:r>
      <w:r w:rsidR="00B03BE7" w:rsidRPr="00B74863">
        <w:rPr>
          <w:rFonts w:ascii="Times New Roman" w:hAnsi="Times New Roman" w:cs="Times New Roman"/>
        </w:rPr>
        <w:t xml:space="preserve"> Based on its conclusions the EP called on the Commission to cre</w:t>
      </w:r>
      <w:r w:rsidR="00AA0231">
        <w:rPr>
          <w:rFonts w:ascii="Times New Roman" w:hAnsi="Times New Roman" w:cs="Times New Roman"/>
        </w:rPr>
        <w:t>ate a common standard for</w:t>
      </w:r>
      <w:r w:rsidR="00B03BE7" w:rsidRPr="00B74863">
        <w:rPr>
          <w:rFonts w:ascii="Times New Roman" w:hAnsi="Times New Roman" w:cs="Times New Roman"/>
        </w:rPr>
        <w:t xml:space="preserve"> protection from workplace discrimination based on sexual orientation for the entire then-EEC. While a majority </w:t>
      </w:r>
      <w:r w:rsidR="00B03BE7" w:rsidRPr="00B74863">
        <w:rPr>
          <w:rFonts w:ascii="Times New Roman" w:hAnsi="Times New Roman" w:cs="Times New Roman"/>
        </w:rPr>
        <w:lastRenderedPageBreak/>
        <w:t xml:space="preserve">of members of Parliament approved the resolution, the EP was </w:t>
      </w:r>
      <w:r w:rsidR="00AA0231">
        <w:rPr>
          <w:rFonts w:ascii="Times New Roman" w:hAnsi="Times New Roman" w:cs="Times New Roman"/>
        </w:rPr>
        <w:t xml:space="preserve">clearly </w:t>
      </w:r>
      <w:r w:rsidR="00B03BE7" w:rsidRPr="00B74863">
        <w:rPr>
          <w:rFonts w:ascii="Times New Roman" w:hAnsi="Times New Roman" w:cs="Times New Roman"/>
        </w:rPr>
        <w:t xml:space="preserve">divided along a secular/religious cleavage, </w:t>
      </w:r>
      <w:r>
        <w:rPr>
          <w:rFonts w:ascii="Times New Roman" w:hAnsi="Times New Roman" w:cs="Times New Roman"/>
        </w:rPr>
        <w:t>with</w:t>
      </w:r>
      <w:r w:rsidR="00B03BE7" w:rsidRPr="00B74863">
        <w:rPr>
          <w:rFonts w:ascii="Times New Roman" w:hAnsi="Times New Roman" w:cs="Times New Roman"/>
        </w:rPr>
        <w:t xml:space="preserve"> most members of national conservative or Ch</w:t>
      </w:r>
      <w:r>
        <w:rPr>
          <w:rFonts w:ascii="Times New Roman" w:hAnsi="Times New Roman" w:cs="Times New Roman"/>
        </w:rPr>
        <w:t>ristian Democratic parties voting</w:t>
      </w:r>
      <w:r w:rsidR="00B03BE7" w:rsidRPr="00B74863">
        <w:rPr>
          <w:rFonts w:ascii="Times New Roman" w:hAnsi="Times New Roman" w:cs="Times New Roman"/>
        </w:rPr>
        <w:t xml:space="preserve"> against it. Members of Ireland’s Fine Gael party in the EP abstained from the vote on the grounds that the then-EEC had no competence “to decide the moral attitudes of society or the pattern of the criminal laws of the member states.”</w:t>
      </w:r>
      <w:r w:rsidR="00B03BE7" w:rsidRPr="00042CE3">
        <w:rPr>
          <w:rStyle w:val="EndnoteReference"/>
        </w:rPr>
        <w:endnoteReference w:id="3"/>
      </w:r>
    </w:p>
    <w:p w14:paraId="0E141FD4" w14:textId="4C2C20A8" w:rsidR="00B03BE7" w:rsidRPr="00B74863" w:rsidRDefault="00B03BE7" w:rsidP="00C46EBC">
      <w:pPr>
        <w:spacing w:line="480" w:lineRule="auto"/>
        <w:ind w:firstLine="360"/>
        <w:rPr>
          <w:rFonts w:ascii="Times New Roman" w:hAnsi="Times New Roman" w:cs="Times New Roman"/>
        </w:rPr>
      </w:pPr>
      <w:r w:rsidRPr="00B74863">
        <w:rPr>
          <w:rFonts w:ascii="Times New Roman" w:hAnsi="Times New Roman" w:cs="Times New Roman"/>
        </w:rPr>
        <w:t>In 1994 the conclusions of the Roth Report were approved by the European Parliament, which again requested the Commission to propose legislation protecting sexual minorities from discrimination.</w:t>
      </w:r>
      <w:r w:rsidRPr="00042CE3">
        <w:rPr>
          <w:rStyle w:val="EndnoteReference"/>
        </w:rPr>
        <w:endnoteReference w:id="4"/>
      </w:r>
      <w:r w:rsidRPr="00B74863">
        <w:rPr>
          <w:rFonts w:ascii="Times New Roman" w:hAnsi="Times New Roman" w:cs="Times New Roman"/>
        </w:rPr>
        <w:t xml:space="preserve"> It called for EU-level legal reforms that would end discrimination in all spheres of employment, including criminal, civil, and contact law and an “equivalent legal framework” of marriage and adoption rights for same-sex couples. Once again a majority of MEPs approved the resolution adopting the Parliament’s recommendations, but a significant majority of conservative MEPs cited religious and cultural objections to treating same-sex couples as equal to heterosexual ones. Doing so, they argued, threatened the family as a fundamental institution. Pope John Paul II, while not defending discrimination against homosexuals, believed the EP was condoning “moral disorder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{"citationID":"CtsedYZj","properties":{"formattedCitation":"(Bell 2002)","plainCitation":"(Bell 2002)"},"citationItems":[{"id":65,"uris":["http://zotero.org/users/local/jz89q5UV/items/J8FZG28D"],"uri":["http://zotero.org/users/local/jz89q5UV/items/J8FZG28D"],"itemData":{"id":65,"type":"book","title":"Anti-discrimination Law and the European Union","publisher":"Oxford University Press","number-of-pages":"298","source":"Google Books","abstract":"Anti-Discrimination Law and the European Union provides a timely and topical contribution to the growing body of literature in this area. The 1999 Treaty of Amsterdam expanded significantly the legal competence of the European Union for combatting discrimination. Traditionally, EU law has concentrated on discrimination between women and men and discrimination on the grounds of EU nationality. However, Article 13 EC created a new legal space for the Union to regulate discrimination on the ground of racial or ethnic origin, religion or belief, disability, age, or sexual orientation. This book aims to improve our understanding of the evolution of European Union law in the field. To this end, it considers the development of EU law and policy in respect of two specific grounds of discrimination - race and sexual orientation. It provides an account of the debate within the institutions and Member States, analysis of relevant case law from the Court of Justice, and coverage of the anti-discrimination directives adopted in 2001. The book further considers the relationship between national and European anti-discrimination law. A survey of national anti-discrimination statutes is presented in order to identify the variety of legal traditions which exist in this field. The diversity of these legal cultures impacts significantly upon the scope for and nature of EU anti-discrimination legislation. The author concludes by reviewing the principle factors which have influenced the evolution of EU anti-discrimination law and applying this to an analysis of the prospects for future development.","ISBN":"978-0-19-924450-8","language":"en","author":[{"family":"Bell","given":"Mark"}],"issued":{"date-parts":[["2002"]]}}}],"schema":"https://github.com/citation-style-language/schema/raw/master/csl-citation.json"}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(Bell 2002)</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w:t>
      </w:r>
    </w:p>
    <w:p w14:paraId="2F04A13A" w14:textId="5865B44F" w:rsidR="00B03BE7" w:rsidRPr="00B74863" w:rsidRDefault="00B03BE7" w:rsidP="002B6266">
      <w:pPr>
        <w:spacing w:line="480" w:lineRule="auto"/>
        <w:ind w:firstLine="360"/>
        <w:rPr>
          <w:rFonts w:ascii="Times New Roman" w:hAnsi="Times New Roman" w:cs="Times New Roman"/>
        </w:rPr>
      </w:pPr>
      <w:r w:rsidRPr="00B74863">
        <w:rPr>
          <w:rFonts w:ascii="Times New Roman" w:hAnsi="Times New Roman" w:cs="Times New Roman"/>
        </w:rPr>
        <w:t>The Commission repeatedly rejected the Parliament’s requests</w:t>
      </w:r>
      <w:r>
        <w:rPr>
          <w:rFonts w:ascii="Times New Roman" w:hAnsi="Times New Roman" w:cs="Times New Roman"/>
        </w:rPr>
        <w:t xml:space="preserve"> for several reasons. </w:t>
      </w:r>
      <w:r w:rsidRPr="00B74863">
        <w:rPr>
          <w:rFonts w:ascii="Times New Roman" w:hAnsi="Times New Roman" w:cs="Times New Roman"/>
        </w:rPr>
        <w:t>First, the Commission has always had a close institutional relationship with or</w:t>
      </w:r>
      <w:r>
        <w:rPr>
          <w:rFonts w:ascii="Times New Roman" w:hAnsi="Times New Roman" w:cs="Times New Roman"/>
        </w:rPr>
        <w:t xml:space="preserve">ganized Christian organizations </w:t>
      </w:r>
      <w:r>
        <w:rPr>
          <w:rFonts w:ascii="Times New Roman" w:hAnsi="Times New Roman" w:cs="Times New Roman"/>
        </w:rPr>
        <w:fldChar w:fldCharType="begin"/>
      </w:r>
      <w:r>
        <w:rPr>
          <w:rFonts w:ascii="Times New Roman" w:hAnsi="Times New Roman" w:cs="Times New Roman"/>
        </w:rPr>
        <w:instrText xml:space="preserve"> ADDIN ZOTERO_ITEM CSL_CITATION {"citationID":"AZKnonB9","properties":{"formattedCitation":"(McCrea 2010)","plainCitation":"(McCrea 2010)"},"citationItems":[{"id":1483,"uris":["http://zotero.org/users/local/jz89q5UV/items/USBGBS4Z"],"uri":["http://zotero.org/users/local/jz89q5UV/items/USBGBS4Z"],"itemData":{"id":1483,"type":"book","title":"Religion and the Public Order of the European Union","publisher":"OUP Oxford","number-of-pages":"315","source":"Google Books","abstract":"Ronan McCrea offers the first comprehensive account of the role of religion within the public order of the European Union. He examines the facilitation and protection of individual and institutional religious freedom in EU law and the means through which the Union facilitates religious input and influence over law. In addition, the book draws attention to the limitations on religious influence over law and politics that are required by the Union. It shows the extent to which suchlimitations are identified as fundamental elements of the EU's public order and as prerequisites for membership.The Union seeks to balance its predominantly Christian religious heritage with an equally strong secular and humanist tradition by facilitating religion as a form of cultural identity while simultaneously limiting its political influence. Such balancing takes place in the context of the Union's limited legitimacy and its commitment to respect for Member State cultural autonomy. Deference towards the cultural role of religion at Member State level enables culturally-entrenched religions toexercise a greater degree of influence within the Union's public order than \"outsider\" faiths that lack a comparable cultural role. Placing the Union's approach to religion in the context of broader historical and sociological trends around religion in Europe and of contemporary debates aroundsecularism, equal treatment, and the role of Islam in Europe, McCrea sheds light on the interaction between religion and EU law in the face of a shifting religious demographic.","ISBN":"978-0-19-959535-8","note":"Google-Books-ID: R8nq8UETZq8C","language":"en","author":[{"family":"McCrea","given":"Ronan"}],"issued":{"date-parts":[["2010",10,7]]}}}],"schema":"https://github.com/citation-style-language/schema/raw/master/csl-citation.json"}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(McCrea 2010)</w:t>
      </w:r>
      <w:r>
        <w:rPr>
          <w:rFonts w:ascii="Times New Roman" w:hAnsi="Times New Roman" w:cs="Times New Roman"/>
        </w:rPr>
        <w:fldChar w:fldCharType="end"/>
      </w:r>
      <w:r>
        <w:rPr>
          <w:rFonts w:ascii="Times New Roman" w:hAnsi="Times New Roman" w:cs="Times New Roman"/>
        </w:rPr>
        <w:t xml:space="preserve">. </w:t>
      </w:r>
      <w:r w:rsidRPr="00B74863">
        <w:rPr>
          <w:rFonts w:ascii="Times New Roman" w:hAnsi="Times New Roman" w:cs="Times New Roman"/>
        </w:rPr>
        <w:t>The Commission formally consults with religious bodies on pending legislation when appropriate. It values the public role religious organizations play in public l</w:t>
      </w:r>
      <w:r w:rsidR="00707635">
        <w:rPr>
          <w:rFonts w:ascii="Times New Roman" w:hAnsi="Times New Roman" w:cs="Times New Roman"/>
        </w:rPr>
        <w:t xml:space="preserve">ife and their input with regard </w:t>
      </w:r>
      <w:r w:rsidRPr="00B74863">
        <w:rPr>
          <w:rFonts w:ascii="Times New Roman" w:hAnsi="Times New Roman" w:cs="Times New Roman"/>
        </w:rPr>
        <w:t xml:space="preserve">to issues of public morality. Perhaps more importantly, the Commission argued it did not have the competency to act in this sensitive area of national policy. </w:t>
      </w:r>
      <w:r w:rsidR="00707635">
        <w:rPr>
          <w:rFonts w:ascii="Times New Roman" w:hAnsi="Times New Roman" w:cs="Times New Roman"/>
        </w:rPr>
        <w:t>Legally, the Commission and the European Court of Justice argues, m</w:t>
      </w:r>
      <w:r w:rsidR="00CF2C13">
        <w:rPr>
          <w:rFonts w:ascii="Times New Roman" w:hAnsi="Times New Roman" w:cs="Times New Roman"/>
        </w:rPr>
        <w:t>ember states were</w:t>
      </w:r>
      <w:r w:rsidRPr="00B74863">
        <w:rPr>
          <w:rFonts w:ascii="Times New Roman" w:hAnsi="Times New Roman" w:cs="Times New Roman"/>
        </w:rPr>
        <w:t xml:space="preserve"> permitted </w:t>
      </w:r>
      <w:r w:rsidR="00707635" w:rsidRPr="00B74863">
        <w:rPr>
          <w:rFonts w:ascii="Times New Roman" w:hAnsi="Times New Roman" w:cs="Times New Roman"/>
        </w:rPr>
        <w:t>to re</w:t>
      </w:r>
      <w:r w:rsidR="00707635">
        <w:rPr>
          <w:rFonts w:ascii="Times New Roman" w:hAnsi="Times New Roman" w:cs="Times New Roman"/>
        </w:rPr>
        <w:t>strict</w:t>
      </w:r>
      <w:r w:rsidR="00707635" w:rsidRPr="00B74863">
        <w:rPr>
          <w:rFonts w:ascii="Times New Roman" w:hAnsi="Times New Roman" w:cs="Times New Roman"/>
        </w:rPr>
        <w:t xml:space="preserve"> </w:t>
      </w:r>
      <w:r w:rsidR="00707635">
        <w:rPr>
          <w:rFonts w:ascii="Times New Roman" w:hAnsi="Times New Roman" w:cs="Times New Roman"/>
        </w:rPr>
        <w:t>the free movement of people</w:t>
      </w:r>
      <w:r w:rsidR="00707635" w:rsidRPr="00B74863">
        <w:rPr>
          <w:rFonts w:ascii="Times New Roman" w:hAnsi="Times New Roman" w:cs="Times New Roman"/>
        </w:rPr>
        <w:t xml:space="preserve"> </w:t>
      </w:r>
      <w:r w:rsidRPr="00B74863">
        <w:rPr>
          <w:rFonts w:ascii="Times New Roman" w:hAnsi="Times New Roman" w:cs="Times New Roman"/>
        </w:rPr>
        <w:t xml:space="preserve">under the EC Treaties’ “public morality, </w:t>
      </w:r>
      <w:r w:rsidRPr="00B74863">
        <w:rPr>
          <w:rFonts w:ascii="Times New Roman" w:hAnsi="Times New Roman" w:cs="Times New Roman"/>
        </w:rPr>
        <w:lastRenderedPageBreak/>
        <w:t>“public order, or morality” clauses (Articles 30 and 55 TFEU)</w:t>
      </w:r>
      <w:r w:rsidR="00BA08CD">
        <w:rPr>
          <w:rFonts w:ascii="Times New Roman" w:hAnsi="Times New Roman" w:cs="Times New Roman"/>
        </w:rPr>
        <w:t>.</w:t>
      </w:r>
      <w:r w:rsidRPr="00B74863">
        <w:rPr>
          <w:rFonts w:ascii="Times New Roman" w:hAnsi="Times New Roman" w:cs="Times New Roman"/>
        </w:rPr>
        <w:t xml:space="preserve"> For example, one member state was not required to recognize </w:t>
      </w:r>
      <w:r>
        <w:rPr>
          <w:rFonts w:ascii="Times New Roman" w:hAnsi="Times New Roman" w:cs="Times New Roman"/>
        </w:rPr>
        <w:t xml:space="preserve">same-sex </w:t>
      </w:r>
      <w:r w:rsidRPr="00B74863">
        <w:rPr>
          <w:rFonts w:ascii="Times New Roman" w:hAnsi="Times New Roman" w:cs="Times New Roman"/>
        </w:rPr>
        <w:t>civil partnerships</w:t>
      </w:r>
      <w:r>
        <w:rPr>
          <w:rFonts w:ascii="Times New Roman" w:hAnsi="Times New Roman" w:cs="Times New Roman"/>
        </w:rPr>
        <w:t>, unions or marriages</w:t>
      </w:r>
      <w:r w:rsidRPr="00B74863">
        <w:rPr>
          <w:rFonts w:ascii="Times New Roman" w:hAnsi="Times New Roman" w:cs="Times New Roman"/>
        </w:rPr>
        <w:t xml:space="preserve"> </w:t>
      </w:r>
      <w:r w:rsidR="00CF2C13">
        <w:rPr>
          <w:rFonts w:ascii="Times New Roman" w:hAnsi="Times New Roman" w:cs="Times New Roman"/>
        </w:rPr>
        <w:t xml:space="preserve">that gay and lesbian </w:t>
      </w:r>
      <w:r>
        <w:rPr>
          <w:rFonts w:ascii="Times New Roman" w:hAnsi="Times New Roman" w:cs="Times New Roman"/>
        </w:rPr>
        <w:t xml:space="preserve">workers may have in one member state </w:t>
      </w:r>
      <w:r w:rsidR="00CF2C13">
        <w:rPr>
          <w:rFonts w:ascii="Times New Roman" w:hAnsi="Times New Roman" w:cs="Times New Roman"/>
        </w:rPr>
        <w:t>when</w:t>
      </w:r>
      <w:r>
        <w:rPr>
          <w:rFonts w:ascii="Times New Roman" w:hAnsi="Times New Roman" w:cs="Times New Roman"/>
        </w:rPr>
        <w:t xml:space="preserve"> requesting equal treatment </w:t>
      </w:r>
      <w:r w:rsidR="00BA08CD">
        <w:rPr>
          <w:rFonts w:ascii="Times New Roman" w:hAnsi="Times New Roman" w:cs="Times New Roman"/>
        </w:rPr>
        <w:t>when trying to access</w:t>
      </w:r>
      <w:r w:rsidR="00CF2C13">
        <w:rPr>
          <w:rFonts w:ascii="Times New Roman" w:hAnsi="Times New Roman" w:cs="Times New Roman"/>
        </w:rPr>
        <w:t xml:space="preserve"> </w:t>
      </w:r>
      <w:r w:rsidR="00707635">
        <w:rPr>
          <w:rFonts w:ascii="Times New Roman" w:hAnsi="Times New Roman" w:cs="Times New Roman"/>
        </w:rPr>
        <w:t xml:space="preserve">national </w:t>
      </w:r>
      <w:r w:rsidR="00CF2C13">
        <w:rPr>
          <w:rFonts w:ascii="Times New Roman" w:hAnsi="Times New Roman" w:cs="Times New Roman"/>
        </w:rPr>
        <w:t>m</w:t>
      </w:r>
      <w:r w:rsidR="00BA08CD">
        <w:rPr>
          <w:rFonts w:ascii="Times New Roman" w:hAnsi="Times New Roman" w:cs="Times New Roman"/>
        </w:rPr>
        <w:t>arital</w:t>
      </w:r>
      <w:r w:rsidR="00CF2C13">
        <w:rPr>
          <w:rFonts w:ascii="Times New Roman" w:hAnsi="Times New Roman" w:cs="Times New Roman"/>
        </w:rPr>
        <w:t xml:space="preserve"> benefits</w:t>
      </w:r>
      <w:r w:rsidR="00707635">
        <w:rPr>
          <w:rFonts w:ascii="Times New Roman" w:hAnsi="Times New Roman" w:cs="Times New Roman"/>
        </w:rPr>
        <w:t xml:space="preserve"> when moving to another member state to work</w:t>
      </w:r>
      <w:r w:rsidRPr="00B74863">
        <w:rPr>
          <w:rFonts w:ascii="Times New Roman" w:hAnsi="Times New Roman" w:cs="Times New Roman"/>
        </w:rPr>
        <w:t>.</w:t>
      </w:r>
      <w:r w:rsidRPr="00042CE3">
        <w:rPr>
          <w:rStyle w:val="EndnoteReference"/>
        </w:rPr>
        <w:endnoteReference w:id="5"/>
      </w:r>
    </w:p>
    <w:p w14:paraId="1C6DB1F8" w14:textId="50C3106B" w:rsidR="00B03BE7" w:rsidRPr="00B74863" w:rsidRDefault="00B03BE7" w:rsidP="002B6266">
      <w:pPr>
        <w:spacing w:line="480" w:lineRule="auto"/>
        <w:ind w:firstLine="360"/>
        <w:rPr>
          <w:rFonts w:ascii="Times New Roman" w:hAnsi="Times New Roman" w:cs="Times New Roman"/>
        </w:rPr>
      </w:pPr>
      <w:r w:rsidRPr="00B74863">
        <w:rPr>
          <w:rFonts w:ascii="Times New Roman" w:hAnsi="Times New Roman" w:cs="Times New Roman"/>
        </w:rPr>
        <w:t xml:space="preserve">The EU </w:t>
      </w:r>
      <w:r w:rsidR="00CF2C13">
        <w:rPr>
          <w:rFonts w:ascii="Times New Roman" w:hAnsi="Times New Roman" w:cs="Times New Roman"/>
        </w:rPr>
        <w:t xml:space="preserve">finally </w:t>
      </w:r>
      <w:r>
        <w:rPr>
          <w:rFonts w:ascii="Times New Roman" w:hAnsi="Times New Roman" w:cs="Times New Roman"/>
        </w:rPr>
        <w:t>gained the competency</w:t>
      </w:r>
      <w:r w:rsidRPr="00B74863">
        <w:rPr>
          <w:rFonts w:ascii="Times New Roman" w:hAnsi="Times New Roman" w:cs="Times New Roman"/>
        </w:rPr>
        <w:t xml:space="preserve"> to legislate in the area of </w:t>
      </w:r>
      <w:r w:rsidR="00707635">
        <w:rPr>
          <w:rFonts w:ascii="Times New Roman" w:hAnsi="Times New Roman" w:cs="Times New Roman"/>
        </w:rPr>
        <w:t xml:space="preserve">sexual </w:t>
      </w:r>
      <w:r>
        <w:rPr>
          <w:rFonts w:ascii="Times New Roman" w:hAnsi="Times New Roman" w:cs="Times New Roman"/>
        </w:rPr>
        <w:t xml:space="preserve">minority </w:t>
      </w:r>
      <w:r w:rsidRPr="00B74863">
        <w:rPr>
          <w:rFonts w:ascii="Times New Roman" w:hAnsi="Times New Roman" w:cs="Times New Roman"/>
        </w:rPr>
        <w:t>discrimination when Article 13 (now 19) of the Amsterdam Treaty was approved in 1997. Article 19 permitted EU institutions to draft and enforce EU legislation that protected minorities from discrimination based on “sex, racial or ethnic origin, religion or belief, disability, age or sexual orientation.”</w:t>
      </w:r>
      <w:r w:rsidR="00CF2C13">
        <w:rPr>
          <w:rFonts w:ascii="Times New Roman" w:hAnsi="Times New Roman" w:cs="Times New Roman"/>
        </w:rPr>
        <w:t xml:space="preserve"> As Mos (2014) shows</w:t>
      </w:r>
      <w:r w:rsidRPr="00B74863">
        <w:rPr>
          <w:rFonts w:ascii="Times New Roman" w:hAnsi="Times New Roman" w:cs="Times New Roman"/>
        </w:rPr>
        <w:t>, this victory for LGBT activists did not come easily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{"citationID":"9ZrVZIi3","properties":{"formattedCitation":"(Mos 2014)","plainCitation":"(Mos 2014)"},"citationItems":[{"id":1296,"uris":["http://zotero.org/users/local/jz89q5UV/items/449E43ZT"],"uri":["http://zotero.org/users/local/jz89q5UV/items/449E43ZT"],"itemData":{"id":1296,"type":"article-journal","title":"Of Gay Rights and Christmas Ornaments: The Political History of Sexual Orientation Non-discrimination in the Treaty of Amsterdam","container-title":"JCMS: Journal of Common Market Studies","page":"632-649","volume":"52","issue":"3","source":"Wiley Online Library","abstract":"This article asks why sexual orientation was included in the anti-discrimination clause of the Treaty of Amsterdam (Article 13) in the absence of active support within the Council of Ministers and even though few Member States had established it as protected ground prior to the intergovernmental conference. A detailed historical analysis reveals how the European Parliament (EP) gradually developed into the hub of a transnational advocacy network that promoted gay rights to the European Commission and the Council. The dynamics of the intergovernmental conference enabled the EP to introduce sexual orientation into the treaty-making process, while the use of naming-and-shaming tactics vis-à-vis the Dutch Presidency secured the ground's final inclusion. This political history has theoretical implications since it presents a challenge to extant liberal intergovernmentalist and institutionalist analyses of the Amsterdam Treaty and suggests that the EP should be afforded more attention by neofunctionalist scholars.","DOI":"10.1111/jcms.12094","ISSN":"1468-5965","shortTitle":"Of Gay Rights and Christmas Ornaments","journalAbbreviation":"J Common Mark Stud","language":"en","author":[{"family":"Mos","given":"Martijn"}],"issued":{"date-parts":[["2014",5,1]]}}}],"schema":"https://github.com/citation-style-language/schema/raw/master/csl-citation.json"}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(Mos 2014)</w:t>
      </w:r>
      <w:r>
        <w:rPr>
          <w:rFonts w:ascii="Times New Roman" w:hAnsi="Times New Roman" w:cs="Times New Roman"/>
        </w:rPr>
        <w:fldChar w:fldCharType="end"/>
      </w:r>
      <w:r w:rsidRPr="00B74863">
        <w:rPr>
          <w:rFonts w:ascii="Times New Roman" w:hAnsi="Times New Roman" w:cs="Times New Roman"/>
        </w:rPr>
        <w:t xml:space="preserve">. The inclusion of same-sex orientation as a status deserving protection needed to overcome fierce opposition by Catholic members of the Dutch, Irish and Italian </w:t>
      </w:r>
      <w:r w:rsidR="00CF2C13">
        <w:rPr>
          <w:rFonts w:ascii="Times New Roman" w:hAnsi="Times New Roman" w:cs="Times New Roman"/>
        </w:rPr>
        <w:t xml:space="preserve">national </w:t>
      </w:r>
      <w:r w:rsidRPr="00B74863">
        <w:rPr>
          <w:rFonts w:ascii="Times New Roman" w:hAnsi="Times New Roman" w:cs="Times New Roman"/>
        </w:rPr>
        <w:t xml:space="preserve">governments. </w:t>
      </w:r>
    </w:p>
    <w:p w14:paraId="3F28BCBB" w14:textId="2F46F9E4" w:rsidR="00B03BE7" w:rsidRPr="00B74863" w:rsidRDefault="00B03BE7" w:rsidP="00AE2E47">
      <w:pPr>
        <w:spacing w:line="480" w:lineRule="auto"/>
        <w:ind w:firstLine="360"/>
        <w:rPr>
          <w:rFonts w:ascii="Times New Roman" w:hAnsi="Times New Roman" w:cs="Times New Roman"/>
        </w:rPr>
      </w:pPr>
      <w:r w:rsidRPr="00B74863">
        <w:rPr>
          <w:rFonts w:ascii="Times New Roman" w:hAnsi="Times New Roman" w:cs="Times New Roman"/>
        </w:rPr>
        <w:t xml:space="preserve">The Equality in Employment Directive was the second piece of EU anti-discrimination legislation generated after the EU was delegated </w:t>
      </w:r>
      <w:r>
        <w:rPr>
          <w:rFonts w:ascii="Times New Roman" w:hAnsi="Times New Roman" w:cs="Times New Roman"/>
        </w:rPr>
        <w:t>the competency to act in this policy area</w:t>
      </w:r>
      <w:r w:rsidRPr="00B74863">
        <w:rPr>
          <w:rFonts w:ascii="Times New Roman" w:hAnsi="Times New Roman" w:cs="Times New Roman"/>
        </w:rPr>
        <w:t>.</w:t>
      </w:r>
      <w:r w:rsidRPr="00042CE3">
        <w:rPr>
          <w:rStyle w:val="EndnoteReference"/>
        </w:rPr>
        <w:endnoteReference w:id="6"/>
      </w:r>
      <w:r w:rsidRPr="00B74863">
        <w:rPr>
          <w:rFonts w:ascii="Times New Roman" w:hAnsi="Times New Roman" w:cs="Times New Roman"/>
        </w:rPr>
        <w:t xml:space="preserve"> It required member states pass national legislation banning discrimination based on an employee’s religious belief, age, disability, or sexual orientation. Despite widespread consensus in favor of the law, the same divisions that characterize past attempts to protect sexual minorities emerged again. In fact, the effect the Directive would have </w:t>
      </w:r>
      <w:r w:rsidR="00CF2C13">
        <w:rPr>
          <w:rFonts w:ascii="Times New Roman" w:hAnsi="Times New Roman" w:cs="Times New Roman"/>
        </w:rPr>
        <w:t>on</w:t>
      </w:r>
      <w:r w:rsidRPr="00B74863">
        <w:rPr>
          <w:rFonts w:ascii="Times New Roman" w:hAnsi="Times New Roman" w:cs="Times New Roman"/>
        </w:rPr>
        <w:t xml:space="preserve"> religious groups and employers was the key source of conflict in the Council of Ministers. The member states disagreed over how broad exemptions from these mandatory protections should be for religious employers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{"citationID":"lM8GtDKH","properties":{"formattedCitation":"(Thomson et al. 2012)","plainCitation":"(Thomson et al. 2012)"},"citationItems":[{"id":52,"uris":["http://zotero.org/users/local/jz89q5UV/items/I3G8NWEX"],"uri":["http://zotero.org/users/local/jz89q5UV/items/I3G8NWEX"],"itemData":{"id":52,"type":"article-journal","title":"A new dataset on decision-making in the European Union before and after the 2004 and 2007 enlargements (DEUII)","container-title":"Journal of European Public Policy","page":"604-622","volume":"19","issue":"4","source":"CrossRef","DOI":"10.1080/13501763.2012.662028","ISSN":"1350-1763, 1466-4429","language":"en","author":[{"family":"Thomson","given":"Robert"},{"family":"Arregui","given":"Javier"},{"family":"Leuffen","given":"Dirk"},{"family":"Costello","given":"Rory"},{"family":"Cross","given":"James"},{"family":"Hertz","given":"Robin"},{"family":"Jensen","given":"Thomas"}],"issued":{"date-parts":[["2012",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(Thomson et al. 2012)</w:t>
      </w:r>
      <w:r>
        <w:rPr>
          <w:rFonts w:ascii="Times New Roman" w:hAnsi="Times New Roman" w:cs="Times New Roman"/>
        </w:rPr>
        <w:fldChar w:fldCharType="end"/>
      </w:r>
      <w:r>
        <w:rPr>
          <w:rFonts w:ascii="Times New Roman" w:hAnsi="Times New Roman" w:cs="Times New Roman"/>
        </w:rPr>
        <w:t>.</w:t>
      </w:r>
      <w:r w:rsidRPr="00042CE3">
        <w:rPr>
          <w:rStyle w:val="EndnoteReference"/>
        </w:rPr>
        <w:endnoteReference w:id="7"/>
      </w:r>
      <w:r w:rsidRPr="00B74863">
        <w:rPr>
          <w:rFonts w:ascii="Times New Roman" w:hAnsi="Times New Roman" w:cs="Times New Roman"/>
        </w:rPr>
        <w:t xml:space="preserve">  Those that favored a broad exemption were Ireland, the United Kingdom and Germany. Ireland’s four main churches, led by the Catholic Church, lobbied for the broadest possible exemption for religious employers.</w:t>
      </w:r>
      <w:r w:rsidRPr="00042CE3">
        <w:rPr>
          <w:rStyle w:val="EndnoteReference"/>
        </w:rPr>
        <w:endnoteReference w:id="8"/>
      </w:r>
      <w:r w:rsidRPr="00B74863">
        <w:rPr>
          <w:rFonts w:ascii="Times New Roman" w:hAnsi="Times New Roman" w:cs="Times New Roman"/>
        </w:rPr>
        <w:t xml:space="preserve"> Indeed, Ireland threatened to veto the entire Directive if a </w:t>
      </w:r>
      <w:r w:rsidRPr="00B74863">
        <w:rPr>
          <w:rFonts w:ascii="Times New Roman" w:hAnsi="Times New Roman" w:cs="Times New Roman"/>
        </w:rPr>
        <w:lastRenderedPageBreak/>
        <w:t>broad exemption was not included.</w:t>
      </w:r>
      <w:r w:rsidRPr="00042CE3">
        <w:rPr>
          <w:rStyle w:val="EndnoteReference"/>
        </w:rPr>
        <w:endnoteReference w:id="9"/>
      </w:r>
      <w:r w:rsidRPr="00B74863">
        <w:rPr>
          <w:rFonts w:ascii="Times New Roman" w:hAnsi="Times New Roman" w:cs="Times New Roman"/>
        </w:rPr>
        <w:t xml:space="preserve"> In the UK, even though Labour was in power and favored the general expansion of workers’ rights, it bowed to pressure from conservative Christian groups to oppose a narrow exemption for religious employers.</w:t>
      </w:r>
      <w:r w:rsidRPr="00042CE3">
        <w:rPr>
          <w:rStyle w:val="EndnoteReference"/>
        </w:rPr>
        <w:endnoteReference w:id="10"/>
      </w:r>
      <w:r w:rsidRPr="00B74863">
        <w:rPr>
          <w:rFonts w:ascii="Times New Roman" w:hAnsi="Times New Roman" w:cs="Times New Roman"/>
        </w:rPr>
        <w:t xml:space="preserve"> As Lady Young, a Conservative Peer in the House of Lords argued, the Equality Directive with a narrow exemption would “make it illegal for a church to require Christian staff to fill posts such as the minister's secretary or the church vicar. Atheists and practicing homosexuals would be given just as much legal right to these posts as Christians.”</w:t>
      </w:r>
      <w:r w:rsidRPr="00042CE3">
        <w:rPr>
          <w:rStyle w:val="EndnoteReference"/>
        </w:rPr>
        <w:endnoteReference w:id="11"/>
      </w:r>
      <w:r w:rsidRPr="00B74863">
        <w:rPr>
          <w:rFonts w:ascii="Times New Roman" w:hAnsi="Times New Roman" w:cs="Times New Roman"/>
        </w:rPr>
        <w:t xml:space="preserve"> </w:t>
      </w:r>
    </w:p>
    <w:p w14:paraId="18DD1E4A" w14:textId="6659AAEA" w:rsidR="00B03BE7" w:rsidRPr="00B74863" w:rsidRDefault="00B03BE7" w:rsidP="005453AB">
      <w:pPr>
        <w:spacing w:line="480" w:lineRule="auto"/>
        <w:ind w:firstLine="360"/>
        <w:rPr>
          <w:rFonts w:ascii="Times New Roman" w:hAnsi="Times New Roman" w:cs="Times New Roman"/>
        </w:rPr>
      </w:pPr>
      <w:r w:rsidRPr="00B74863">
        <w:rPr>
          <w:rFonts w:ascii="Times New Roman" w:hAnsi="Times New Roman" w:cs="Times New Roman"/>
        </w:rPr>
        <w:t xml:space="preserve">  In opposition to these broad exemptions were France</w:t>
      </w:r>
      <w:r w:rsidR="00CF2C13">
        <w:rPr>
          <w:rFonts w:ascii="Times New Roman" w:hAnsi="Times New Roman" w:cs="Times New Roman"/>
        </w:rPr>
        <w:t xml:space="preserve"> and Belgium</w:t>
      </w:r>
      <w:r w:rsidRPr="00B74863">
        <w:rPr>
          <w:rFonts w:ascii="Times New Roman" w:hAnsi="Times New Roman" w:cs="Times New Roman"/>
        </w:rPr>
        <w:t>. French social affairs minister Martin Aubry argued that the Directive as it stood protected religious institutions because those who were engaged in such activities, such as Sunday School instruction, would be protected on the grounds of religious faith.</w:t>
      </w:r>
      <w:r w:rsidRPr="00042CE3">
        <w:rPr>
          <w:rStyle w:val="EndnoteReference"/>
        </w:rPr>
        <w:endnoteReference w:id="12"/>
      </w:r>
      <w:r w:rsidRPr="00B74863">
        <w:rPr>
          <w:rFonts w:ascii="Times New Roman" w:hAnsi="Times New Roman" w:cs="Times New Roman"/>
        </w:rPr>
        <w:t xml:space="preserve"> The rest of the EU and the Commission, while somewhere in the middle, leaned towards the French and Belgian position. </w:t>
      </w:r>
      <w:r>
        <w:rPr>
          <w:rFonts w:ascii="Times New Roman" w:hAnsi="Times New Roman" w:cs="Times New Roman"/>
        </w:rPr>
        <w:t>What explains the division in the Council of Ministers over this provision? And did those factors affect</w:t>
      </w:r>
      <w:r w:rsidR="00DF7E37">
        <w:rPr>
          <w:rFonts w:ascii="Times New Roman" w:hAnsi="Times New Roman" w:cs="Times New Roman"/>
        </w:rPr>
        <w:t xml:space="preserve"> </w:t>
      </w:r>
      <w:r w:rsidR="00CF2C13">
        <w:rPr>
          <w:rFonts w:ascii="Times New Roman" w:hAnsi="Times New Roman" w:cs="Times New Roman"/>
        </w:rPr>
        <w:t xml:space="preserve">the cross-national variation </w:t>
      </w:r>
      <w:r w:rsidR="00707635">
        <w:rPr>
          <w:rFonts w:ascii="Times New Roman" w:hAnsi="Times New Roman" w:cs="Times New Roman"/>
        </w:rPr>
        <w:t xml:space="preserve">in compliance behavior </w:t>
      </w:r>
      <w:r w:rsidR="00DF7E37">
        <w:rPr>
          <w:rFonts w:ascii="Times New Roman" w:hAnsi="Times New Roman" w:cs="Times New Roman"/>
        </w:rPr>
        <w:t>observed during its transposition into domestic law?</w:t>
      </w:r>
    </w:p>
    <w:p w14:paraId="0202B7FF" w14:textId="7E4D64E9" w:rsidR="00B03BE7" w:rsidRPr="00ED2605" w:rsidRDefault="00B03BE7" w:rsidP="00ED2605">
      <w:pPr>
        <w:pStyle w:val="ListParagraph"/>
        <w:numPr>
          <w:ilvl w:val="0"/>
          <w:numId w:val="16"/>
        </w:numPr>
        <w:spacing w:line="480" w:lineRule="auto"/>
        <w:rPr>
          <w:rFonts w:ascii="Times New Roman" w:hAnsi="Times New Roman" w:cs="Times New Roman"/>
          <w:i/>
        </w:rPr>
      </w:pPr>
      <w:r w:rsidRPr="00ED2605">
        <w:rPr>
          <w:rFonts w:ascii="Times New Roman" w:hAnsi="Times New Roman" w:cs="Times New Roman"/>
          <w:i/>
        </w:rPr>
        <w:t>Explaining Church Opposition: Interests and Morality</w:t>
      </w:r>
    </w:p>
    <w:p w14:paraId="4262FC56" w14:textId="41CCF83B" w:rsidR="006C51FA" w:rsidRDefault="00B03BE7" w:rsidP="00B33D39">
      <w:pPr>
        <w:spacing w:line="480" w:lineRule="auto"/>
        <w:ind w:firstLine="360"/>
        <w:rPr>
          <w:rFonts w:ascii="Times New Roman" w:hAnsi="Times New Roman" w:cs="Times New Roman"/>
        </w:rPr>
      </w:pPr>
      <w:r>
        <w:rPr>
          <w:rFonts w:ascii="Times New Roman" w:hAnsi="Times New Roman" w:cs="Times New Roman"/>
        </w:rPr>
        <w:t xml:space="preserve">Although religious groups attempt to represent the divine, they </w:t>
      </w:r>
      <w:r w:rsidR="004478A2">
        <w:rPr>
          <w:rFonts w:ascii="Times New Roman" w:hAnsi="Times New Roman" w:cs="Times New Roman"/>
        </w:rPr>
        <w:t xml:space="preserve">also </w:t>
      </w:r>
      <w:r>
        <w:rPr>
          <w:rFonts w:ascii="Times New Roman" w:hAnsi="Times New Roman" w:cs="Times New Roman"/>
        </w:rPr>
        <w:t xml:space="preserve">have strong earthly interests. Although their political goals have varied across history, it has always been to limit the state, as a secular actor, from impinging on the special privileges and </w:t>
      </w:r>
      <w:r w:rsidR="004478A2">
        <w:rPr>
          <w:rFonts w:ascii="Times New Roman" w:hAnsi="Times New Roman" w:cs="Times New Roman"/>
        </w:rPr>
        <w:t>roles they have in</w:t>
      </w:r>
      <w:r w:rsidR="00CF2C13">
        <w:rPr>
          <w:rFonts w:ascii="Times New Roman" w:hAnsi="Times New Roman" w:cs="Times New Roman"/>
        </w:rPr>
        <w:t xml:space="preserve"> shaping</w:t>
      </w:r>
      <w:r>
        <w:rPr>
          <w:rFonts w:ascii="Times New Roman" w:hAnsi="Times New Roman" w:cs="Times New Roman"/>
        </w:rPr>
        <w:t xml:space="preserve"> public policy </w:t>
      </w:r>
      <w:r w:rsidR="004478A2">
        <w:rPr>
          <w:rFonts w:ascii="Times New Roman" w:hAnsi="Times New Roman" w:cs="Times New Roman"/>
        </w:rPr>
        <w:t xml:space="preserve">when </w:t>
      </w:r>
      <w:r w:rsidR="00CF2C13">
        <w:rPr>
          <w:rFonts w:ascii="Times New Roman" w:hAnsi="Times New Roman" w:cs="Times New Roman"/>
        </w:rPr>
        <w:t>using their</w:t>
      </w:r>
      <w:r>
        <w:rPr>
          <w:rFonts w:ascii="Times New Roman" w:hAnsi="Times New Roman" w:cs="Times New Roman"/>
        </w:rPr>
        <w:t xml:space="preserve"> moral authority. In the late Middle Ages, </w:t>
      </w:r>
      <w:r w:rsidR="00CF2C13">
        <w:rPr>
          <w:rFonts w:ascii="Times New Roman" w:hAnsi="Times New Roman" w:cs="Times New Roman"/>
        </w:rPr>
        <w:t>during</w:t>
      </w:r>
      <w:r>
        <w:rPr>
          <w:rFonts w:ascii="Times New Roman" w:hAnsi="Times New Roman" w:cs="Times New Roman"/>
        </w:rPr>
        <w:t xml:space="preserve"> </w:t>
      </w:r>
      <w:r w:rsidR="00CF2C13">
        <w:rPr>
          <w:rFonts w:ascii="Times New Roman" w:hAnsi="Times New Roman" w:cs="Times New Roman"/>
        </w:rPr>
        <w:t>early</w:t>
      </w:r>
      <w:r>
        <w:rPr>
          <w:rFonts w:ascii="Times New Roman" w:hAnsi="Times New Roman" w:cs="Times New Roman"/>
        </w:rPr>
        <w:t xml:space="preserve"> national state formation, </w:t>
      </w:r>
      <w:r w:rsidR="00CF2C13">
        <w:rPr>
          <w:rFonts w:ascii="Times New Roman" w:hAnsi="Times New Roman" w:cs="Times New Roman"/>
        </w:rPr>
        <w:t xml:space="preserve">the Reformation </w:t>
      </w:r>
      <w:r>
        <w:rPr>
          <w:rFonts w:ascii="Times New Roman" w:hAnsi="Times New Roman" w:cs="Times New Roman"/>
        </w:rPr>
        <w:t xml:space="preserve">was undermining the Catholic Church’s authority and legitimacy over both monarchs and laypeople. </w:t>
      </w:r>
      <w:r w:rsidR="00707635">
        <w:rPr>
          <w:rFonts w:ascii="Times New Roman" w:hAnsi="Times New Roman" w:cs="Times New Roman"/>
        </w:rPr>
        <w:t xml:space="preserve">They collaborated with Catholic monarchs to try to defeat the advancement of Protestantism. </w:t>
      </w:r>
      <w:r>
        <w:rPr>
          <w:rFonts w:ascii="Times New Roman" w:hAnsi="Times New Roman" w:cs="Times New Roman"/>
        </w:rPr>
        <w:t>In the 19</w:t>
      </w:r>
      <w:r w:rsidRPr="0084273A">
        <w:rPr>
          <w:rFonts w:ascii="Times New Roman" w:hAnsi="Times New Roman" w:cs="Times New Roman"/>
          <w:vertAlign w:val="superscript"/>
        </w:rPr>
        <w:t>th</w:t>
      </w:r>
      <w:r>
        <w:rPr>
          <w:rFonts w:ascii="Times New Roman" w:hAnsi="Times New Roman" w:cs="Times New Roman"/>
        </w:rPr>
        <w:t xml:space="preserve"> century, the spread of democracy threatened the Catholic Chu</w:t>
      </w:r>
      <w:r w:rsidR="00CF2C13">
        <w:rPr>
          <w:rFonts w:ascii="Times New Roman" w:hAnsi="Times New Roman" w:cs="Times New Roman"/>
        </w:rPr>
        <w:t xml:space="preserve">rch’s special legal privileges, the </w:t>
      </w:r>
      <w:r>
        <w:rPr>
          <w:rFonts w:ascii="Times New Roman" w:hAnsi="Times New Roman" w:cs="Times New Roman"/>
        </w:rPr>
        <w:t xml:space="preserve">control over the delivery of </w:t>
      </w:r>
      <w:r>
        <w:rPr>
          <w:rFonts w:ascii="Times New Roman" w:hAnsi="Times New Roman" w:cs="Times New Roman"/>
        </w:rPr>
        <w:lastRenderedPageBreak/>
        <w:t xml:space="preserve">different social services, especially education, and their property. As consequence, they worked with Catholic lay leaders to form Christian Democratic parties that would defend their interests against the liberal state </w:t>
      </w:r>
      <w:r>
        <w:rPr>
          <w:rFonts w:ascii="Times New Roman" w:hAnsi="Times New Roman" w:cs="Times New Roman"/>
        </w:rPr>
        <w:fldChar w:fldCharType="begin"/>
      </w:r>
      <w:r>
        <w:rPr>
          <w:rFonts w:ascii="Times New Roman" w:hAnsi="Times New Roman" w:cs="Times New Roman"/>
        </w:rPr>
        <w:instrText xml:space="preserve"> ADDIN ZOTERO_ITEM CSL_CITATION {"citationID":"myDRPNUA","properties":{"formattedCitation":"(Warner 2000; Kalyvas 1996)","plainCitation":"(Warner 2000; Kalyvas 1996)"},"citationItems":[{"id":1112,"uris":["http://zotero.org/users/local/jz89q5UV/items/7B7D2UK6"],"uri":["http://zotero.org/users/local/jz89q5UV/items/7B7D2UK6"],"itemData":{"id":1112,"type":"book","title":"Confessions of an Interest Group: The Catholic Church and Political Parties in Europe","publisher":"Princeton University Press","number-of-pages":"267","source":"Google Books","abstract":"Following World War II, the Catholic Church in Europe faced the challenge of establishing political influence with newly emerging democratic governments. The Church became, as Carolyn Warner pointedly argues, an interest group like any other, seeking to attain and solidify its influence by forming alliances with political parties. The author analyzes the Church's differing strategies in Italy, France, and Germany using microeconomic theories of the firm and historical institutionalism. She demonstrates how only a strategic perspective can explain the choice and longevity of the alliances in each case. In so doing, the author challenges earlier work that ignores the costs to interest groups and parties of sustaining or breaking their reciprocal links.  Confessions of an Interest Group challenges the view of the Catholic Church as solely a moral force whose interests are seamlessly represented by the Christian Democratic parties. Blending theory, cultural narrative, and archival research, Warner demonstrates that the French Church's superficial and brief connection with a political party was directly related to its loss of political influence during the War. The Italian Church's power, on the other hand, remained stable through the War, so the Church and the Christian Democrats more easily found multiple grounds for long-term cooperation. The German Church chose yet another path, reluctantly aligning itself with a new Catholic-Protestant party. This book is an important work that expands the growing literature on the economics of religion, interest group behavior, and the politics of the Catholic Church.","ISBN":"1-4008-2368-4","shortTitle":"Confessions of an Interest Group","language":"en","author":[{"family":"Warner","given":"Carolyn M."}],"issued":{"date-parts":[["2000",3,27]]}}},{"id":1306,"uris":["http://zotero.org/users/local/jz89q5UV/items/XU8N2HP4"],"uri":["http://zotero.org/users/local/jz89q5UV/items/XU8N2HP4"],"itemData":{"id":1306,"type":"book","title":"The Rise of Christian Democracy in Europe","collection-title":"The Wilder House Series in Politics, History and Culture","publisher":"Cornell University Press","publisher-place":"Ithaca, NY","number-of-pages":"344","source":"Cornell University Press","event-place":"Ithaca, NY","abstract":"Although dominant in West European politics for more than a century, Christian Democratic parties remain largely unexplored and little understood. An investigation of how political identities and parties form, this book considers the origins of Christian Democratic \"confessional\" parties within the political context of Western Europe.   \nExamining five countries where a successful confessional party emerged (Belgium, the Netherlands, Austria, Germany, and Italy) and one where it did not (France), Stathis N. Kalyvas addresses perplexing questions raised by the Christian Democratic phenomenon. How can we reconcile the religious roots of these parties with their tremendous success and resilience in secular and democratic Western Europe? Why have these parties discarded their initial principles and objectives to become secular forces governing secular societies? The author's answers reveal the way in which social and political actors make decisions based on self-interest under conditions that constrain their choices and the information they rely on—often with unintended but irrevocable consequences.  \nKalyvas also lays a foundation for a theory of the Christian Democratic phenomenon which would specify the conditions under which confessional parties succeed and would determine the impact of such parties, and the way they are formed, on politics and society. Drawing from political science, sociology, and history, his analysis goes beyond Christian Democracy to address issues related to the methodology of political science, the theory of party formation, the political development of Europe, the relationship between religion and politics, the construction of collective political identities, and the role of agency and contingency in politics.","ISBN":"978-0-8014-8320-2","author":[{"family":"Kalyvas","given":"Stathis N."}],"issued":{"date-parts":[["1996",8,8]]}}}],"schema":"https://github.com/citation-style-language/schema/raw/master/csl-citation.json"}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(Warner 2000; Kalyvas 1996)</w:t>
      </w:r>
      <w:r>
        <w:rPr>
          <w:rFonts w:ascii="Times New Roman" w:hAnsi="Times New Roman" w:cs="Times New Roman"/>
        </w:rPr>
        <w:fldChar w:fldCharType="end"/>
      </w:r>
      <w:r>
        <w:rPr>
          <w:rFonts w:ascii="Times New Roman" w:hAnsi="Times New Roman" w:cs="Times New Roman"/>
        </w:rPr>
        <w:t>. In the modern period, they are fighting for followers, revenues, and moral authority</w:t>
      </w:r>
      <w:r w:rsidR="00CF2C13">
        <w:rPr>
          <w:rFonts w:ascii="Times New Roman" w:hAnsi="Times New Roman" w:cs="Times New Roman"/>
        </w:rPr>
        <w:t xml:space="preserve"> against competing faith groups and </w:t>
      </w:r>
      <w:r w:rsidR="00F46B37">
        <w:rPr>
          <w:rFonts w:ascii="Times New Roman" w:hAnsi="Times New Roman" w:cs="Times New Roman"/>
        </w:rPr>
        <w:t xml:space="preserve">alternative </w:t>
      </w:r>
      <w:r w:rsidR="00CF2C13">
        <w:rPr>
          <w:rFonts w:ascii="Times New Roman" w:hAnsi="Times New Roman" w:cs="Times New Roman"/>
        </w:rPr>
        <w:t xml:space="preserve">modes of </w:t>
      </w:r>
      <w:r w:rsidR="00F46B37">
        <w:rPr>
          <w:rFonts w:ascii="Times New Roman" w:hAnsi="Times New Roman" w:cs="Times New Roman"/>
        </w:rPr>
        <w:t xml:space="preserve">creating </w:t>
      </w:r>
      <w:r w:rsidR="00CF2C13">
        <w:rPr>
          <w:rFonts w:ascii="Times New Roman" w:hAnsi="Times New Roman" w:cs="Times New Roman"/>
        </w:rPr>
        <w:t>social solidarity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{"citationID":"f49QM4UC","properties":{"formattedCitation":"(Gill 2007)","plainCitation":"(Gill 2007)"},"citationItems":[{"id":1348,"uris":["http://zotero.org/users/local/jz89q5UV/items/ZNUJJCIF"],"uri":["http://zotero.org/users/local/jz89q5UV/items/ZNUJJCIF"],"itemData":{"id":1348,"type":"book","title":"The Political Origins of Religious Liberty","publisher":"Cambridge University Press","number-of-pages":"281","source":"Google Books","abstract":"The issue of religious liberty has gained ever-increasing attention among policy makers and the public. Whereas politicians have long championed the idea of religious freedom and tolerance, the actual achievement of these goals has been an arduous battle for religious minorities. What motivates political leaders to create laws providing for greater religious liberty? In contrast to scholars who argue that religious liberty results from the spread of secularization and modern ideas, Anthony Gill argues that religious liberty results from interest-based calculations of secular rulers. Using insights from political economists, Gill develops a theory of the origins of religious liberty based upon the political and economic interests of governing officials. Political leaders are most likely to permit religious freedom when it enhances their own political survival, tax revenue, and the economic welfare of their country. He explores his theory using cases from British America, Latin America, Russia, and the Baltic states.","ISBN":"978-1-139-46763-6","language":"en","author":[{"family":"Gill","given":"Anthony"}],"issued":{"date-parts":[["2007",10,29]]}}}],"schema":"https://github.com/citation-style-language/schema/raw/master/csl-citation.json"}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(Gill 2007)</w:t>
      </w:r>
      <w:r>
        <w:rPr>
          <w:rFonts w:ascii="Times New Roman" w:hAnsi="Times New Roman" w:cs="Times New Roman"/>
        </w:rPr>
        <w:fldChar w:fldCharType="end"/>
      </w:r>
      <w:r>
        <w:rPr>
          <w:rFonts w:ascii="Times New Roman" w:hAnsi="Times New Roman" w:cs="Times New Roman"/>
        </w:rPr>
        <w:t xml:space="preserve">. They also attempt to shape national public policy, even when national citizens do not approve of their influence in secular politics </w:t>
      </w:r>
      <w:r>
        <w:rPr>
          <w:rFonts w:ascii="Times New Roman" w:hAnsi="Times New Roman" w:cs="Times New Roman"/>
        </w:rPr>
        <w:fldChar w:fldCharType="begin"/>
      </w:r>
      <w:r>
        <w:rPr>
          <w:rFonts w:ascii="Times New Roman" w:hAnsi="Times New Roman" w:cs="Times New Roman"/>
        </w:rPr>
        <w:instrText xml:space="preserve"> ADDIN ZOTERO_ITEM CSL_CITATION {"citationID":"Tqp8cJMb","properties":{"formattedCitation":"(Grzymala-Busse 2015)","plainCitation":"(Grzymala-Busse 2015)"},"citationItems":[{"id":1419,"uris":["http://zotero.org/users/local/jz89q5UV/items/VZ3HI5K6"],"uri":["http://zotero.org/users/local/jz89q5UV/items/VZ3HI5K6"],"itemData":{"id":1419,"type":"book","title":"Nations under God: How Churches Use Moral Authority to Influence Policy","publisher":"Princeton University Press","publisher-place":"Princeton","number-of-pages":"440","source":"Amazon","event-place":"Princeton","abstract":"In some religious countries, churches have drafted constitutions, restricted abortion, and controlled education. In others, church influence on public policy is far weaker. Why? Nations under God argues that where religious and national identities have historically fused, churches gain enormous moral authority--and covert institutional access. These powerful churches then shape policy in backrooms and secret meetings instead of through open democratic channels such as political parties or the ballot box.Through an in-depth historical analysis of six Christian democracies that share similar religious profiles yet differ in their policy outcomes--Ireland and Italy, Poland and Croatia, and the United States and Canada--Anna Grzyma?a-Busse examines how churches influenced education, abortion, divorce, stem cell research, and same-sex marriage. She argues that churches gain the greatest political advantage when they appear to be above politics. Because institutional access is covert, they retain their moral authority and their reputation as defenders of the national interest and the common good.Nations under God shows how powerful church officials in Ireland, Canada, and Poland have directly written legislation, vetoed policies, and vetted high-ranking officials. It demonstrates that religiosity itself is not enough for churches to influence politics--churches in Italy and Croatia, for example, are not as influential as we might think--and that churches allied to political parties, such as in the United States, have less influence than their notoriety suggests.","ISBN":"978-0-691-16476-2","shortTitle":"Nations under God","language":"English","author":[{"family":"Grzymala-Busse","given":"Anna"}],"issued":{"date-parts":[["2015",4,27]]}}}],"schema":"https://github.com/citation-style-language/schema/raw/master/csl-citation.json"}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(Grzymala-Busse 2015)</w:t>
      </w:r>
      <w:r>
        <w:rPr>
          <w:rFonts w:ascii="Times New Roman" w:hAnsi="Times New Roman" w:cs="Times New Roman"/>
        </w:rPr>
        <w:fldChar w:fldCharType="end"/>
      </w:r>
      <w:r>
        <w:rPr>
          <w:rFonts w:ascii="Times New Roman" w:hAnsi="Times New Roman" w:cs="Times New Roman"/>
        </w:rPr>
        <w:t>.</w:t>
      </w:r>
    </w:p>
    <w:p w14:paraId="136A5622" w14:textId="50444F94" w:rsidR="00B03BE7" w:rsidRDefault="00B03BE7" w:rsidP="006C51FA">
      <w:pPr>
        <w:spacing w:line="480" w:lineRule="auto"/>
        <w:ind w:firstLine="360"/>
        <w:rPr>
          <w:rFonts w:ascii="Times New Roman" w:hAnsi="Times New Roman" w:cs="Times New Roman"/>
        </w:rPr>
      </w:pPr>
      <w:r>
        <w:rPr>
          <w:rFonts w:ascii="Times New Roman" w:hAnsi="Times New Roman" w:cs="Times New Roman"/>
        </w:rPr>
        <w:t xml:space="preserve">Even in light of a wide range of approaches to understanding the role of Christianity in Western democratic politics, scholars are in broad consensus </w:t>
      </w:r>
      <w:r w:rsidR="00F46B37">
        <w:rPr>
          <w:rFonts w:ascii="Times New Roman" w:hAnsi="Times New Roman" w:cs="Times New Roman"/>
        </w:rPr>
        <w:t>over which</w:t>
      </w:r>
      <w:r>
        <w:rPr>
          <w:rFonts w:ascii="Times New Roman" w:hAnsi="Times New Roman" w:cs="Times New Roman"/>
        </w:rPr>
        <w:t xml:space="preserve"> interests they are trying to defend</w:t>
      </w:r>
      <w:r w:rsidRPr="00B74863">
        <w:rPr>
          <w:rFonts w:ascii="Times New Roman" w:hAnsi="Times New Roman" w:cs="Times New Roman"/>
        </w:rPr>
        <w:t>.</w:t>
      </w:r>
      <w:r>
        <w:rPr>
          <w:rFonts w:ascii="Times New Roman" w:hAnsi="Times New Roman" w:cs="Times New Roman"/>
        </w:rPr>
        <w:t xml:space="preserve"> Their core interests are twofold. First, they want </w:t>
      </w:r>
      <w:r w:rsidR="00707635">
        <w:rPr>
          <w:rFonts w:ascii="Times New Roman" w:hAnsi="Times New Roman" w:cs="Times New Roman"/>
        </w:rPr>
        <w:t xml:space="preserve">to </w:t>
      </w:r>
      <w:r>
        <w:rPr>
          <w:rFonts w:ascii="Times New Roman" w:hAnsi="Times New Roman" w:cs="Times New Roman"/>
        </w:rPr>
        <w:t xml:space="preserve">provide moral </w:t>
      </w:r>
      <w:r w:rsidR="00F46B37">
        <w:rPr>
          <w:rFonts w:ascii="Times New Roman" w:hAnsi="Times New Roman" w:cs="Times New Roman"/>
        </w:rPr>
        <w:t>guidance through their authority</w:t>
      </w:r>
      <w:r>
        <w:rPr>
          <w:rFonts w:ascii="Times New Roman" w:hAnsi="Times New Roman" w:cs="Times New Roman"/>
        </w:rPr>
        <w:t xml:space="preserve">, help followers make sense of the world, provide a philosophy and moral code of conduct that is universal and unassailable. They want to </w:t>
      </w:r>
      <w:r w:rsidR="00707635">
        <w:rPr>
          <w:rFonts w:ascii="Times New Roman" w:hAnsi="Times New Roman" w:cs="Times New Roman"/>
        </w:rPr>
        <w:t>have exclusive influence over the</w:t>
      </w:r>
      <w:r>
        <w:rPr>
          <w:rFonts w:ascii="Times New Roman" w:hAnsi="Times New Roman" w:cs="Times New Roman"/>
        </w:rPr>
        <w:t xml:space="preserve"> beliefs individuals </w:t>
      </w:r>
      <w:r w:rsidR="00707635">
        <w:rPr>
          <w:rFonts w:ascii="Times New Roman" w:hAnsi="Times New Roman" w:cs="Times New Roman"/>
        </w:rPr>
        <w:t xml:space="preserve">such that the public will </w:t>
      </w:r>
      <w:r>
        <w:rPr>
          <w:rFonts w:ascii="Times New Roman" w:hAnsi="Times New Roman" w:cs="Times New Roman"/>
        </w:rPr>
        <w:t>follow their catechisms</w:t>
      </w:r>
      <w:r w:rsidR="00707635">
        <w:rPr>
          <w:rFonts w:ascii="Times New Roman" w:hAnsi="Times New Roman" w:cs="Times New Roman"/>
        </w:rPr>
        <w:t xml:space="preserve"> and moral proscriptions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{"citationID":"lkmRKLS2","properties":{"formattedCitation":"(Warner 2000, 7)","plainCitation":"(Warner 2000, 7)"},"citationItems":[{"id":1112,"uris":["http://zotero.org/users/local/jz89q5UV/items/7B7D2UK6"],"uri":["http://zotero.org/users/local/jz89q5UV/items/7B7D2UK6"],"itemData":{"id":1112,"type":"book","title":"Confessions of an Interest Group: The Catholic Church and Political Parties in Europe","publisher":"Princeton University Press","number-of-pages":"267","source":"Google Books","abstract":"Following World War II, the Catholic Church in Europe faced the challenge of establishing political influence with newly emerging democratic governments. The Church became, as Carolyn Warner pointedly argues, an interest group like any other, seeking to attain and solidify its influence by forming alliances with political parties. The author analyzes the Church's differing strategies in Italy, France, and Germany using microeconomic theories of the firm and historical institutionalism. She demonstrates how only a strategic perspective can explain the choice and longevity of the alliances in each case. In so doing, the author challenges earlier work that ignores the costs to interest groups and parties of sustaining or breaking their reciprocal links.  Confessions of an Interest Group challenges the view of the Catholic Church as solely a moral force whose interests are seamlessly represented by the Christian Democratic parties. Blending theory, cultural narrative, and archival research, Warner demonstrates that the French Church's superficial and brief connection with a political party was directly related to its loss of political influence during the War. The Italian Church's power, on the other hand, remained stable through the War, so the Church and the Christian Democrats more easily found multiple grounds for long-term cooperation. The German Church chose yet another path, reluctantly aligning itself with a new Catholic-Protestant party. This book is an important work that expands the growing literature on the economics of religion, interest group behavior, and the politics of the Catholic Church.","ISBN":"1-4008-2368-4","shortTitle":"Confessions of an Interest Group","language":"en","author":[{"family":"Warner","given":"Carolyn M."}],"issued":{"date-parts":[["2000",3,27]]}},"locator":"7"}],"schema":"https://github.com/citation-style-language/schema/raw/master/csl-citation.json"}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(Warner 2000, 7)</w:t>
      </w:r>
      <w:r>
        <w:rPr>
          <w:rFonts w:ascii="Times New Roman" w:hAnsi="Times New Roman" w:cs="Times New Roman"/>
        </w:rPr>
        <w:fldChar w:fldCharType="end"/>
      </w:r>
      <w:r>
        <w:rPr>
          <w:rFonts w:ascii="Times New Roman" w:hAnsi="Times New Roman" w:cs="Times New Roman"/>
        </w:rPr>
        <w:t xml:space="preserve">. Second, they want to maintain or expand the legal and institutional privileges that allow them to propagate that moral vision. This includes providing social services, receiving state </w:t>
      </w:r>
      <w:r w:rsidRPr="00DA6FE8">
        <w:rPr>
          <w:rFonts w:ascii="Times New Roman" w:hAnsi="Times New Roman" w:cs="Times New Roman"/>
        </w:rPr>
        <w:t xml:space="preserve">funding for such activities, </w:t>
      </w:r>
      <w:r w:rsidR="00F46B37">
        <w:rPr>
          <w:rFonts w:ascii="Times New Roman" w:hAnsi="Times New Roman" w:cs="Times New Roman"/>
        </w:rPr>
        <w:t>and remain immune from</w:t>
      </w:r>
      <w:r w:rsidRPr="00DA6FE8">
        <w:rPr>
          <w:rFonts w:ascii="Times New Roman" w:hAnsi="Times New Roman" w:cs="Times New Roman"/>
        </w:rPr>
        <w:t xml:space="preserve"> secular law that govern</w:t>
      </w:r>
      <w:r w:rsidR="00F46B37">
        <w:rPr>
          <w:rFonts w:ascii="Times New Roman" w:hAnsi="Times New Roman" w:cs="Times New Roman"/>
        </w:rPr>
        <w:t>s</w:t>
      </w:r>
      <w:r w:rsidRPr="00DA6FE8">
        <w:rPr>
          <w:rFonts w:ascii="Times New Roman" w:hAnsi="Times New Roman" w:cs="Times New Roman"/>
        </w:rPr>
        <w:t xml:space="preserve"> any other employer. In many EU member states, religious institutions are also the largest providers of social welfare in many European countries, especially in the field of education—both primary and secondary—but also elder care, emergency housing and shelter, and food assistance </w:t>
      </w:r>
      <w:r>
        <w:rPr>
          <w:rFonts w:ascii="Times New Roman" w:hAnsi="Times New Roman" w:cs="Times New Roman"/>
        </w:rPr>
        <w:fldChar w:fldCharType="begin"/>
      </w:r>
      <w:r>
        <w:rPr>
          <w:rFonts w:ascii="Times New Roman" w:hAnsi="Times New Roman" w:cs="Times New Roman"/>
        </w:rPr>
        <w:instrText xml:space="preserve"> ADDIN ZOTERO_ITEM CSL_CITATION {"citationID":"ya66tH0L","properties":{"formattedCitation":"(Kersbergen and Manow 2009; Wilson 2014)","plainCitation":"(Kersbergen and Manow 2009; Wilson 2014)"},"citationItems":[{"id":1153,"uris":["http://zotero.org/users/local/jz89q5UV/items/EVM5JX6U"],"uri":["http://zotero.org/users/local/jz89q5UV/items/EVM5JX6U"],"itemData":{"id":1153,"type":"book","title":"Religion, Class Coalitions, and Welfare States","publisher":"Cambridge University Press","number-of-pages":"318","edition":"1 edition","source":"Amazon","abstract":"This book radically revises established knowledge in comparative welfare state studies and introduces a new perspective on how religion shaped modern social protection systems. The interplay of societal cleavage structures and electoral rules produced the different political class coalitions sustaining the three welfare regimes of the Western world. In countries with proportional electoral systems the absence or presence of state–church conflicts decided whether class remained the dominant source of coalition building or whether a political logic not exclusively based on socio-economic interests (e.g. religion) was introduced into politics, particularly social policy. The political class-coalitions in countries with majoritarian systems, on the other hand, allowed only for the residual-liberal welfare state to emerge, as in the US or the UK. This book also reconsiders the role of Protestantism. Reformed Protestantism substantially delayed and restricted modern social policy. The Lutheran state churches positively contributed to the introduction of social protection programs.","language":"English","editor":[{"family":"Kersbergen","given":"Kees","dropping-particle":"van"},{"family":"Manow","given":"Philip"}],"issued":{"date-parts":[["2009",4,6]]}}},{"id":1155,"uris":["http://zotero.org/users/local/jz89q5UV/items/RQJ6BAAE"],"uri":["http://zotero.org/users/local/jz89q5UV/items/RQJ6BAAE"],"itemData":{"id":1155,"type":"book","title":"Why Europe Is Lesbian and Gay Friendly","publisher":"State University of New York Press","publisher-place":"Albany","number-of-pages":"208","source":"Amazon","event-place":"Albany","abstract":"Offers an analysis of  the political economy of care in order to explain how lesbian and gay citizens  in Europe benefit from equality more than those in the United States.Why  Europe Is Lesbian and Gay Friendly (and Why America  Never Will Be) examines the differences in politics, policy, and culture in  leading Western democracies and offers an explanation as to why lesbian and gay  citizens in Europe reap more benefits of  equality. This analysis of the political economy of care calls attention to the  ways in which care is negotiated by various investors (the state, families, individuals,  and the faith-based voluntary sector) and the power dynamics of this  negotiation. Historically, Christian churches  have been leading primary investors in care, providing a direct safety net for  children and the elderly. Despite European secularization, the involvement of  the Christian church elites in both the provision of service and the setting of  the values frame for welfare cannot be underestimated. The historical  involvement of Christian churches is unique in each country, but one common  factor is the normative interpretation of “the family.” The role of Christian  values—from left-leaning social justice, Reformed Protestant individualism, or  social conservatism—in relation to the political economy of care gives a  distinctive flavor to questions about under what circumstances policymakers are  compelled, or not, to expand policies to include lesbian and gay citizens.“Why is Europe lesbian and gay friendly—and  why will the US  never be? Angelia R. Wilson, in this admirable book, finds answers to this  question in unexpected places: the heritage of state-church relations, Europe’s single market policies, the crisis of care. By  casting her intellectual net that wide, she offers much more than an answer to  her book title’s question, and the reader gains nothing less than a much better  understanding of the political and moral complexity of social citizenship in  Europe and America.”  — Philip Manow, coeditor of Religion,  Class Coalitions, and Welfare States“The good news: Wilson’s innovative argument is  persuasive—‘gay and lesbian friendly’ policies have to be understood in the  context of the political economy of care.   In this way, she creatively adds to such usual suspects, as religiosity,  in comparing state policies about sexual inclusion. The bad news: for all the  news about gay marriage, the USA still does not come out well.” — Joan C.  Tronto, coeditor of Women Transforming Politics: An Alternative  Reader“Angelia R. Wilson’s comparative study of policies  affecting the well-being of lesbian and gay citizens in Europe and the United  States is thoroughly grounded in the literature of political science. On the  question of why European social policy is more supportive and inclusive of  lesbians and gay men than is true of the United States, she marshals primarily  qualitative evidence which is analyzed from several theoretical angles to reach  her conclusion. The perspectives developed in this work will contribute to  shaping the course of future debates over the question of how best to advance  the rights and well-being of all citizens.” — Charles W. Gossett, California  State University, Sacramento","ISBN":"978-1-4384-4728-5","language":"English","author":[{"family":"Wilson","given":"Angelia R."}],"issued":{"date-parts":[["2014",1,2]]}}}],"schema":"https://github.com/citation-style-language/schema/raw/master/csl-citation.json"}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(Kersbergen and Manow 2009; Wilson 2014)</w:t>
      </w:r>
      <w:r>
        <w:rPr>
          <w:rFonts w:ascii="Times New Roman" w:hAnsi="Times New Roman" w:cs="Times New Roman"/>
        </w:rPr>
        <w:fldChar w:fldCharType="end"/>
      </w:r>
      <w:r w:rsidRPr="00DA6FE8">
        <w:rPr>
          <w:rFonts w:ascii="Times New Roman" w:hAnsi="Times New Roman" w:cs="Times New Roman"/>
        </w:rPr>
        <w:t>.</w:t>
      </w:r>
    </w:p>
    <w:p w14:paraId="2204A504" w14:textId="62A5BFF2" w:rsidR="00B03BE7" w:rsidRPr="00B74863" w:rsidRDefault="00B03BE7" w:rsidP="00B33D39">
      <w:pPr>
        <w:spacing w:line="480" w:lineRule="auto"/>
        <w:ind w:firstLine="360"/>
        <w:rPr>
          <w:rFonts w:ascii="Times New Roman" w:hAnsi="Times New Roman" w:cs="Times New Roman"/>
        </w:rPr>
      </w:pPr>
      <w:r w:rsidRPr="00B74863">
        <w:rPr>
          <w:rFonts w:ascii="Times New Roman" w:hAnsi="Times New Roman" w:cs="Times New Roman"/>
        </w:rPr>
        <w:t>Religious groups’ main competitors are secular actors and the state itself as they struggle for authority over an individual’s beliefs and behavior</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{"citationID":"87mtJo86","properties":{"formattedCitation":"{\\rtf (Warner 2000, 27\\uc0\\u8211{}28)}","plainCitation":"(Warner 2000, 27–28)"},"citationItems":[{"id":1112,"uris":["http://zotero.org/users/local/jz89q5UV/items/7B7D2UK6"],"uri":["http://zotero.org/users/local/jz89q5UV/items/7B7D2UK6"],"itemData":{"id":1112,"type":"book","title":"Confessions of an Interest Group: The Catholic Church and Political Parties in Europe","publisher":"Princeton University Press","number-of-pages":"267","source":"Google Books","abstract":"Following World War II, the Catholic Church in Europe faced the challenge of establishing political influence with newly emerging democratic governments. The Church became, as Carolyn Warner pointedly argues, an interest group like any other, seeking to attain and solidify its influence by forming alliances with political parties. The author analyzes the Church's differing strategies in Italy, France, and Germany using microeconomic theories of the firm and historical institutionalism. She demonstrates how only a strategic perspective can explain the choice and longevity of the alliances in each case. In so doing, the author challenges earlier work that ignores the costs to interest groups and parties of sustaining or breaking their reciprocal links.  Confessions of an Interest Group challenges the view of the Catholic Church as solely a moral force whose interests are seamlessly represented by the Christian Democratic parties. Blending theory, cultural narrative, and archival research, Warner demonstrates that the French Church's superficial and brief connection with a political party was directly related to its loss of political influence during the War. The Italian Church's power, on the other hand, remained stable through the War, so the Church and the Christian Democrats more easily found multiple grounds for long-term cooperation. The German Church chose yet another path, reluctantly aligning itself with a new Catholic-Protestant party. This book is an important work that expands the growing literature on the economics of religion, interest group behavior, and the politics of the Catholic Church.","ISBN":"1-4008-2368-4","shortTitle":"Confessions of an Interest Group","language":"en","author":[{"family":"Warner","given":"Carolyn M."}],"issued":{"date-parts":[["2000",3,27]]}},"locator":"27-28"}],"schema":"https://github.com/citation-style-language/schema/raw/master/csl-citation.json"} </w:instrText>
      </w:r>
      <w:r>
        <w:rPr>
          <w:rFonts w:ascii="Times New Roman" w:hAnsi="Times New Roman" w:cs="Times New Roman"/>
        </w:rPr>
        <w:fldChar w:fldCharType="separate"/>
      </w:r>
      <w:r w:rsidRPr="00E271F0">
        <w:rPr>
          <w:rFonts w:ascii="Times New Roman" w:eastAsia="Times New Roman" w:hAnsi="Times New Roman" w:cs="Times New Roman"/>
        </w:rPr>
        <w:t>(Warner 2000, 27–28)</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Secular actors have “an ideology or set of beliefs advocating that religion ought to be separate from all or some </w:t>
      </w:r>
      <w:r w:rsidRPr="00B74863">
        <w:rPr>
          <w:rFonts w:ascii="Times New Roman" w:hAnsi="Times New Roman" w:cs="Times New Roman"/>
        </w:rPr>
        <w:lastRenderedPageBreak/>
        <w:t>aspects of politics and/or public life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{"citationID":"RK1TReav","properties":{"formattedCitation":"(Philpott 2009)","plainCitation":"(Philpott 2009)"},"citationItems":[{"id":1354,"uris":["http://zotero.org/users/local/jz89q5UV/items/GUGGN9RX"],"uri":["http://zotero.org/users/local/jz89q5UV/items/GUGGN9RX"],"itemData":{"id":1354,"type":"article-journal","title":"Has the Study of Global Politics Found Religion?","container-title":"Annual Review of Political Science","page":"183-202","volume":"12","issue":"1","source":"Annual Reviews","abstract":"The past generation has witnessed a resurgence of religion in global politics, but political science has been slow to catch up with it. The reason lies in the secularism embedded in the field's major theories, one that reflects actual secularism in world politics, beginning with the events surrounding the Peace of Westphalia in 1648 and growing steadily through the middle twentieth century. Today, a small but growing number of political scientists have begun to explore religion, doing so in ways that depart from secular assumptions and embrace religion's distinctiveness to greater and lesser degrees.","DOI":"10.1146/annurev.polisci.12.053006.125448","author":[{"family":"Philpott","given":"Daniel"}],"issued":{"date-parts":[["2009"]]}}}],"schema":"https://github.com/citation-style-language/schema/raw/master/csl-citation.json"}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(Philpott 2009)</w:t>
      </w:r>
      <w:r>
        <w:rPr>
          <w:rFonts w:ascii="Times New Roman" w:hAnsi="Times New Roman" w:cs="Times New Roman"/>
        </w:rPr>
        <w:fldChar w:fldCharType="end"/>
      </w:r>
      <w:r w:rsidRPr="00B74863">
        <w:rPr>
          <w:rFonts w:ascii="Times New Roman" w:hAnsi="Times New Roman" w:cs="Times New Roman"/>
        </w:rPr>
        <w:t xml:space="preserve">.” Their view is that religious groups or institutions should be governed by the same laws and regulations as any other group. Secular actors also try to restrict the influence religious actors have by relegating their messages to the private sphere and not allow them to shape public morality policy. </w:t>
      </w:r>
      <w:r w:rsidR="00707635">
        <w:rPr>
          <w:rFonts w:ascii="Times New Roman" w:hAnsi="Times New Roman" w:cs="Times New Roman"/>
        </w:rPr>
        <w:t>By adopting the Equality in Employment Directive, t</w:t>
      </w:r>
      <w:r w:rsidR="00F46B37">
        <w:rPr>
          <w:rFonts w:ascii="Times New Roman" w:hAnsi="Times New Roman" w:cs="Times New Roman"/>
        </w:rPr>
        <w:t xml:space="preserve">he European Union </w:t>
      </w:r>
      <w:r w:rsidR="00707635">
        <w:rPr>
          <w:rFonts w:ascii="Times New Roman" w:hAnsi="Times New Roman" w:cs="Times New Roman"/>
        </w:rPr>
        <w:t>has now become a new</w:t>
      </w:r>
      <w:r w:rsidR="00F46B37">
        <w:rPr>
          <w:rFonts w:ascii="Times New Roman" w:hAnsi="Times New Roman" w:cs="Times New Roman"/>
        </w:rPr>
        <w:t xml:space="preserve"> </w:t>
      </w:r>
      <w:r w:rsidR="00707635">
        <w:rPr>
          <w:rFonts w:ascii="Times New Roman" w:hAnsi="Times New Roman" w:cs="Times New Roman"/>
        </w:rPr>
        <w:t>secular challenge to religious authority and priviliege.</w:t>
      </w:r>
    </w:p>
    <w:p w14:paraId="2C2D26CD" w14:textId="7549BB22" w:rsidR="00B03BE7" w:rsidRPr="00B74863" w:rsidRDefault="00B03BE7" w:rsidP="00B33D39">
      <w:pPr>
        <w:spacing w:line="480" w:lineRule="auto"/>
        <w:ind w:firstLine="360"/>
        <w:rPr>
          <w:rFonts w:ascii="Times New Roman" w:hAnsi="Times New Roman" w:cs="Times New Roman"/>
        </w:rPr>
      </w:pPr>
      <w:r w:rsidRPr="00B74863">
        <w:rPr>
          <w:rFonts w:ascii="Times New Roman" w:hAnsi="Times New Roman" w:cs="Times New Roman"/>
        </w:rPr>
        <w:t xml:space="preserve">The “balance of power” that was created over centuries of struggles between </w:t>
      </w:r>
      <w:r w:rsidR="00F46B37">
        <w:rPr>
          <w:rFonts w:ascii="Times New Roman" w:hAnsi="Times New Roman" w:cs="Times New Roman"/>
        </w:rPr>
        <w:t xml:space="preserve">secular and religious authorities is arranged differently across EU member states. </w:t>
      </w:r>
      <w:r w:rsidRPr="00B74863">
        <w:rPr>
          <w:rFonts w:ascii="Times New Roman" w:hAnsi="Times New Roman" w:cs="Times New Roman"/>
        </w:rPr>
        <w:t xml:space="preserve">Some states developed closer, more supportive relationships with religious actors than others. For example, some European states give significant state funding to religious organizations for the purposes of </w:t>
      </w:r>
      <w:r>
        <w:rPr>
          <w:rFonts w:ascii="Times New Roman" w:hAnsi="Times New Roman" w:cs="Times New Roman"/>
        </w:rPr>
        <w:t>providing social services</w:t>
      </w:r>
      <w:r w:rsidRPr="00B74863">
        <w:rPr>
          <w:rFonts w:ascii="Times New Roman" w:hAnsi="Times New Roman" w:cs="Times New Roman"/>
        </w:rPr>
        <w:t>, while other states more directly subsidize the building and maintenance of church buildings and provide public salaries to clergymen. In some member states, religious groups receive tax exemptions or the government collects taxes on their behalf</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{"citationID":"sgmDDstU","properties":{"formattedCitation":"(Doe 2011)","plainCitation":"(Doe 2011)"},"citationItems":[{"id":1143,"uris":["http://zotero.org/users/local/jz89q5UV/items/NW8QI5DV"],"uri":["http://zotero.org/users/local/jz89q5UV/items/NW8QI5DV"],"itemData":{"id":1143,"type":"book","title":"Law and Religion in Europe: A Comparative Introduction","publisher":"Oxford University Press","number-of-pages":"334","source":"Oxford University Press","abstract":"Each state in Europe has its own national laws which affect religion and these are increasingly the subject of political and academic debate. This book provides a detailed comparative introduction to these laws with particular reference to the states of the European Union. A comparison of national laws on religion reveals profound similarities between them. From these emerge principles of law on religion common to the states of Europe and the book articulates these for the first time. It examines the constitutional postures of states towards religion, religious freedom, and discrimination, and the legal position, autonomy, and ministers of religious organizations. It also examines the protection of doctrine and worship, the property and finances of religion, religion, education, and public institutions, and religion, marriage, and children, as well as the fundamentals of the emergent European Union law on religion. The existence of these principles challenges the standard view in modern scholarship that there is little commonality in the legal postures of European states towards religion - it reveals that the dominant juridical model in Europe is that of cooperation between State and religion. The book also analyses national laws in the context of international laws on religion, particularly the European Convention on Human Rights. It proposes that national laws go further than these in their treatment and protection of religion, and that the principles of religion law common to the states of Europe may themselves represent a blueprint for the development of international norms in this field. The book provides a wealth of legal materials for scholars and students. The principles articulated in it also enable greater dialogue between law and disciplines beyond law, such as the sociology of religion, about the role of religion in Europe today. The book also identifies areas for further research in this regard, pointing the direction for future study.","ISBN":"978-0-19-960401-2","shortTitle":"Law and Religion in Europe","author":[{"family":"Doe","given":"Norman"}],"issued":{"date-parts":[["2011"]]}}}],"schema":"https://github.com/citation-style-language/schema/raw/master/csl-citation.json"}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(Doe 2011)</w:t>
      </w:r>
      <w:r>
        <w:rPr>
          <w:rFonts w:ascii="Times New Roman" w:hAnsi="Times New Roman" w:cs="Times New Roman"/>
        </w:rPr>
        <w:fldChar w:fldCharType="end"/>
      </w:r>
      <w:r>
        <w:rPr>
          <w:rFonts w:ascii="Times New Roman" w:hAnsi="Times New Roman" w:cs="Times New Roman"/>
        </w:rPr>
        <w:t xml:space="preserve">. </w:t>
      </w:r>
      <w:r w:rsidRPr="00B74863">
        <w:rPr>
          <w:rFonts w:ascii="Times New Roman" w:hAnsi="Times New Roman" w:cs="Times New Roman"/>
        </w:rPr>
        <w:t>They are placed in charge of social services and have significant influence over determining how those services are provided. For example, in Denmark, the Evangelical Lutheran Church, a state church, receives subsidies and devises the public-school curriculum, which includes a compulsory “Christian studies” class.</w:t>
      </w:r>
      <w:r w:rsidRPr="00042CE3">
        <w:rPr>
          <w:rStyle w:val="EndnoteReference"/>
        </w:rPr>
        <w:endnoteReference w:id="13"/>
      </w:r>
      <w:r w:rsidRPr="00B74863">
        <w:rPr>
          <w:rFonts w:ascii="Times New Roman" w:hAnsi="Times New Roman" w:cs="Times New Roman"/>
        </w:rPr>
        <w:t xml:space="preserve"> In Ireland, the Catholic Church has long held the responsibility of educating the national population; it operates more than 90% of all primary and secondary schools, can appoint its own administrators, and hire its own teachers. In countries that support the mission of religious organizations legally and materially, members of the clergy have special access to government leaders that not all secular leaders share. For example, members of the clergy sit as peers in the British House of Lords. </w:t>
      </w:r>
    </w:p>
    <w:p w14:paraId="5B36420A" w14:textId="086F0F32" w:rsidR="00B03BE7" w:rsidRPr="00B74863" w:rsidRDefault="00B03BE7" w:rsidP="0009207B">
      <w:pPr>
        <w:spacing w:line="480" w:lineRule="auto"/>
        <w:ind w:firstLine="450"/>
        <w:rPr>
          <w:rFonts w:ascii="Times New Roman" w:hAnsi="Times New Roman" w:cs="Times New Roman"/>
        </w:rPr>
      </w:pPr>
      <w:r w:rsidRPr="00B74863">
        <w:rPr>
          <w:rFonts w:ascii="Times New Roman" w:hAnsi="Times New Roman" w:cs="Times New Roman"/>
        </w:rPr>
        <w:lastRenderedPageBreak/>
        <w:t>Comparative education policy is highly illustrative of the differences in church-state relations across Western Europe. Before the state assumed the task of educating its population, education had long been the purview of the Catholic Church or national churches. Today, some churches or religious organizations continue to retain the right to educate children up to the university level, such as in the Netherlands and Germany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{"citationID":"vBeuZEAW","properties":{"formattedCitation":"(Morgan 2009)","plainCitation":"(Morgan 2009)"},"citationItems":[{"id":1368,"uris":["http://zotero.org/users/local/jz89q5UV/items/JA53I36G"],"uri":["http://zotero.org/users/local/jz89q5UV/items/JA53I36G"],"itemData":{"id":1368,"type":"chapter","title":"The Religious Foundations of Work-Family Policies in Western Europe","container-title":"Religion, Class Coalitions, and Welfare States","publisher":"Cambridge University Press","publisher-place":"Cambridge, UK","page":"56-90","event-place":"Cambridge, UK","author":[{"family":"Morgan","given":"Kimberly"}],"editor":[{"family":"Van Kersbergen","given":"Kees"},{"family":"Manow","given":"Philip"}],"issued":{"date-parts":[["2009"]]}}}],"schema":"https://github.com/citation-style-language/schema/raw/master/csl-citation.json"}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(Morgan 2009)</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By running schools or entire school districts, religious institutions achieve their two core interests. First, they can evangelize the population, enabling them to both create and retain worshippers</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{"citationID":"Y89CFNJd","properties":{"formattedCitation":"(Gill 2007, 21)","plainCitation":"(Gill 2007, 21)"},"citationItems":[{"id":1348,"uris":["http://zotero.org/users/local/jz89q5UV/items/ZNUJJCIF"],"uri":["http://zotero.org/users/local/jz89q5UV/items/ZNUJJCIF"],"itemData":{"id":1348,"type":"book","title":"The Political Origins of Religious Liberty","publisher":"Cambridge University Press","number-of-pages":"281","source":"Google Books","abstract":"The issue of religious liberty has gained ever-increasing attention among policy makers and the public. Whereas politicians have long championed the idea of religious freedom and tolerance, the actual achievement of these goals has been an arduous battle for religious minorities. What motivates political leaders to create laws providing for greater religious liberty? In contrast to scholars who argue that religious liberty results from the spread of secularization and modern ideas, Anthony Gill argues that religious liberty results from interest-based calculations of secular rulers. Using insights from political economists, Gill develops a theory of the origins of religious liberty based upon the political and economic interests of governing officials. Political leaders are most likely to permit religious freedom when it enhances their own political survival, tax revenue, and the economic welfare of their country. He explores his theory using cases from British America, Latin America, Russia, and the Baltic states.","ISBN":"978-1-139-46763-6","language":"en","author":[{"family":"Gill","given":"Anthony"}],"issued":{"date-parts":[["2007",10,29]]}},"locator":"21"}],"schema":"https://github.com/citation-style-language/schema/raw/master/csl-citation.json"}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(Gill 2007, 21)</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Governments that allow religious organizations to educate their population also exercise some control over religious institutions, sometimes by approving the curriculum or deciding whether religion is taught at all. </w:t>
      </w:r>
      <w:r w:rsidR="00326475">
        <w:rPr>
          <w:rFonts w:ascii="Times New Roman" w:hAnsi="Times New Roman" w:cs="Times New Roman"/>
        </w:rPr>
        <w:t>However, in some countries,</w:t>
      </w:r>
      <w:r w:rsidRPr="00B74863">
        <w:rPr>
          <w:rFonts w:ascii="Times New Roman" w:hAnsi="Times New Roman" w:cs="Times New Roman"/>
        </w:rPr>
        <w:t xml:space="preserve"> religious organizations retain considerable autonomy over how students are educated, and in some countries, the popularity of religious schools has increased while state-run schools have come to be perceived as inadequate. For example, Tony Blair’s Labour government encouraged the proliferation of religious schools, which were allowed to hold religious services reflecting the faith of local communities while at the same time receiving state funding</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{"citationID":"PH5xpITV","properties":{"formattedCitation":"(Ahdar and Leigh 2015)","plainCitation":"(Ahdar and Leigh 2015)"},"citationItems":[{"id":1186,"uris":["http://zotero.org/users/local/jz89q5UV/items/DJHZA5PV"],"uri":["http://zotero.org/users/local/jz89q5UV/items/DJHZA5PV"],"itemData":{"id":1186,"type":"book","title":"Religious Freedom in the Liberal State","publisher":"Oxford University Press","publisher-place":"New York, NY","number-of-pages":"528","edition":"2 edition","source":"Amazon","event-place":"New York, NY","abstract":"Examining the law and public policy relating to religious liberty in Western liberal democracies, this book contains a detailed analysis of the history, rationale, scope, and limits of religious freedom from (but not restricted to) an evangelical Christian perspective. Focusing on United Kingdom, the United States, Canada, New Zealand, Australia, and Eu, it studies the interaction between law and religion at several different levels, looking at the key debates that have arisen.Divided into three parts, the book begins by contrasting the liberal and Christian rationales for and understandings of religious freedom. It then explores central thematic issues: the types of constitutional frameworks within which any right to religious exercise must operate; the varieties of paradigmatic relationships between organized religion and the state; the meaning of 'religion'; the limitations upon individual and institutional religious behavior; and the domestic and international legal mechanisms that have evolved to address religious conduct. The final part explores key subject areas where current religious freedom controversies have arisen: employment; education; parental rights and childrearing; controls on pro-religious and anti-religious expression; medical treatment; and religious group (church) autonomy. This new edition is fully updated with the growing case law in the area, and features increased coverage of Islam and the flashpoint debates surrounding the accommodation of Muslim beliefs and practices in Anglophone nations.","ISBN":"978-0-19-873811-4","language":"English","author":[{"family":"Ahdar","given":"Rex"},{"family":"Leigh","given":"Ian"}],"issued":{"date-parts":[["2015"]]}}}],"schema":"https://github.com/citation-style-language/schema/raw/master/csl-citation.json"}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(Ahdar and Leigh 2015)</w:t>
      </w:r>
      <w:r>
        <w:rPr>
          <w:rFonts w:ascii="Times New Roman" w:hAnsi="Times New Roman" w:cs="Times New Roman"/>
        </w:rPr>
        <w:fldChar w:fldCharType="end"/>
      </w:r>
      <w:r>
        <w:rPr>
          <w:rFonts w:ascii="Times New Roman" w:hAnsi="Times New Roman" w:cs="Times New Roman"/>
        </w:rPr>
        <w:t>.</w:t>
      </w:r>
    </w:p>
    <w:p w14:paraId="73B31E39" w14:textId="69B45B97" w:rsidR="006C51FA" w:rsidRDefault="00B03BE7" w:rsidP="00213D47">
      <w:pPr>
        <w:spacing w:line="480" w:lineRule="auto"/>
        <w:ind w:firstLine="450"/>
        <w:rPr>
          <w:rFonts w:ascii="Times New Roman" w:hAnsi="Times New Roman" w:cs="Times New Roman"/>
        </w:rPr>
      </w:pPr>
      <w:r w:rsidRPr="00B74863">
        <w:rPr>
          <w:rFonts w:ascii="Times New Roman" w:hAnsi="Times New Roman" w:cs="Times New Roman"/>
        </w:rPr>
        <w:t>How did the EED affect the balance between secularism and religious organizations? First, by including sexual orientation as grounds for protection from discrimination, the value-systems of various religious groups was challenged. Religious dogma of most mainstream Protestant and Catholic organizations deemed homosexuality a practice, not an identity</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{"citationID":"ksYekJtq","properties":{"formattedCitation":"(Carmody and Carmody 1993)","plainCitation":"(Carmody and Carmody 1993)"},"citationItems":[{"id":1458,"uris":["http://zotero.org/users/local/jz89q5UV/items/WCJK5A7J"],"uri":["http://zotero.org/users/local/jz89q5UV/items/WCJK5A7J"],"itemData":{"id":1458,"type":"chapter","title":"Homosexuality and Roman Catholicism.","container-title":"Homosexuality and World Religions.","publisher":"Trinity Press International","publisher-place":"Valley Forge","page":"135-149","event-place":"Valley Forge","author":[{"family":"Carmody","given":"D"},{"family":"Carmody","given":"J"}],"issued":{"date-parts":[["1993"]]}}}],"schema":"https://github.com/citation-style-language/schema/raw/master/csl-citation.json"}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(Carmody and Carmody 1993)</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For years, mainstream Protestant churches and Catholic churches viewed it as legitimate to discriminate against gay and lesbian employees for violating or not conforming to the religious employer’s codes of morality. In some countries, such discrimination was permitted because of the special immunity religious employers enjoyed from civil labor protections. For </w:t>
      </w:r>
      <w:r w:rsidRPr="00B74863">
        <w:rPr>
          <w:rFonts w:ascii="Times New Roman" w:hAnsi="Times New Roman" w:cs="Times New Roman"/>
        </w:rPr>
        <w:lastRenderedPageBreak/>
        <w:t>instance, in 1983, the German Federal Labor Court ruled that a Protestant charitable organization was permitted to dismiss a family counselor because he was gay.</w:t>
      </w:r>
      <w:r w:rsidRPr="00042CE3">
        <w:rPr>
          <w:rStyle w:val="EndnoteReference"/>
        </w:rPr>
        <w:endnoteReference w:id="14"/>
      </w:r>
      <w:r w:rsidR="006C51FA">
        <w:rPr>
          <w:rFonts w:ascii="Times New Roman" w:hAnsi="Times New Roman" w:cs="Times New Roman"/>
        </w:rPr>
        <w:t xml:space="preserve"> </w:t>
      </w:r>
      <w:r w:rsidR="00B45488">
        <w:rPr>
          <w:rFonts w:ascii="Times New Roman" w:hAnsi="Times New Roman" w:cs="Times New Roman"/>
        </w:rPr>
        <w:t>When</w:t>
      </w:r>
      <w:r w:rsidRPr="00B74863">
        <w:rPr>
          <w:rFonts w:ascii="Times New Roman" w:hAnsi="Times New Roman" w:cs="Times New Roman"/>
        </w:rPr>
        <w:t xml:space="preserve"> Irish Minister of Justice </w:t>
      </w:r>
      <w:r>
        <w:rPr>
          <w:rFonts w:ascii="Times New Roman" w:hAnsi="Times New Roman" w:cs="Times New Roman"/>
        </w:rPr>
        <w:t xml:space="preserve">was </w:t>
      </w:r>
      <w:r w:rsidRPr="00B74863">
        <w:rPr>
          <w:rFonts w:ascii="Times New Roman" w:hAnsi="Times New Roman" w:cs="Times New Roman"/>
        </w:rPr>
        <w:t>negotiating the EED in the Council</w:t>
      </w:r>
      <w:r>
        <w:rPr>
          <w:rFonts w:ascii="Times New Roman" w:hAnsi="Times New Roman" w:cs="Times New Roman"/>
        </w:rPr>
        <w:t xml:space="preserve"> for a broad exemption for the Catholic Church</w:t>
      </w:r>
      <w:r w:rsidR="00B45488">
        <w:rPr>
          <w:rFonts w:ascii="Times New Roman" w:hAnsi="Times New Roman" w:cs="Times New Roman"/>
        </w:rPr>
        <w:t xml:space="preserve">, </w:t>
      </w:r>
      <w:r w:rsidRPr="00B74863">
        <w:rPr>
          <w:rFonts w:ascii="Times New Roman" w:hAnsi="Times New Roman" w:cs="Times New Roman"/>
        </w:rPr>
        <w:t>Joe O’Toole, the general secretary of the Irish National Teachers’ Organisation, objected</w:t>
      </w:r>
      <w:r w:rsidR="006C51FA">
        <w:rPr>
          <w:rFonts w:ascii="Times New Roman" w:hAnsi="Times New Roman" w:cs="Times New Roman"/>
        </w:rPr>
        <w:t>, arguing</w:t>
      </w:r>
      <w:r w:rsidRPr="00B74863">
        <w:rPr>
          <w:rFonts w:ascii="Times New Roman" w:hAnsi="Times New Roman" w:cs="Times New Roman"/>
        </w:rPr>
        <w:t xml:space="preserve"> that </w:t>
      </w:r>
      <w:r>
        <w:rPr>
          <w:rFonts w:ascii="Times New Roman" w:hAnsi="Times New Roman" w:cs="Times New Roman"/>
        </w:rPr>
        <w:t>it</w:t>
      </w:r>
      <w:r w:rsidRPr="00B74863">
        <w:rPr>
          <w:rFonts w:ascii="Times New Roman" w:hAnsi="Times New Roman" w:cs="Times New Roman"/>
        </w:rPr>
        <w:t xml:space="preserve"> allowed </w:t>
      </w:r>
      <w:r>
        <w:rPr>
          <w:rFonts w:ascii="Times New Roman" w:hAnsi="Times New Roman" w:cs="Times New Roman"/>
        </w:rPr>
        <w:t xml:space="preserve">the Church </w:t>
      </w:r>
      <w:r w:rsidRPr="00B74863">
        <w:rPr>
          <w:rFonts w:ascii="Times New Roman" w:hAnsi="Times New Roman" w:cs="Times New Roman"/>
        </w:rPr>
        <w:t>to scrutinize teachers’ private lives to establish whether they were upholding their employers’ religious ethos.</w:t>
      </w:r>
      <w:r w:rsidRPr="00042CE3">
        <w:rPr>
          <w:rStyle w:val="EndnoteReference"/>
        </w:rPr>
        <w:endnoteReference w:id="15"/>
      </w:r>
      <w:r w:rsidRPr="00B74863">
        <w:rPr>
          <w:rFonts w:ascii="Times New Roman" w:hAnsi="Times New Roman" w:cs="Times New Roman"/>
        </w:rPr>
        <w:t xml:space="preserve"> If religious organizations and churches were to be treated like any other private employer, then the state could no longer permit them to discriminate based on sexual orientation and, thereby, </w:t>
      </w:r>
      <w:r w:rsidR="00326475">
        <w:rPr>
          <w:rFonts w:ascii="Times New Roman" w:hAnsi="Times New Roman" w:cs="Times New Roman"/>
        </w:rPr>
        <w:t>prevent them from spreading their moral vision and influence the beliefs of younger generations. In increasingly</w:t>
      </w:r>
      <w:r w:rsidR="00B45488">
        <w:rPr>
          <w:rFonts w:ascii="Times New Roman" w:hAnsi="Times New Roman" w:cs="Times New Roman"/>
        </w:rPr>
        <w:t xml:space="preserve"> secular Ireland </w:t>
      </w:r>
      <w:r w:rsidR="00B45488">
        <w:rPr>
          <w:rFonts w:ascii="Times New Roman" w:hAnsi="Times New Roman" w:cs="Times New Roman"/>
        </w:rPr>
        <w:fldChar w:fldCharType="begin"/>
      </w:r>
      <w:r w:rsidR="00B45488">
        <w:rPr>
          <w:rFonts w:ascii="Times New Roman" w:hAnsi="Times New Roman" w:cs="Times New Roman"/>
        </w:rPr>
        <w:instrText xml:space="preserve"> ADDIN ZOTERO_ITEM CSL_CITATION {"citationID":"3zxndfnl","properties":{"formattedCitation":"(Breen and Reynolds 2011)","plainCitation":"(Breen and Reynolds 2011)"},"citationItems":[{"id":1396,"uris":["http://zotero.org/users/local/jz89q5UV/items/GSK9AMJS"],"uri":["http://zotero.org/users/local/jz89q5UV/items/GSK9AMJS"],"itemData":{"id":1396,"type":"article-journal","title":"The Rise of Secularism and the Decline of Religiosity in Ireland: The Pattern of Religious Change in Europe","source":"dspace.mic.ul.ie","abstract":"The European Values Study is a pan-European project which utilises an omnibus survey\r\nfocusing especially on values associated with work, religion, lifestyles and other issues. Its most recent\r\ndata gathering exercise was in 2008, the fourth of its kind. This study focuses on changing religious\r\nvalues in Ireland over the span of the EVS (1981-2008) and examines the rise in secularism and the\r\nrapid decrease in church participation, which brings Ireland much close to European norms. The data\r\nto hand suggest a variety of important social questions: If religious and social values and attitudes\r\nare changing, what are the implications for Irish society? As we become an increasingly educated\r\nsociety in quantifiable terms, what is happening to our value and belief systems? Does the erosion of\r\nchurch practice mean the erosion of values or are we simply witnessing transference of allegiance\r\nfrom institutions to self? Some commentators suggest that reduction of care and concern for others,\r\na reduced sense of God, and a minimised approach to things religious, allied with a rise in liberalism,\r\nare not of themselves harbingers of prosperity and joy for society; the opposite they contend is true,\r\nand will result in decreased happiness and increased alienation. Is it incontrovertible that Ireland will\r\nbe different in the future, that the social map will have very different contours, especially in relation\r\nto institutional religion. As the Irish let go of things deeply rooted in their culture and tradition, is this\r\nsimply a matter of becoming a mature nation amongst the nations of Europe?","URL":"https://dspace.mic.ul.ie/xmlui/handle/10395/1800","ISSN":"http://hdl.handle.net/10395/1800","shortTitle":"The Rise of Secularism and the Decline of Religiosity in Ireland","language":"eng","author":[{"family":"Breen","given":"Michael J."},{"family":"Reynolds","given":"Caillin"}],"issued":{"date-parts":[["2011"]]},"accessed":{"date-parts":[["2017",2,14]]}}}],"schema":"https://github.com/citation-style-language/schema/raw/master/csl-citation.json"} </w:instrText>
      </w:r>
      <w:r w:rsidR="00B45488">
        <w:rPr>
          <w:rFonts w:ascii="Times New Roman" w:hAnsi="Times New Roman" w:cs="Times New Roman"/>
        </w:rPr>
        <w:fldChar w:fldCharType="separate"/>
      </w:r>
      <w:r w:rsidR="00B45488">
        <w:rPr>
          <w:rFonts w:ascii="Times New Roman" w:hAnsi="Times New Roman" w:cs="Times New Roman"/>
          <w:noProof/>
        </w:rPr>
        <w:t>(Breen and Reynolds 2011)</w:t>
      </w:r>
      <w:r w:rsidR="00B45488">
        <w:rPr>
          <w:rFonts w:ascii="Times New Roman" w:hAnsi="Times New Roman" w:cs="Times New Roman"/>
        </w:rPr>
        <w:fldChar w:fldCharType="end"/>
      </w:r>
      <w:r w:rsidR="00B45488">
        <w:rPr>
          <w:rFonts w:ascii="Times New Roman" w:hAnsi="Times New Roman" w:cs="Times New Roman"/>
        </w:rPr>
        <w:t>, EU law recognizing sexual orientation as an immutable identity deserving of protected status, only marginalized the Catholic Church’s moral vision that homosexuality was unlawful further.</w:t>
      </w:r>
    </w:p>
    <w:p w14:paraId="4B9062FB" w14:textId="36E266C0" w:rsidR="00B03BE7" w:rsidRDefault="006C51FA" w:rsidP="00213D47">
      <w:pPr>
        <w:spacing w:line="480" w:lineRule="auto"/>
        <w:ind w:firstLine="450"/>
        <w:rPr>
          <w:rFonts w:ascii="Times New Roman" w:hAnsi="Times New Roman" w:cs="Times New Roman"/>
        </w:rPr>
      </w:pPr>
      <w:r w:rsidRPr="006C51FA">
        <w:rPr>
          <w:rFonts w:ascii="Times New Roman" w:hAnsi="Times New Roman" w:cs="Times New Roman"/>
        </w:rPr>
        <w:t xml:space="preserve">As a possible compromise, </w:t>
      </w:r>
      <w:r w:rsidR="00F46B37">
        <w:rPr>
          <w:rFonts w:ascii="Times New Roman" w:hAnsi="Times New Roman" w:cs="Times New Roman"/>
        </w:rPr>
        <w:t>a</w:t>
      </w:r>
      <w:r w:rsidRPr="006C51FA">
        <w:rPr>
          <w:rFonts w:ascii="Times New Roman" w:hAnsi="Times New Roman" w:cs="Times New Roman"/>
        </w:rPr>
        <w:t xml:space="preserve"> second paragraph was introduced into Article 4. It states, “churches or other public and private organizations the ethos of which is based on religion or belief” may engage in differential treatment when the occupation’s activities “by their nature or in the context of carrying them out” are a “genuine, legitimate and justified occupational requirement” with regard to the organization’s </w:t>
      </w:r>
      <w:r w:rsidR="005F1B52">
        <w:rPr>
          <w:rFonts w:ascii="Times New Roman" w:hAnsi="Times New Roman" w:cs="Times New Roman"/>
        </w:rPr>
        <w:t xml:space="preserve">religious </w:t>
      </w:r>
      <w:r w:rsidRPr="006C51FA">
        <w:rPr>
          <w:rFonts w:ascii="Times New Roman" w:hAnsi="Times New Roman" w:cs="Times New Roman"/>
        </w:rPr>
        <w:t>ethos. In brief, a religious organization is allowed to discriminate against an employee</w:t>
      </w:r>
      <w:r w:rsidR="005F1B52">
        <w:rPr>
          <w:rFonts w:ascii="Times New Roman" w:hAnsi="Times New Roman" w:cs="Times New Roman"/>
        </w:rPr>
        <w:t>, but</w:t>
      </w:r>
      <w:r w:rsidRPr="006C51FA">
        <w:rPr>
          <w:rFonts w:ascii="Times New Roman" w:hAnsi="Times New Roman" w:cs="Times New Roman"/>
        </w:rPr>
        <w:t xml:space="preserve"> only if the person’s occupational duties were directly related to organization’s “religious ethos.” Otherwise, both public and private employers could not discriminate based on </w:t>
      </w:r>
      <w:r w:rsidR="005F1B52">
        <w:rPr>
          <w:rFonts w:ascii="Times New Roman" w:hAnsi="Times New Roman" w:cs="Times New Roman"/>
        </w:rPr>
        <w:t>the employee’s</w:t>
      </w:r>
      <w:r w:rsidRPr="006C51FA">
        <w:rPr>
          <w:rFonts w:ascii="Times New Roman" w:hAnsi="Times New Roman" w:cs="Times New Roman"/>
        </w:rPr>
        <w:t xml:space="preserve"> sexual orientation. </w:t>
      </w:r>
      <w:r w:rsidR="00B03BE7" w:rsidRPr="006C51FA">
        <w:rPr>
          <w:rFonts w:ascii="Times New Roman" w:hAnsi="Times New Roman" w:cs="Times New Roman"/>
        </w:rPr>
        <w:t>As</w:t>
      </w:r>
      <w:r w:rsidR="00B03BE7" w:rsidRPr="00B74863">
        <w:rPr>
          <w:rFonts w:ascii="Times New Roman" w:hAnsi="Times New Roman" w:cs="Times New Roman"/>
        </w:rPr>
        <w:t xml:space="preserve"> Mark Bell argues, “…The reluctance of certain organizations with a religious ethos to employ lesbians and gay men is one of the key reasons why [Article 4.2] is present in the Directive, and therefore it would be naive to ignore the connections between these two issues</w:t>
      </w:r>
      <w:r w:rsidR="00B03BE7">
        <w:rPr>
          <w:rFonts w:ascii="Times New Roman" w:hAnsi="Times New Roman" w:cs="Times New Roman"/>
        </w:rPr>
        <w:t xml:space="preserve"> </w:t>
      </w:r>
      <w:r w:rsidR="00B03BE7">
        <w:rPr>
          <w:rFonts w:ascii="Times New Roman" w:hAnsi="Times New Roman" w:cs="Times New Roman"/>
        </w:rPr>
        <w:fldChar w:fldCharType="begin"/>
      </w:r>
      <w:r w:rsidR="00B03BE7">
        <w:rPr>
          <w:rFonts w:ascii="Times New Roman" w:hAnsi="Times New Roman" w:cs="Times New Roman"/>
        </w:rPr>
        <w:instrText xml:space="preserve"> ADDIN ZOTERO_ITEM CSL_CITATION {"citationID":"KKhvQ8HE","properties":{"formattedCitation":"(Bell 2002, 117)","plainCitation":"(Bell 2002, 117)"},"citationItems":[{"id":65,"uris":["http://zotero.org/users/local/jz89q5UV/items/J8FZG28D"],"uri":["http://zotero.org/users/local/jz89q5UV/items/J8FZG28D"],"itemData":{"id":65,"type":"book","title":"Anti-discrimination Law and the European Union","publisher":"Oxford University Press","number-of-pages":"298","source":"Google Books","abstract":"Anti-Discrimination Law and the European Union provides a timely and topical contribution to the growing body of literature in this area. The 1999 Treaty of Amsterdam expanded significantly the legal competence of the European Union for combatting discrimination. Traditionally, EU law has concentrated on discrimination between women and men and discrimination on the grounds of EU nationality. However, Article 13 EC created a new legal space for the Union to regulate discrimination on the ground of racial or ethnic origin, religion or belief, disability, age, or sexual orientation. This book aims to improve our understanding of the evolution of European Union law in the field. To this end, it considers the development of EU law and policy in respect of two specific grounds of discrimination - race and sexual orientation. It provides an account of the debate within the institutions and Member States, analysis of relevant case law from the Court of Justice, and coverage of the anti-discrimination directives adopted in 2001. The book further considers the relationship between national and European anti-discrimination law. A survey of national anti-discrimination statutes is presented in order to identify the variety of legal traditions which exist in this field. The diversity of these legal cultures impacts significantly upon the scope for and nature of EU anti-discrimination legislation. The author concludes by reviewing the principle factors which have influenced the evolution of EU anti-discrimination law and applying this to an analysis of the prospects for future development.","ISBN":"978-0-19-924450-8","language":"en","author":[{"family":"Bell","given":"Mark"}],"issued":{"date-parts":[["2002"]]}},"locator":"117"}],"schema":"https://github.com/citation-style-language/schema/raw/master/csl-citation.json"} </w:instrText>
      </w:r>
      <w:r w:rsidR="00B03BE7">
        <w:rPr>
          <w:rFonts w:ascii="Times New Roman" w:hAnsi="Times New Roman" w:cs="Times New Roman"/>
        </w:rPr>
        <w:fldChar w:fldCharType="separate"/>
      </w:r>
      <w:r w:rsidR="00B03BE7">
        <w:rPr>
          <w:rFonts w:ascii="Times New Roman" w:hAnsi="Times New Roman" w:cs="Times New Roman"/>
          <w:noProof/>
        </w:rPr>
        <w:t>(Bell 2002, 117)</w:t>
      </w:r>
      <w:r w:rsidR="00B03BE7">
        <w:rPr>
          <w:rFonts w:ascii="Times New Roman" w:hAnsi="Times New Roman" w:cs="Times New Roman"/>
        </w:rPr>
        <w:fldChar w:fldCharType="end"/>
      </w:r>
      <w:r w:rsidR="00B03BE7">
        <w:rPr>
          <w:rFonts w:ascii="Times New Roman" w:hAnsi="Times New Roman" w:cs="Times New Roman"/>
        </w:rPr>
        <w:t>.</w:t>
      </w:r>
    </w:p>
    <w:p w14:paraId="719829A3" w14:textId="0BBDF23A" w:rsidR="00013F2D" w:rsidRPr="00B74863" w:rsidRDefault="00013F2D" w:rsidP="00013F2D">
      <w:pPr>
        <w:spacing w:line="480" w:lineRule="auto"/>
        <w:ind w:firstLine="450"/>
        <w:rPr>
          <w:rFonts w:ascii="Times New Roman" w:hAnsi="Times New Roman" w:cs="Times New Roman"/>
        </w:rPr>
      </w:pPr>
      <w:r>
        <w:rPr>
          <w:rFonts w:ascii="Times New Roman" w:hAnsi="Times New Roman" w:cs="Times New Roman"/>
        </w:rPr>
        <w:lastRenderedPageBreak/>
        <w:t xml:space="preserve">Other provisions affected other areas of church autonomy and independence. While the provisions address national governments and the legislative action they need to take, they would substantially, albeit indirectly, affect the </w:t>
      </w:r>
      <w:r w:rsidR="000A7D18">
        <w:rPr>
          <w:rFonts w:ascii="Times New Roman" w:hAnsi="Times New Roman" w:cs="Times New Roman"/>
        </w:rPr>
        <w:t xml:space="preserve">legal </w:t>
      </w:r>
      <w:r>
        <w:rPr>
          <w:rFonts w:ascii="Times New Roman" w:hAnsi="Times New Roman" w:cs="Times New Roman"/>
        </w:rPr>
        <w:t xml:space="preserve">balance between church and state in some countries. For example, for the first time in some countries, sexual orientation would be defined as a protective status, clearly against the moral vision of some religious organizations. Both institutions and the people that work for them would be liable and punished for discriminating against such employees. Churches and religious institutions would be not permitted to refuse to hire gays and lesbians or fire them if it became known they </w:t>
      </w:r>
      <w:r w:rsidR="000A7D18">
        <w:rPr>
          <w:rFonts w:ascii="Times New Roman" w:hAnsi="Times New Roman" w:cs="Times New Roman"/>
        </w:rPr>
        <w:t>were, unless it was crucial to the person’s occupational duties.</w:t>
      </w:r>
      <w:r>
        <w:rPr>
          <w:rFonts w:ascii="Times New Roman" w:hAnsi="Times New Roman" w:cs="Times New Roman"/>
        </w:rPr>
        <w:t xml:space="preserve"> Religious groups could not retaliate against employees if their own members reported discrimination based on sexual orientation. In short, the EED was undermining the autonomy religious institutions enjoyed in several member states from secular labor law.</w:t>
      </w:r>
    </w:p>
    <w:p w14:paraId="7C3220BC" w14:textId="7154B079" w:rsidR="00B03BE7" w:rsidRPr="004F5C88" w:rsidRDefault="00B03BE7" w:rsidP="004F5C88">
      <w:pPr>
        <w:pStyle w:val="ListParagraph"/>
        <w:numPr>
          <w:ilvl w:val="0"/>
          <w:numId w:val="16"/>
        </w:numPr>
        <w:spacing w:line="480" w:lineRule="auto"/>
        <w:rPr>
          <w:rFonts w:ascii="Times New Roman" w:hAnsi="Times New Roman" w:cs="Times New Roman"/>
          <w:i/>
        </w:rPr>
      </w:pPr>
      <w:r w:rsidRPr="004F5C88">
        <w:rPr>
          <w:rFonts w:ascii="Times New Roman" w:hAnsi="Times New Roman" w:cs="Times New Roman"/>
          <w:i/>
        </w:rPr>
        <w:t>Opposition at the Front and Back Doors: The Evidence</w:t>
      </w:r>
    </w:p>
    <w:p w14:paraId="5842ED30" w14:textId="0DA0C81D" w:rsidR="00B45488" w:rsidRPr="00B74863" w:rsidRDefault="00B03BE7" w:rsidP="00B45488">
      <w:pPr>
        <w:spacing w:line="480" w:lineRule="auto"/>
        <w:ind w:firstLine="450"/>
        <w:rPr>
          <w:rFonts w:ascii="Times New Roman" w:hAnsi="Times New Roman" w:cs="Times New Roman"/>
        </w:rPr>
      </w:pPr>
      <w:r w:rsidRPr="00B74863">
        <w:rPr>
          <w:rFonts w:ascii="Times New Roman" w:hAnsi="Times New Roman" w:cs="Times New Roman"/>
        </w:rPr>
        <w:t>Levels of state support for religion explain why the member states were divided over how broad the exemption for religious employers should be. We can map member states’ positions according to levels of sta</w:t>
      </w:r>
      <w:r w:rsidR="00354565">
        <w:rPr>
          <w:rFonts w:ascii="Times New Roman" w:hAnsi="Times New Roman" w:cs="Times New Roman"/>
        </w:rPr>
        <w:t>te support for religious actors</w:t>
      </w:r>
      <w:r w:rsidRPr="00B74863">
        <w:rPr>
          <w:rFonts w:ascii="Times New Roman" w:hAnsi="Times New Roman" w:cs="Times New Roman"/>
        </w:rPr>
        <w:t xml:space="preserve">. </w:t>
      </w:r>
      <w:r w:rsidR="00B45488" w:rsidRPr="00B74863">
        <w:rPr>
          <w:rFonts w:ascii="Times New Roman" w:hAnsi="Times New Roman" w:cs="Times New Roman"/>
        </w:rPr>
        <w:t xml:space="preserve"> Figure 1 shows that how much a state supports organized religion is correlated with the member state’s position intensity on the exemption for religious employers. On the x-axis, a state’s involvement in religion is plotted based on scores drawn from the Religion and</w:t>
      </w:r>
      <w:r w:rsidR="00B45488">
        <w:rPr>
          <w:rFonts w:ascii="Times New Roman" w:hAnsi="Times New Roman" w:cs="Times New Roman"/>
        </w:rPr>
        <w:t xml:space="preserve"> State project </w:t>
      </w:r>
      <w:r w:rsidR="00B45488">
        <w:rPr>
          <w:rFonts w:ascii="Times New Roman" w:hAnsi="Times New Roman" w:cs="Times New Roman"/>
        </w:rPr>
        <w:fldChar w:fldCharType="begin"/>
      </w:r>
      <w:r w:rsidR="00B45488">
        <w:rPr>
          <w:rFonts w:ascii="Times New Roman" w:hAnsi="Times New Roman" w:cs="Times New Roman"/>
        </w:rPr>
        <w:instrText xml:space="preserve"> ADDIN ZOTERO_ITEM CSL_CITATION {"citationID":"adp0QKho","properties":{"formattedCitation":"(Fox 2011)","plainCitation":"(Fox 2011)"},"citationItems":[{"id":1356,"uris":["http://zotero.org/users/local/jz89q5UV/items/F7VVUBI9"],"uri":["http://zotero.org/users/local/jz89q5UV/items/F7VVUBI9"],"itemData":{"id":1356,"type":"article-journal","title":"Separation of Religion and State and Secularism in Theory and in Practice","container-title":"Religion, State and Society","page":"384-401","volume":"39","issue":"4","source":"Taylor and Francis+NEJM","abstract":"This study examines whether states follow the religion policies they declare in their constitutions. It identifies four types of policies which officially seek to limit religion's role in government: absolute separation of religion and state (SRAS); neutral political concern; exclusion of ideals; and secularism–laicism. I determine whether states follow these policies using the religion and state (RAS) dataset and compare this to constitutional declarations that the state is secular and declarations of separation of religion and state. The results show that a majority of states which make both types of declaration do not follow these policies based on any of the four standards used in this study. However, the presence and wording of these clauses are correlated with state religion policy.","DOI":"10.1080/09637494.2011.621675","ISSN":"0963-7494","author":[{"family":"Fox","given":"Jonathan"}],"issued":{"date-parts":[["2011",12,1]]}}}],"schema":"https://github.com/citation-style-language/schema/raw/master/csl-citation.json"} </w:instrText>
      </w:r>
      <w:r w:rsidR="00B45488">
        <w:rPr>
          <w:rFonts w:ascii="Times New Roman" w:hAnsi="Times New Roman" w:cs="Times New Roman"/>
        </w:rPr>
        <w:fldChar w:fldCharType="separate"/>
      </w:r>
      <w:r w:rsidR="00B45488">
        <w:rPr>
          <w:rFonts w:ascii="Times New Roman" w:hAnsi="Times New Roman" w:cs="Times New Roman"/>
          <w:noProof/>
        </w:rPr>
        <w:t>(Fox 2011)</w:t>
      </w:r>
      <w:r w:rsidR="00B45488">
        <w:rPr>
          <w:rFonts w:ascii="Times New Roman" w:hAnsi="Times New Roman" w:cs="Times New Roman"/>
        </w:rPr>
        <w:fldChar w:fldCharType="end"/>
      </w:r>
      <w:r w:rsidR="00B45488">
        <w:rPr>
          <w:rFonts w:ascii="Times New Roman" w:hAnsi="Times New Roman" w:cs="Times New Roman"/>
        </w:rPr>
        <w:t>.</w:t>
      </w:r>
      <w:r w:rsidR="00B45488" w:rsidRPr="00B74863">
        <w:rPr>
          <w:rFonts w:ascii="Times New Roman" w:hAnsi="Times New Roman" w:cs="Times New Roman"/>
        </w:rPr>
        <w:t xml:space="preserve"> GIR (Official Government Involvement in Religion) measures whether the state supports the dominant religion, the extent to which a religion is enforced in society, and the extent it controls, regulates, and restricts religion</w:t>
      </w:r>
      <w:r w:rsidR="00B45488">
        <w:rPr>
          <w:rFonts w:ascii="Times New Roman" w:hAnsi="Times New Roman" w:cs="Times New Roman"/>
        </w:rPr>
        <w:t xml:space="preserve"> </w:t>
      </w:r>
      <w:r w:rsidR="00B45488">
        <w:rPr>
          <w:rFonts w:ascii="Times New Roman" w:hAnsi="Times New Roman" w:cs="Times New Roman"/>
        </w:rPr>
        <w:fldChar w:fldCharType="begin"/>
      </w:r>
      <w:r w:rsidR="00B45488">
        <w:rPr>
          <w:rFonts w:ascii="Times New Roman" w:hAnsi="Times New Roman" w:cs="Times New Roman"/>
        </w:rPr>
        <w:instrText xml:space="preserve"> ADDIN ZOTERO_ITEM CSL_CITATION {"citationID":"3hIVHuZ9","properties":{"formattedCitation":"{\\rtf (Fox 2015, 42\\uc0\\u8211{}43)}","plainCitation":"(Fox 2015, 42–43)"},"citationItems":[{"id":1352,"uris":["http://zotero.org/users/local/jz89q5UV/items/DF9MEPF4"],"uri":["http://zotero.org/users/local/jz89q5UV/items/DF9MEPF4"],"itemData":{"id":1352,"type":"book","title":"Political Secularism, Religion, and the State","publisher":"Cambridge University Press","number-of-pages":"297","source":"Google Books","abstract":"This book examines 111 types of state religion policy in 177 countries between 1990 and 2008. Jonathan Fox argues that policy is largely a result of the competition between political secular actors and religious actors, both of which try to influence state religion policy. While there are other factors that influence state religion policy and both the secular and religious camps are divided, Fox offers that the secular-religious competition perspective provides critical insight into the nature of religious politics across the globe. While many states have both increased and decreased their involvement in religion, Fox demonstrates that states which have become more involved in religion are far more common.","ISBN":"978-1-107-07674-7","note":"Google-Books-ID: HFi3BwAAQBAJ","language":"en","author":[{"family":"Fox","given":"Jonathan"}],"issued":{"date-parts":[["2015",4,27]]}},"locator":"42-43"}],"schema":"https://github.com/citation-style-language/schema/raw/master/csl-citation.json"} </w:instrText>
      </w:r>
      <w:r w:rsidR="00B45488">
        <w:rPr>
          <w:rFonts w:ascii="Times New Roman" w:hAnsi="Times New Roman" w:cs="Times New Roman"/>
        </w:rPr>
        <w:fldChar w:fldCharType="separate"/>
      </w:r>
      <w:r w:rsidR="00B45488" w:rsidRPr="00E271F0">
        <w:rPr>
          <w:rFonts w:ascii="Times New Roman" w:eastAsia="Times New Roman" w:hAnsi="Times New Roman" w:cs="Times New Roman"/>
        </w:rPr>
        <w:t>(Fox 2015, 42–43)</w:t>
      </w:r>
      <w:r w:rsidR="00B45488">
        <w:rPr>
          <w:rFonts w:ascii="Times New Roman" w:hAnsi="Times New Roman" w:cs="Times New Roman"/>
        </w:rPr>
        <w:fldChar w:fldCharType="end"/>
      </w:r>
      <w:r w:rsidR="00B45488">
        <w:rPr>
          <w:rFonts w:ascii="Times New Roman" w:hAnsi="Times New Roman" w:cs="Times New Roman"/>
        </w:rPr>
        <w:t>.</w:t>
      </w:r>
      <w:r w:rsidR="00B45488" w:rsidRPr="00042CE3">
        <w:rPr>
          <w:rStyle w:val="EndnoteReference"/>
        </w:rPr>
        <w:endnoteReference w:id="16"/>
      </w:r>
      <w:r w:rsidR="00B45488" w:rsidRPr="00B74863">
        <w:rPr>
          <w:rFonts w:ascii="Times New Roman" w:hAnsi="Times New Roman" w:cs="Times New Roman"/>
        </w:rPr>
        <w:t xml:space="preserve"> In the EU, GIR country scores vary from “strict separationist” (3; France) to countries where the state actively supports religion but does not </w:t>
      </w:r>
      <w:r w:rsidR="00B45488" w:rsidRPr="00B74863">
        <w:rPr>
          <w:rFonts w:ascii="Times New Roman" w:hAnsi="Times New Roman" w:cs="Times New Roman"/>
        </w:rPr>
        <w:lastRenderedPageBreak/>
        <w:t>dominate religious institutions (11; Denmark, Finland and Greece). Other states fall somewhere in-between, such as accommodating (4; the Netherlands), or cooperative, where there is no official state religion but certain religions benefit more than others (6; Germany, Luxembourg, Sweden, and Belgium), those that can be characterized as having multi-tiered preferences (7; Austria, Italy, and Spain), or, finally, countries like Ireland and Portugal, (9) where one religion (Catholicism) serves as the unofficial religion of the country and receives unique recognition and benefits from the state.</w:t>
      </w:r>
    </w:p>
    <w:p w14:paraId="5E33A4AC" w14:textId="7F96245F" w:rsidR="00D03346" w:rsidRDefault="00B03BE7" w:rsidP="00B45488">
      <w:pPr>
        <w:spacing w:line="480" w:lineRule="auto"/>
        <w:ind w:firstLine="450"/>
        <w:rPr>
          <w:rFonts w:ascii="Times New Roman" w:hAnsi="Times New Roman" w:cs="Times New Roman"/>
        </w:rPr>
      </w:pPr>
      <w:r w:rsidRPr="00B74863">
        <w:rPr>
          <w:rFonts w:ascii="Times New Roman" w:hAnsi="Times New Roman" w:cs="Times New Roman"/>
        </w:rPr>
        <w:t>Preference scores vary from not wanting any legislation (little EU involvement in internal affairs) to 100 (a narrow exemption for religious employers, implying a stricter EU legislation).</w:t>
      </w:r>
      <w:r w:rsidRPr="00042CE3">
        <w:rPr>
          <w:rStyle w:val="EndnoteReference"/>
        </w:rPr>
        <w:endnoteReference w:id="17"/>
      </w:r>
      <w:r w:rsidRPr="00B74863">
        <w:rPr>
          <w:rFonts w:ascii="Times New Roman" w:hAnsi="Times New Roman" w:cs="Times New Roman"/>
        </w:rPr>
        <w:t xml:space="preserve"> The salience of this issue also varied among the member states. To illustrate how the Council was polarized, I calculated a member</w:t>
      </w:r>
      <w:r w:rsidR="00B45488">
        <w:rPr>
          <w:rFonts w:ascii="Times New Roman" w:hAnsi="Times New Roman" w:cs="Times New Roman"/>
        </w:rPr>
        <w:t xml:space="preserve"> state’s “preference intensity,” located on the y-axis.</w:t>
      </w:r>
      <w:r w:rsidRPr="00B74863">
        <w:rPr>
          <w:rFonts w:ascii="Times New Roman" w:hAnsi="Times New Roman" w:cs="Times New Roman"/>
        </w:rPr>
        <w:t xml:space="preserve"> Preference intensity is the product of a state’s position and its saliency. The negotiating position of a member state matters little if that preference is not held strongly. When it is, we can expect it to fight harder for its preferred outcome. Each country’s preference intensity is placed on a spectrum of relative support for the legislation, where zero is the mean position in the Council. Scores greater than zero imply a country intensely prefers a narrow exemption</w:t>
      </w:r>
      <w:r w:rsidR="000A7D18">
        <w:rPr>
          <w:rFonts w:ascii="Times New Roman" w:hAnsi="Times New Roman" w:cs="Times New Roman"/>
        </w:rPr>
        <w:t xml:space="preserve"> for religious </w:t>
      </w:r>
      <w:r w:rsidR="00B45488">
        <w:rPr>
          <w:rFonts w:ascii="Times New Roman" w:hAnsi="Times New Roman" w:cs="Times New Roman"/>
        </w:rPr>
        <w:t>employers</w:t>
      </w:r>
      <w:r w:rsidRPr="00B74863">
        <w:rPr>
          <w:rFonts w:ascii="Times New Roman" w:hAnsi="Times New Roman" w:cs="Times New Roman"/>
        </w:rPr>
        <w:t>, while scores less than zero mean that a country intensely prefers a broad exemption.</w:t>
      </w:r>
    </w:p>
    <w:p w14:paraId="27BA77BB" w14:textId="378FFF33" w:rsidR="00D03346" w:rsidRDefault="00D03346" w:rsidP="00D03346">
      <w:pPr>
        <w:spacing w:line="480" w:lineRule="auto"/>
        <w:ind w:firstLine="450"/>
        <w:jc w:val="center"/>
        <w:rPr>
          <w:rFonts w:ascii="Times New Roman" w:hAnsi="Times New Roman" w:cs="Times New Roman"/>
        </w:rPr>
      </w:pPr>
      <w:r>
        <w:rPr>
          <w:rFonts w:ascii="Times New Roman" w:hAnsi="Times New Roman" w:cs="Times New Roman"/>
        </w:rPr>
        <w:t>---INSERT FIGURE 1 HERE---</w:t>
      </w:r>
    </w:p>
    <w:p w14:paraId="34A53EF0" w14:textId="56BF731E" w:rsidR="00B03BE7" w:rsidRPr="00B74863" w:rsidRDefault="00B03BE7" w:rsidP="007437A7">
      <w:pPr>
        <w:spacing w:line="480" w:lineRule="auto"/>
        <w:ind w:firstLine="450"/>
        <w:rPr>
          <w:rFonts w:ascii="Times New Roman" w:hAnsi="Times New Roman" w:cs="Times New Roman"/>
        </w:rPr>
      </w:pPr>
      <w:r w:rsidRPr="00B74863">
        <w:rPr>
          <w:rFonts w:ascii="Times New Roman" w:hAnsi="Times New Roman" w:cs="Times New Roman"/>
        </w:rPr>
        <w:t xml:space="preserve">Those states that strongly support religion are associated with weaker EU legislation. While France and Belgium strong favored a stricter version of the law. </w:t>
      </w:r>
      <w:r w:rsidR="00B45488">
        <w:rPr>
          <w:rFonts w:ascii="Times New Roman" w:hAnsi="Times New Roman" w:cs="Times New Roman"/>
        </w:rPr>
        <w:t xml:space="preserve">Although different faiths are dominant in both countries and have different attitudes towards the European, they were united in their support for a broad exemption for religious organizations. </w:t>
      </w:r>
      <w:r w:rsidRPr="00B74863">
        <w:rPr>
          <w:rFonts w:ascii="Times New Roman" w:hAnsi="Times New Roman" w:cs="Times New Roman"/>
        </w:rPr>
        <w:t xml:space="preserve">Denmark, Greece, and Finland are important exceptions to the overall trend. This can indicate that overall levels of state support </w:t>
      </w:r>
      <w:r w:rsidRPr="00B74863">
        <w:rPr>
          <w:rFonts w:ascii="Times New Roman" w:hAnsi="Times New Roman" w:cs="Times New Roman"/>
        </w:rPr>
        <w:lastRenderedPageBreak/>
        <w:t>for religion matter less than how states support religion organizations.</w:t>
      </w:r>
      <w:r w:rsidR="00B45488" w:rsidRPr="00B45488">
        <w:rPr>
          <w:rFonts w:ascii="Times New Roman" w:hAnsi="Times New Roman" w:cs="Times New Roman"/>
        </w:rPr>
        <w:t xml:space="preserve"> </w:t>
      </w:r>
      <w:r w:rsidR="00B45488" w:rsidRPr="00B74863">
        <w:rPr>
          <w:rFonts w:ascii="Times New Roman" w:hAnsi="Times New Roman" w:cs="Times New Roman"/>
        </w:rPr>
        <w:t xml:space="preserve">The limited sample-size of only 15 countries prevents us from testing how robust the relationship is. </w:t>
      </w:r>
      <w:r w:rsidRPr="00B74863">
        <w:rPr>
          <w:rFonts w:ascii="Times New Roman" w:hAnsi="Times New Roman" w:cs="Times New Roman"/>
        </w:rPr>
        <w:t xml:space="preserve">Even states that have a large degree of support for religion do so differently. </w:t>
      </w:r>
      <w:r w:rsidR="00B45488">
        <w:rPr>
          <w:rFonts w:ascii="Times New Roman" w:hAnsi="Times New Roman" w:cs="Times New Roman"/>
        </w:rPr>
        <w:t>Thus, instead of broad measures of state-church relations, we need to unpack the different ways the state supports religious organizations and whether those factors affect how well provisions of the EED were implemented.</w:t>
      </w:r>
    </w:p>
    <w:p w14:paraId="000A8F94" w14:textId="77777777" w:rsidR="00B03BE7" w:rsidRPr="00B74863" w:rsidRDefault="00B03BE7" w:rsidP="00B13FE5">
      <w:pPr>
        <w:spacing w:line="480" w:lineRule="auto"/>
        <w:rPr>
          <w:rFonts w:ascii="Times New Roman" w:hAnsi="Times New Roman" w:cs="Times New Roman"/>
          <w:b/>
        </w:rPr>
      </w:pPr>
      <w:r w:rsidRPr="00B74863">
        <w:rPr>
          <w:rFonts w:ascii="Times New Roman" w:hAnsi="Times New Roman" w:cs="Times New Roman"/>
          <w:b/>
        </w:rPr>
        <w:t>Opposition at the Backdoor</w:t>
      </w:r>
    </w:p>
    <w:p w14:paraId="1F829F1F" w14:textId="77777777" w:rsidR="00D03346" w:rsidRDefault="00B03BE7" w:rsidP="004F149E">
      <w:pPr>
        <w:spacing w:line="480" w:lineRule="auto"/>
        <w:ind w:firstLine="450"/>
        <w:rPr>
          <w:rFonts w:ascii="Times New Roman" w:hAnsi="Times New Roman" w:cs="Times New Roman"/>
        </w:rPr>
      </w:pPr>
      <w:r w:rsidRPr="00B74863">
        <w:rPr>
          <w:rFonts w:ascii="Times New Roman" w:hAnsi="Times New Roman" w:cs="Times New Roman"/>
        </w:rPr>
        <w:t xml:space="preserve">The exemption for religious employers was not the only provision that required changes to national laws that address employer discrimination based on sexual orientation. Table 1 </w:t>
      </w:r>
      <w:r w:rsidR="00354565">
        <w:rPr>
          <w:rFonts w:ascii="Times New Roman" w:hAnsi="Times New Roman" w:cs="Times New Roman"/>
        </w:rPr>
        <w:t xml:space="preserve">lists </w:t>
      </w:r>
      <w:r w:rsidRPr="00B74863">
        <w:rPr>
          <w:rFonts w:ascii="Times New Roman" w:hAnsi="Times New Roman" w:cs="Times New Roman"/>
        </w:rPr>
        <w:t xml:space="preserve">which countries implemented different provisions of the EED incorrectly with regard to discrimination based on sexual orientation. </w:t>
      </w:r>
    </w:p>
    <w:p w14:paraId="53AB59FC" w14:textId="6FA7EFFC" w:rsidR="00D03346" w:rsidRDefault="00D03346" w:rsidP="00D03346">
      <w:pPr>
        <w:spacing w:line="480" w:lineRule="auto"/>
        <w:ind w:firstLine="450"/>
        <w:jc w:val="center"/>
        <w:rPr>
          <w:rFonts w:ascii="Times New Roman" w:hAnsi="Times New Roman" w:cs="Times New Roman"/>
        </w:rPr>
      </w:pPr>
      <w:r>
        <w:rPr>
          <w:rFonts w:ascii="Times New Roman" w:hAnsi="Times New Roman" w:cs="Times New Roman"/>
        </w:rPr>
        <w:t>---INSERT TABLE 1 HERE---</w:t>
      </w:r>
    </w:p>
    <w:p w14:paraId="65B63069" w14:textId="453FC183" w:rsidR="00B03BE7" w:rsidRPr="00B74863" w:rsidRDefault="00B03BE7" w:rsidP="004F149E">
      <w:pPr>
        <w:spacing w:line="480" w:lineRule="auto"/>
        <w:ind w:firstLine="450"/>
        <w:rPr>
          <w:rFonts w:ascii="Times New Roman" w:hAnsi="Times New Roman" w:cs="Times New Roman"/>
        </w:rPr>
      </w:pPr>
      <w:r w:rsidRPr="00B74863">
        <w:rPr>
          <w:rFonts w:ascii="Times New Roman" w:hAnsi="Times New Roman" w:cs="Times New Roman"/>
        </w:rPr>
        <w:t>The first column lists countries and years national legislation was approved that protected gay and lesbian employees in the workplace. The national legislation varied by type of protection and scope. Some countries had no protections for gay and lesbian workers until the Directive was implemented, such as Germany, while others, such as Ireland, already had some legislation in place that protected gays and lesbians from discrimination in the workplace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{"citationID":"Tj5dqoSk","properties":{"formattedCitation":"(Bell 2002)","plainCitation":"(Bell 2002)"},"citationItems":[{"id":65,"uris":["http://zotero.org/users/local/jz89q5UV/items/J8FZG28D"],"uri":["http://zotero.org/users/local/jz89q5UV/items/J8FZG28D"],"itemData":{"id":65,"type":"book","title":"Anti-discrimination Law and the European Union","publisher":"Oxford University Press","number-of-pages":"298","source":"Google Books","abstract":"Anti-Discrimination Law and the European Union provides a timely and topical contribution to the growing body of literature in this area. The 1999 Treaty of Amsterdam expanded significantly the legal competence of the European Union for combatting discrimination. Traditionally, EU law has concentrated on discrimination between women and men and discrimination on the grounds of EU nationality. However, Article 13 EC created a new legal space for the Union to regulate discrimination on the ground of racial or ethnic origin, religion or belief, disability, age, or sexual orientation. This book aims to improve our understanding of the evolution of European Union law in the field. To this end, it considers the development of EU law and policy in respect of two specific grounds of discrimination - race and sexual orientation. It provides an account of the debate within the institutions and Member States, analysis of relevant case law from the Court of Justice, and coverage of the anti-discrimination directives adopted in 2001. The book further considers the relationship between national and European anti-discrimination law. A survey of national anti-discrimination statutes is presented in order to identify the variety of legal traditions which exist in this field. The diversity of these legal cultures impacts significantly upon the scope for and nature of EU anti-discrimination legislation. The author concludes by reviewing the principle factors which have influenced the evolution of EU anti-discrimination law and applying this to an analysis of the prospects for future development.","ISBN":"978-0-19-924450-8","language":"en","author":[{"family":"Bell","given":"Mark"}],"issued":{"date-parts":[["2002"]]}}}],"schema":"https://github.com/citation-style-language/schema/raw/master/csl-citation.json"}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(Bell 2002)</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The second column lists those provisions of the Directive that require national legislation be adopted that addresses sexual orientation discrimination. The third column lists which countries implemente</w:t>
      </w:r>
      <w:r>
        <w:rPr>
          <w:rFonts w:ascii="Times New Roman" w:hAnsi="Times New Roman" w:cs="Times New Roman"/>
        </w:rPr>
        <w:t>d these provisions incorrectly</w:t>
      </w:r>
      <w:r w:rsidRPr="00B74863">
        <w:rPr>
          <w:rFonts w:ascii="Times New Roman" w:hAnsi="Times New Roman" w:cs="Times New Roman"/>
        </w:rPr>
        <w:t xml:space="preserve">. Germany and Luxembourg outnumber others, but a diverse set of countries—the Netherlands, Finland and Spain—failed to implement 8 to 10 provisions that required changes to national laws addressing discrimination based on sexual orientation. This pattern differs somewhat from the patterns of noncompliance reported in previous studies of </w:t>
      </w:r>
      <w:r w:rsidR="00354565">
        <w:rPr>
          <w:rFonts w:ascii="Times New Roman" w:hAnsi="Times New Roman" w:cs="Times New Roman"/>
        </w:rPr>
        <w:t>non</w:t>
      </w:r>
      <w:r w:rsidRPr="00B74863">
        <w:rPr>
          <w:rFonts w:ascii="Times New Roman" w:hAnsi="Times New Roman" w:cs="Times New Roman"/>
        </w:rPr>
        <w:t xml:space="preserve">compliance with the EED </w:t>
      </w:r>
      <w:r>
        <w:rPr>
          <w:rFonts w:ascii="Times New Roman" w:hAnsi="Times New Roman" w:cs="Times New Roman"/>
        </w:rPr>
        <w:t>that do not control for legal subject matter.</w:t>
      </w:r>
      <w:r w:rsidRPr="00B74863">
        <w:rPr>
          <w:rFonts w:ascii="Times New Roman" w:hAnsi="Times New Roman" w:cs="Times New Roman"/>
        </w:rPr>
        <w:t xml:space="preserve"> For </w:t>
      </w:r>
      <w:r w:rsidRPr="00B74863">
        <w:rPr>
          <w:rFonts w:ascii="Times New Roman" w:hAnsi="Times New Roman" w:cs="Times New Roman"/>
        </w:rPr>
        <w:lastRenderedPageBreak/>
        <w:t>instance, drawing from Commission reports and confirmed by labor law experts, Zhelyazkova and Torenvlied (2011) find 26 cases where an EED provision was not implemented correctly, without controlling for the legal subject matter, but experts in the field of sexual and gender discrimination law identify a total of 24 cases of incorrect transposition not included in the authors’ analysis specifically in reference to sexual orientation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{"citationID":"qMli5y75","properties":{"formattedCitation":"(Zhelyazkova and Torenvlied 2011)","plainCitation":"(Zhelyazkova and Torenvlied 2011)"},"citationItems":[{"id":988,"uris":["http://zotero.org/users/local/jz89q5UV/items/9VWTXTRF"],"uri":["http://zotero.org/users/local/jz89q5UV/items/9VWTXTRF"],"itemData":{"id":988,"type":"article-journal","title":"The successful transposition of European provisions by member states: application to the Framework Equality Directive","container-title":"Journal of European Public Policy","page":"690-708","volume":"18","issue":"5","source":"Taylor and Francis+NEJM","abstract":"The present study aims to explain variation between member states in compliance with provisions of a European Union (EU) law. Predictions are derived about the effects of technical fit, discretion, Commission warnings, and conflict in the Council on the probability of member-state transposition of separate EU policy requirements. Hypotheses are tested on the level of compliance of 15 member states with 27 major provisions laid down in the Framework Equality Directive (2000/78/EC). Extensive analysis of documents and reports from key informants provided information on member-state transposition progress at the end of 2004 and 2006. Results show that the domestic adaptation costs to a provision play an important role for member-state transposition success: high levels of fit and provisions granting discretion improve member-state transposition success. Formal warnings by the Commission lead to a better compliance record, while conflict in the Council does not affect the successful transposition of provisions.","DOI":"10.1080/13501763.2011.586799","ISSN":"1350-1763","shortTitle":"The successful transposition of European provisions by member states","author":[{"family":"Zhelyazkova","given":"Asya"},{"family":"Torenvlied","given":"René"}],"issued":{"date-parts":[["2011",8,1]]}}}],"schema":"https://github.com/citation-style-language/schema/raw/master/csl-citation.json"}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(Zhelyazkova and Torenvlied 2011)</w:t>
      </w:r>
      <w:r>
        <w:rPr>
          <w:rFonts w:ascii="Times New Roman" w:hAnsi="Times New Roman" w:cs="Times New Roman"/>
        </w:rPr>
        <w:fldChar w:fldCharType="end"/>
      </w:r>
      <w:r w:rsidRPr="00B74863">
        <w:rPr>
          <w:rFonts w:ascii="Times New Roman" w:hAnsi="Times New Roman" w:cs="Times New Roman"/>
        </w:rPr>
        <w:t>. Moreover, incorrect transposition of laws addressing sexual orientation discrimination is not strongly correlated with noncompliance without controlling for subject matter (</w:t>
      </w:r>
      <w:r w:rsidRPr="00B74863">
        <w:rPr>
          <w:rFonts w:ascii="Times New Roman" w:hAnsi="Times New Roman" w:cs="Times New Roman"/>
          <w:i/>
        </w:rPr>
        <w:t>r</w:t>
      </w:r>
      <w:r w:rsidRPr="00B74863">
        <w:rPr>
          <w:rFonts w:ascii="Times New Roman" w:hAnsi="Times New Roman" w:cs="Times New Roman"/>
          <w:i/>
          <w:vertAlign w:val="superscript"/>
        </w:rPr>
        <w:t xml:space="preserve">2 </w:t>
      </w:r>
      <w:r w:rsidRPr="00B74863">
        <w:rPr>
          <w:rFonts w:ascii="Times New Roman" w:hAnsi="Times New Roman" w:cs="Times New Roman"/>
          <w:i/>
        </w:rPr>
        <w:t>= 0.47</w:t>
      </w:r>
      <w:r w:rsidRPr="00B74863">
        <w:rPr>
          <w:rFonts w:ascii="Times New Roman" w:hAnsi="Times New Roman" w:cs="Times New Roman"/>
        </w:rPr>
        <w:t xml:space="preserve">). </w:t>
      </w:r>
      <w:r w:rsidR="00B45488">
        <w:rPr>
          <w:rFonts w:ascii="Times New Roman" w:hAnsi="Times New Roman" w:cs="Times New Roman"/>
        </w:rPr>
        <w:t>This is</w:t>
      </w:r>
      <w:r w:rsidRPr="00B74863">
        <w:rPr>
          <w:rFonts w:ascii="Times New Roman" w:hAnsi="Times New Roman" w:cs="Times New Roman"/>
        </w:rPr>
        <w:t xml:space="preserve"> preliminary evidence that noncompliance depends on what type of discrimination national legislation implementing the EED is seeking to address.</w:t>
      </w:r>
    </w:p>
    <w:p w14:paraId="4B514FE5" w14:textId="77777777" w:rsidR="00B03BE7" w:rsidRPr="00B74863" w:rsidRDefault="00B03BE7" w:rsidP="008F19F4">
      <w:pPr>
        <w:spacing w:line="480" w:lineRule="auto"/>
        <w:outlineLvl w:val="0"/>
        <w:rPr>
          <w:rFonts w:ascii="Times New Roman" w:hAnsi="Times New Roman" w:cs="Times New Roman"/>
          <w:i/>
        </w:rPr>
      </w:pPr>
      <w:r w:rsidRPr="00B74863">
        <w:rPr>
          <w:rFonts w:ascii="Times New Roman" w:hAnsi="Times New Roman" w:cs="Times New Roman"/>
          <w:i/>
        </w:rPr>
        <w:t>Dependent Variable</w:t>
      </w:r>
    </w:p>
    <w:p w14:paraId="11C4F0A9" w14:textId="0224702D" w:rsidR="00B03BE7" w:rsidRPr="00B74863" w:rsidRDefault="00B03BE7" w:rsidP="008F19F4">
      <w:pPr>
        <w:spacing w:line="480" w:lineRule="auto"/>
        <w:ind w:firstLine="360"/>
        <w:rPr>
          <w:rFonts w:ascii="Times New Roman" w:hAnsi="Times New Roman" w:cs="Times New Roman"/>
        </w:rPr>
      </w:pPr>
      <w:r w:rsidRPr="00B74863">
        <w:rPr>
          <w:rFonts w:ascii="Times New Roman" w:hAnsi="Times New Roman" w:cs="Times New Roman"/>
        </w:rPr>
        <w:t>Compliance quality data come from several sources, including Waaldijk and Bonini-Baraldi’s comparative study of the Employment Equality Directive</w:t>
      </w:r>
      <w:r w:rsidR="00201BF3">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{"citationID":"ulevrxXU","properties":{"formattedCitation":"(Waaldijk and Bonini-Baraldi 2006)","plainCitation":"(Waaldijk and Bonini-Baraldi 2006)"},"citationItems":[{"id":1001,"uris":["http://zotero.org/users/local/jz89q5UV/items/7G7ZRVC2"],"uri":["http://zotero.org/users/local/jz89q5UV/items/7G7ZRVC2"],"itemData":{"id":1001,"type":"book","title":"Sexual Orientation Discrimination in the European Union: National Laws and the Employment Equality Directive","publisher":"Cambridge University Press","number-of-pages":"276","source":"Google Books","abstract":"Chapter 1 1 Introduction Among the recent positive developments in European Union law with regard to the legal situation of lesbian, gay and bisexual persons, the clear prohibition of discrimination in employment and occupation contained in the Employment Equality Directive is the most important. Certainly, since 1999 article 13 of the EC Treaty, which forms the legal basis for this Directive, already mentions sexual orientation among the protected grounds, but this Treaty provision only enables the Council of the EC to adopt appropriate action against discrimination. This is precisely what happened on 27 November 2000, when the Council adopted Directive 2000/78/EC establishing a general framework for equal treatment in em- 2 ployment and occupation (hereafter the Directive). Prior to its enactment, eight of the then fifteen Member States, two of the current new Member States (the Czech Republic and Slovenia), and one of the current acceding countries (- mania) had legislation in place prohibiting sexual orientation discrimination in employment. However, these laws followed a variety of approaches, which were not always consistent with the Directive’s requirements. All Member States were required to make some changes to their legislative framework in order to imp- ment the provisions of the Directive with respect to discrimination based on sexual orientation (and with respect to discrimination based on any of the three other grounds covered by the Directive: religion or belief, disability, age).","ISBN":"978-90-6704-213-0","shortTitle":"Sexual Orientation Discrimination in the European Union","language":"en","author":[{"family":"Waaldijk","given":"C."},{"family":"Bonini-Baraldi","given":"Matteo"}],"issued":{"date-parts":[["2006",7,27]]}}}],"schema":"https://github.com/citation-style-language/schema/raw/master/csl-citation.json"}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(Waaldijk and Bonini-Baraldi 2006)</w:t>
      </w:r>
      <w:r>
        <w:rPr>
          <w:rFonts w:ascii="Times New Roman" w:hAnsi="Times New Roman" w:cs="Times New Roman"/>
        </w:rPr>
        <w:fldChar w:fldCharType="end"/>
      </w:r>
      <w:r w:rsidR="00201BF3">
        <w:rPr>
          <w:rFonts w:ascii="Times New Roman" w:hAnsi="Times New Roman" w:cs="Times New Roman"/>
        </w:rPr>
        <w:t>.</w:t>
      </w:r>
      <w:r w:rsidRPr="00B74863">
        <w:rPr>
          <w:rFonts w:ascii="Times New Roman" w:hAnsi="Times New Roman" w:cs="Times New Roman"/>
        </w:rPr>
        <w:t xml:space="preserve"> Their study provides a comprehensive list of legislation used to implement 15 provisions of the Directive related to non-discrimination based on sexual orientation and whether the implementing legislation </w:t>
      </w:r>
      <w:r w:rsidR="00457673">
        <w:rPr>
          <w:rFonts w:ascii="Times New Roman" w:hAnsi="Times New Roman" w:cs="Times New Roman"/>
        </w:rPr>
        <w:t xml:space="preserve">complies with the goals of each provision of the Directive. </w:t>
      </w:r>
      <w:r w:rsidR="00B346BD">
        <w:rPr>
          <w:rFonts w:ascii="Times New Roman" w:hAnsi="Times New Roman" w:cs="Times New Roman"/>
        </w:rPr>
        <w:t>S</w:t>
      </w:r>
      <w:r w:rsidRPr="00B74863">
        <w:rPr>
          <w:rFonts w:ascii="Times New Roman" w:hAnsi="Times New Roman" w:cs="Times New Roman"/>
        </w:rPr>
        <w:t xml:space="preserve">upplementary legal sources, including annual reports by the European Commission and the European Union Agency for Fundamental Rights </w:t>
      </w:r>
      <w:r w:rsidR="00B346BD">
        <w:rPr>
          <w:rFonts w:ascii="Times New Roman" w:hAnsi="Times New Roman" w:cs="Times New Roman"/>
        </w:rPr>
        <w:t xml:space="preserve">are used </w:t>
      </w:r>
      <w:r w:rsidRPr="00B74863">
        <w:rPr>
          <w:rFonts w:ascii="Times New Roman" w:hAnsi="Times New Roman" w:cs="Times New Roman"/>
        </w:rPr>
        <w:t>to confirm the authors’ findings and extend their time period of analysis. Each provision was coded according to whether expert sources or the Commission evaluated the national legislation as conforming (1) or not conforming (0) to the Directive’s goals.</w:t>
      </w:r>
      <w:r w:rsidRPr="00042CE3">
        <w:rPr>
          <w:rStyle w:val="EndnoteReference"/>
        </w:rPr>
        <w:endnoteReference w:id="18"/>
      </w:r>
    </w:p>
    <w:p w14:paraId="2DF3AB4A" w14:textId="77777777" w:rsidR="00B03BE7" w:rsidRPr="00B74863" w:rsidRDefault="00B03BE7" w:rsidP="00C878FB">
      <w:pPr>
        <w:spacing w:line="480" w:lineRule="auto"/>
        <w:outlineLvl w:val="0"/>
        <w:rPr>
          <w:rFonts w:ascii="Times New Roman" w:hAnsi="Times New Roman" w:cs="Times New Roman"/>
          <w:i/>
        </w:rPr>
      </w:pPr>
      <w:r w:rsidRPr="00B74863">
        <w:rPr>
          <w:rFonts w:ascii="Times New Roman" w:hAnsi="Times New Roman" w:cs="Times New Roman"/>
          <w:i/>
        </w:rPr>
        <w:t>Measuring Church-State Relations</w:t>
      </w:r>
    </w:p>
    <w:p w14:paraId="77FF072D" w14:textId="25F89544"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t>I draw on indicators from the Religion and the State Project, Round 2 to measure how much a state endorses religious</w:t>
      </w:r>
      <w:r>
        <w:rPr>
          <w:rFonts w:ascii="Times New Roman" w:hAnsi="Times New Roman" w:cs="Times New Roman"/>
        </w:rPr>
        <w:t xml:space="preserve"> groups and supports them</w:t>
      </w:r>
      <w:r w:rsidRPr="00B74863">
        <w:rPr>
          <w:rFonts w:ascii="Times New Roman" w:hAnsi="Times New Roman" w:cs="Times New Roman"/>
        </w:rPr>
        <w:t>.</w:t>
      </w:r>
      <w:r w:rsidRPr="00042CE3">
        <w:rPr>
          <w:rStyle w:val="EndnoteReference"/>
        </w:rPr>
        <w:endnoteReference w:id="19"/>
      </w:r>
      <w:r w:rsidRPr="00B74863">
        <w:rPr>
          <w:rFonts w:ascii="Times New Roman" w:hAnsi="Times New Roman" w:cs="Times New Roman"/>
        </w:rPr>
        <w:t xml:space="preserve"> First, I include a general measure of the </w:t>
      </w:r>
      <w:r w:rsidRPr="00B74863">
        <w:rPr>
          <w:rFonts w:ascii="Times New Roman" w:hAnsi="Times New Roman" w:cs="Times New Roman"/>
        </w:rPr>
        <w:lastRenderedPageBreak/>
        <w:t>formal relationship between religion and the state</w:t>
      </w:r>
      <w:r w:rsidR="00B346BD">
        <w:rPr>
          <w:rFonts w:ascii="Times New Roman" w:hAnsi="Times New Roman" w:cs="Times New Roman"/>
        </w:rPr>
        <w:t xml:space="preserve"> by using</w:t>
      </w:r>
      <w:r w:rsidRPr="00B74863">
        <w:rPr>
          <w:rFonts w:ascii="Times New Roman" w:hAnsi="Times New Roman" w:cs="Times New Roman"/>
        </w:rPr>
        <w:t xml:space="preserve"> its GIR score. I then include these specific measures: whether the clergy holds official government positions, which measures the extent to which religious organizations can have a direct impact on the implementation of EU law. Second, besides running charities and hospitals, education is one of the key social service activities religious groups—both Catholic and Protestant—provide. Therefore, I also include a measure of direct state support for religious schools. State support of religion is measured using data from the International Religion Freedom Dataset</w:t>
      </w:r>
      <w:r w:rsidR="00201BF3">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{"citationID":"2XJg98WS","properties":{"formattedCitation":"(Grim and Finke 2006)","plainCitation":"(Grim and Finke 2006)"},"citationItems":[{"id":1362,"uris":["http://zotero.org/users/local/jz89q5UV/items/5CEM73JS"],"uri":["http://zotero.org/users/local/jz89q5UV/items/5CEM73JS"],"itemData":{"id":1362,"type":"article-journal","title":"International religion indexes: Government regulation, government favoritism, and social regulation of religion.","container-title":"Interdisciplinary Journal of Research on Religion","page":"1-40","volume":"2","issue":"1","author":[{"family":"Grim","given":"Brian J."},{"family":"Finke","given":"Roger"}],"issued":{"date-parts":[["2006"]]}}}],"schema":"https://github.com/citation-style-language/schema/raw/master/csl-citation.json"}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(Grim and Finke 2006)</w:t>
      </w:r>
      <w:r>
        <w:rPr>
          <w:rFonts w:ascii="Times New Roman" w:hAnsi="Times New Roman" w:cs="Times New Roman"/>
        </w:rPr>
        <w:fldChar w:fldCharType="end"/>
      </w:r>
      <w:r w:rsidR="00201BF3">
        <w:rPr>
          <w:rFonts w:ascii="Times New Roman" w:hAnsi="Times New Roman" w:cs="Times New Roman"/>
        </w:rPr>
        <w:t>.</w:t>
      </w:r>
      <w:r w:rsidRPr="00B74863">
        <w:rPr>
          <w:rFonts w:ascii="Times New Roman" w:hAnsi="Times New Roman" w:cs="Times New Roman"/>
        </w:rPr>
        <w:t xml:space="preserve"> The IRFD project measures the extent to which governments fund religious efforts and varies from “not at all” to “yes, but funding is not equal for all.” </w:t>
      </w:r>
    </w:p>
    <w:p w14:paraId="0DC34CA0" w14:textId="5B7DB58E"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t>The extent to which the state supports religious creeds and doctrine is indicated by the state’s morality policy. According to the RAS project, there are approximately 51 different types of religious laws governments may adopt, some of which relate to dietary restrictions, homosexuality, blasphemy, as well as the recognition of religion and the Sabbath. It also includes whether the government collects taxes on behalf of religious institutions and whether those with religious positions hold positions in government. Jonathan Fox identifies 51 laws the state can have to enforce religious precepts</w:t>
      </w:r>
      <w:r w:rsidR="00013F2D">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{"citationID":"iB5ZIXHa","properties":{"formattedCitation":"{\\rtf (Fox 2015, 67\\uc0\\u8211{}80)}","plainCitation":"(Fox 2015, 67–80)"},"citationItems":[{"id":1352,"uris":["http://zotero.org/users/local/jz89q5UV/items/DF9MEPF4"],"uri":["http://zotero.org/users/local/jz89q5UV/items/DF9MEPF4"],"itemData":{"id":1352,"type":"book","title":"Political Secularism, Religion, and the State","publisher":"Cambridge University Press","number-of-pages":"297","source":"Google Books","abstract":"This book examines 111 types of state religion policy in 177 countries between 1990 and 2008. Jonathan Fox argues that policy is largely a result of the competition between political secular actors and religious actors, both of which try to influence state religion policy. While there are other factors that influence state religion policy and both the secular and religious camps are divided, Fox offers that the secular-religious competition perspective provides critical insight into the nature of religious politics across the globe. While many states have both increased and decreased their involvement in religion, Fox demonstrates that states which have become more involved in religion are far more common.","ISBN":"978-1-107-07674-7","note":"Google-Books-ID: HFi3BwAAQBAJ","language":"en","author":[{"family":"Fox","given":"Jonathan"}],"issued":{"date-parts":[["2015",4,27]]}},"locator":"67-80"}],"schema":"https://github.com/citation-style-language/schema/raw/master/csl-citation.json"} </w:instrText>
      </w:r>
      <w:r>
        <w:rPr>
          <w:rFonts w:ascii="Times New Roman" w:hAnsi="Times New Roman" w:cs="Times New Roman"/>
        </w:rPr>
        <w:fldChar w:fldCharType="separate"/>
      </w:r>
      <w:r w:rsidRPr="00E271F0">
        <w:rPr>
          <w:rFonts w:ascii="Times New Roman" w:eastAsia="Times New Roman" w:hAnsi="Times New Roman" w:cs="Times New Roman"/>
        </w:rPr>
        <w:t>(Fox 2015, 67–80)</w:t>
      </w:r>
      <w:r>
        <w:rPr>
          <w:rFonts w:ascii="Times New Roman" w:hAnsi="Times New Roman" w:cs="Times New Roman"/>
        </w:rPr>
        <w:fldChar w:fldCharType="end"/>
      </w:r>
      <w:r w:rsidR="00013F2D">
        <w:rPr>
          <w:rFonts w:ascii="Times New Roman" w:hAnsi="Times New Roman" w:cs="Times New Roman"/>
        </w:rPr>
        <w:t>.</w:t>
      </w:r>
      <w:r w:rsidRPr="00B74863">
        <w:rPr>
          <w:rFonts w:ascii="Times New Roman" w:hAnsi="Times New Roman" w:cs="Times New Roman"/>
        </w:rPr>
        <w:t xml:space="preserve"> The number of religious laws a state </w:t>
      </w:r>
      <w:r w:rsidR="00B346BD">
        <w:rPr>
          <w:rFonts w:ascii="Times New Roman" w:hAnsi="Times New Roman" w:cs="Times New Roman"/>
        </w:rPr>
        <w:t xml:space="preserve">has </w:t>
      </w:r>
      <w:r w:rsidRPr="00B74863">
        <w:rPr>
          <w:rFonts w:ascii="Times New Roman" w:hAnsi="Times New Roman" w:cs="Times New Roman"/>
        </w:rPr>
        <w:t>approximates the level of state support for the moral message of national religious organizations. I also include member states’ position</w:t>
      </w:r>
      <w:r>
        <w:rPr>
          <w:rFonts w:ascii="Times New Roman" w:hAnsi="Times New Roman" w:cs="Times New Roman"/>
        </w:rPr>
        <w:t>s</w:t>
      </w:r>
      <w:r w:rsidRPr="00B74863">
        <w:rPr>
          <w:rFonts w:ascii="Times New Roman" w:hAnsi="Times New Roman" w:cs="Times New Roman"/>
        </w:rPr>
        <w:t xml:space="preserve"> on the how broad the exemption for religious employers should </w:t>
      </w:r>
      <w:r>
        <w:rPr>
          <w:rFonts w:ascii="Times New Roman" w:hAnsi="Times New Roman" w:cs="Times New Roman"/>
        </w:rPr>
        <w:t xml:space="preserve">be </w:t>
      </w:r>
      <w:r w:rsidRPr="00B74863">
        <w:rPr>
          <w:rFonts w:ascii="Times New Roman" w:hAnsi="Times New Roman" w:cs="Times New Roman"/>
        </w:rPr>
        <w:t>as a proxy for relative supportive for the Directive.</w:t>
      </w:r>
    </w:p>
    <w:p w14:paraId="1BF05B1A" w14:textId="77777777" w:rsidR="00B03BE7" w:rsidRPr="00B74863" w:rsidRDefault="00B03BE7" w:rsidP="00C878FB">
      <w:pPr>
        <w:spacing w:line="480" w:lineRule="auto"/>
        <w:outlineLvl w:val="0"/>
        <w:rPr>
          <w:rFonts w:ascii="Times New Roman" w:hAnsi="Times New Roman" w:cs="Times New Roman"/>
          <w:i/>
        </w:rPr>
      </w:pPr>
      <w:r w:rsidRPr="00B74863">
        <w:rPr>
          <w:rFonts w:ascii="Times New Roman" w:hAnsi="Times New Roman" w:cs="Times New Roman"/>
          <w:i/>
        </w:rPr>
        <w:t xml:space="preserve">Control Variables </w:t>
      </w:r>
    </w:p>
    <w:p w14:paraId="6EE3ABAA" w14:textId="720F1347"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t xml:space="preserve">In countries where sexual orientation-based discrimination is high, implementing laws that improve protections for gay and lesbian workers will be more difficult. Reported high levels of sexual orientation discrimination in the workplace can reduce the quality of implementation in </w:t>
      </w:r>
      <w:r w:rsidRPr="00B74863">
        <w:rPr>
          <w:rFonts w:ascii="Times New Roman" w:hAnsi="Times New Roman" w:cs="Times New Roman"/>
        </w:rPr>
        <w:lastRenderedPageBreak/>
        <w:t xml:space="preserve">two ways. First, in societies where there are high levels of intolerance, governments are expected to experience a high level of opposition to the Directive. Employers may also oppose the law because it adds an additional regulatory burden. Yet, high levels of discrimination in society could suggest that the Directive is </w:t>
      </w:r>
      <w:r w:rsidR="00B346BD">
        <w:rPr>
          <w:rFonts w:ascii="Times New Roman" w:hAnsi="Times New Roman" w:cs="Times New Roman"/>
        </w:rPr>
        <w:t>wanted to help</w:t>
      </w:r>
      <w:r w:rsidRPr="00B74863">
        <w:rPr>
          <w:rFonts w:ascii="Times New Roman" w:hAnsi="Times New Roman" w:cs="Times New Roman"/>
        </w:rPr>
        <w:t xml:space="preserve"> combat discrimination, thereby improving the chances i</w:t>
      </w:r>
      <w:r w:rsidR="00B346BD">
        <w:rPr>
          <w:rFonts w:ascii="Times New Roman" w:hAnsi="Times New Roman" w:cs="Times New Roman"/>
        </w:rPr>
        <w:t>t i</w:t>
      </w:r>
      <w:r w:rsidRPr="00B74863">
        <w:rPr>
          <w:rFonts w:ascii="Times New Roman" w:hAnsi="Times New Roman" w:cs="Times New Roman"/>
        </w:rPr>
        <w:t xml:space="preserve">s correctly implemented. It should be noted that </w:t>
      </w:r>
      <w:r w:rsidR="00B346BD">
        <w:rPr>
          <w:rFonts w:ascii="Times New Roman" w:hAnsi="Times New Roman" w:cs="Times New Roman"/>
        </w:rPr>
        <w:t>data on the prevalence of discrimination</w:t>
      </w:r>
      <w:r w:rsidRPr="00B74863">
        <w:rPr>
          <w:rFonts w:ascii="Times New Roman" w:hAnsi="Times New Roman" w:cs="Times New Roman"/>
        </w:rPr>
        <w:t xml:space="preserve"> are based on the 2002 Eurobarometer survey, which may introduce specific biases that could limit reliability of the findings</w:t>
      </w:r>
      <w:r w:rsidR="00B346BD">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{"citationID":"W0QUFB8e","properties":{"formattedCitation":"(Commission 2002)","plainCitation":"(Commission 2002)"},"citationItems":[{"id":1135,"uris":["http://zotero.org/users/local/jz89q5UV/items/VEQ2MWVI"],"uri":["http://zotero.org/users/local/jz89q5UV/items/VEQ2MWVI"],"itemData":{"id":1135,"type":"article","title":"Eurobarometer 58","publisher":"GESIS Data Archive","author":[{"family":"Commission","given":"European"}],"issued":{"date-parts":[["2002",11]]}}}],"schema":"https://github.com/citation-style-language/schema/raw/master/csl-citation.json"}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(Commission 2002)</w:t>
      </w:r>
      <w:r>
        <w:rPr>
          <w:rFonts w:ascii="Times New Roman" w:hAnsi="Times New Roman" w:cs="Times New Roman"/>
        </w:rPr>
        <w:fldChar w:fldCharType="end"/>
      </w:r>
      <w:r w:rsidR="00B346BD">
        <w:rPr>
          <w:rFonts w:ascii="Times New Roman" w:hAnsi="Times New Roman" w:cs="Times New Roman"/>
        </w:rPr>
        <w:t>.</w:t>
      </w:r>
      <w:r w:rsidRPr="00B74863">
        <w:rPr>
          <w:rFonts w:ascii="Times New Roman" w:hAnsi="Times New Roman" w:cs="Times New Roman"/>
        </w:rPr>
        <w:t xml:space="preserve"> For example, in societies where discrimination is prevalent, respondents may be hesitant to admit its existence, or simply view discrimination as justifiable and, therefore, not report it. </w:t>
      </w:r>
      <w:r w:rsidR="00B346BD">
        <w:rPr>
          <w:rFonts w:ascii="Times New Roman" w:hAnsi="Times New Roman" w:cs="Times New Roman"/>
        </w:rPr>
        <w:t>Conversely, in some countries where laws exist to protect people from such discrimination, there is more reporting of its occurrence.</w:t>
      </w:r>
    </w:p>
    <w:p w14:paraId="2ECCECD7" w14:textId="547A3BB5" w:rsidR="00B03BE7" w:rsidRPr="00B74863" w:rsidRDefault="00B03BE7" w:rsidP="00C8659B">
      <w:pPr>
        <w:spacing w:line="480" w:lineRule="auto"/>
        <w:ind w:firstLine="360"/>
        <w:rPr>
          <w:rFonts w:ascii="Times New Roman" w:hAnsi="Times New Roman" w:cs="Times New Roman"/>
        </w:rPr>
      </w:pPr>
      <w:r w:rsidRPr="00B74863">
        <w:rPr>
          <w:rFonts w:ascii="Times New Roman" w:hAnsi="Times New Roman" w:cs="Times New Roman"/>
        </w:rPr>
        <w:t xml:space="preserve">I also controlled for whether legislation protecting gay and lesbian workers existed in member states. According to the survey by Waaldijk and Bonini-Baraldi (2006), 12 of 15 countries had some form of protection for gay and lesbian employees. </w:t>
      </w:r>
      <w:r w:rsidR="00B346BD">
        <w:rPr>
          <w:rFonts w:ascii="Times New Roman" w:hAnsi="Times New Roman" w:cs="Times New Roman"/>
        </w:rPr>
        <w:t>The costs of implementing these provisions</w:t>
      </w:r>
      <w:r w:rsidRPr="00B74863">
        <w:rPr>
          <w:rFonts w:ascii="Times New Roman" w:hAnsi="Times New Roman" w:cs="Times New Roman"/>
        </w:rPr>
        <w:t xml:space="preserve"> are likely to be lower when they are in place, and thus improve the chances of correct implementation. Data are coded such that when a country has any existing laws protecting gay and lesbian workers, they are assigned a value of 1, if not 0.</w:t>
      </w:r>
    </w:p>
    <w:p w14:paraId="7DA6C192" w14:textId="4AF01935" w:rsidR="00B03BE7" w:rsidRPr="00B74863" w:rsidRDefault="00B03BE7" w:rsidP="00C8659B">
      <w:pPr>
        <w:spacing w:line="480" w:lineRule="auto"/>
        <w:ind w:firstLine="360"/>
        <w:rPr>
          <w:rFonts w:ascii="Times New Roman" w:hAnsi="Times New Roman" w:cs="Times New Roman"/>
        </w:rPr>
      </w:pPr>
      <w:r w:rsidRPr="00B74863">
        <w:rPr>
          <w:rFonts w:ascii="Times New Roman" w:hAnsi="Times New Roman" w:cs="Times New Roman"/>
        </w:rPr>
        <w:t>Having existing legislation that protects employees from discrimination based on their sexual orientation may not be sufficient to guarantee compliance. Existing laws may be in place, but they do not meet the Directive’s requirements. For example, Zhelyazkova and Torenvlied (2011) find that the “degree of legal fit” explains when noncompliance happens</w:t>
      </w:r>
      <w:r w:rsidR="00457673">
        <w:rPr>
          <w:rFonts w:ascii="Times New Roman" w:hAnsi="Times New Roman" w:cs="Times New Roman"/>
        </w:rPr>
        <w:t xml:space="preserve"> across provisions</w:t>
      </w:r>
      <w:r w:rsidRPr="00B74863">
        <w:rPr>
          <w:rFonts w:ascii="Times New Roman" w:hAnsi="Times New Roman" w:cs="Times New Roman"/>
        </w:rPr>
        <w:t>.</w:t>
      </w:r>
      <w:r w:rsidRPr="00042CE3">
        <w:rPr>
          <w:rStyle w:val="EndnoteReference"/>
        </w:rPr>
        <w:endnoteReference w:id="20"/>
      </w:r>
      <w:r w:rsidRPr="00B74863">
        <w:rPr>
          <w:rFonts w:ascii="Times New Roman" w:hAnsi="Times New Roman" w:cs="Times New Roman"/>
        </w:rPr>
        <w:t xml:space="preserve"> Legal fit does not refer just to the presence of a law, but how well existing policy or practice matches the requirements of the directive. They find that when existing policy and practices are in place, compliance improves.</w:t>
      </w:r>
    </w:p>
    <w:p w14:paraId="4D55778F" w14:textId="09EC4587"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lastRenderedPageBreak/>
        <w:t>In their study, the authors measure fit without considering the type of discrimination the national transposing legislation must address. Instead, it is a general measure of overall policy that does not control for the type of discrimination the transposing legislation needs to address. Each provision requires member states pass legislation that combats discrimination based on a worker’s religion, age, and disability, in addition to sexual orientation. Only Articles 5 and 6 refer to specific types of discrimination, disability and age, respectively. Yet, “degrees of fit” are not likely to be the same across the different types of discrimination the EED is trying to prohibit. For example, Article 2.1 EED forbids both direct and indirect discrim</w:t>
      </w:r>
      <w:r w:rsidR="008D6EB2">
        <w:rPr>
          <w:rFonts w:ascii="Times New Roman" w:hAnsi="Times New Roman" w:cs="Times New Roman"/>
        </w:rPr>
        <w:t>ination across all four types. Yet, s</w:t>
      </w:r>
      <w:r w:rsidRPr="00B74863">
        <w:rPr>
          <w:rFonts w:ascii="Times New Roman" w:hAnsi="Times New Roman" w:cs="Times New Roman"/>
        </w:rPr>
        <w:t xml:space="preserve">ome countries have already such legislation that covers religious bias, but not disability or age discrimination. </w:t>
      </w:r>
      <w:r w:rsidR="00457673">
        <w:rPr>
          <w:rFonts w:ascii="Times New Roman" w:hAnsi="Times New Roman" w:cs="Times New Roman"/>
        </w:rPr>
        <w:t>This led to a distribution of national preferences over how strict the Directive would be.</w:t>
      </w:r>
      <w:r w:rsidRPr="00B74863">
        <w:rPr>
          <w:rFonts w:ascii="Times New Roman" w:hAnsi="Times New Roman" w:cs="Times New Roman"/>
        </w:rPr>
        <w:t xml:space="preserve"> </w:t>
      </w:r>
      <w:r w:rsidR="00457673">
        <w:rPr>
          <w:rFonts w:ascii="Times New Roman" w:hAnsi="Times New Roman" w:cs="Times New Roman"/>
        </w:rPr>
        <w:t xml:space="preserve">For example, Italy </w:t>
      </w:r>
      <w:r w:rsidRPr="00B74863">
        <w:rPr>
          <w:rFonts w:ascii="Times New Roman" w:hAnsi="Times New Roman" w:cs="Times New Roman"/>
        </w:rPr>
        <w:t>was most concerned about what “reasonable” accommodations were for disabled workers, as Italian businesses had fewer resources to make the workplace more accessible</w:t>
      </w:r>
      <w:r w:rsidR="00457673">
        <w:rPr>
          <w:rFonts w:ascii="Times New Roman" w:hAnsi="Times New Roman" w:cs="Times New Roman"/>
        </w:rPr>
        <w:t>, while other states had progressed further in providing equal access to disabled workers.</w:t>
      </w:r>
    </w:p>
    <w:p w14:paraId="2F3D93F1" w14:textId="05FC1526"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t xml:space="preserve">Therefore, general “degrees of fit” that do not control for legal subject matter can miss </w:t>
      </w:r>
      <w:r w:rsidR="008D6EB2">
        <w:rPr>
          <w:rFonts w:ascii="Times New Roman" w:hAnsi="Times New Roman" w:cs="Times New Roman"/>
        </w:rPr>
        <w:t xml:space="preserve">both much underlying variation, but also </w:t>
      </w:r>
      <w:r w:rsidRPr="00B74863">
        <w:rPr>
          <w:rFonts w:ascii="Times New Roman" w:hAnsi="Times New Roman" w:cs="Times New Roman"/>
        </w:rPr>
        <w:t>und</w:t>
      </w:r>
      <w:r w:rsidR="008D6EB2">
        <w:rPr>
          <w:rFonts w:ascii="Times New Roman" w:hAnsi="Times New Roman" w:cs="Times New Roman"/>
        </w:rPr>
        <w:t>erlying causes of noncompliance can vary depending on the type of discrimination a national law is meant to address when transposing a Directive’</w:t>
      </w:r>
      <w:r w:rsidR="00457673">
        <w:rPr>
          <w:rFonts w:ascii="Times New Roman" w:hAnsi="Times New Roman" w:cs="Times New Roman"/>
        </w:rPr>
        <w:t>s</w:t>
      </w:r>
      <w:r w:rsidR="008D6EB2">
        <w:rPr>
          <w:rFonts w:ascii="Times New Roman" w:hAnsi="Times New Roman" w:cs="Times New Roman"/>
        </w:rPr>
        <w:t xml:space="preserve"> provision.</w:t>
      </w:r>
      <w:r w:rsidRPr="00B74863">
        <w:rPr>
          <w:rFonts w:ascii="Times New Roman" w:hAnsi="Times New Roman" w:cs="Times New Roman"/>
        </w:rPr>
        <w:t xml:space="preserve"> In this study, I only consider sexual orientation discrimination. Additional research will be needed to assess whether similar or different factors account for noncompliance when considering the three other types of discrimination. However, to test whet</w:t>
      </w:r>
      <w:r w:rsidR="00457673">
        <w:rPr>
          <w:rFonts w:ascii="Times New Roman" w:hAnsi="Times New Roman" w:cs="Times New Roman"/>
        </w:rPr>
        <w:t xml:space="preserve">her overall policy fit matters and not the legal subject matter, </w:t>
      </w:r>
      <w:r w:rsidRPr="00B74863">
        <w:rPr>
          <w:rFonts w:ascii="Times New Roman" w:hAnsi="Times New Roman" w:cs="Times New Roman"/>
        </w:rPr>
        <w:t>I include Zhelyazkova and Torenvlied (2011)’s measure of “legal fit” explains when noncompliance happens either as often or better than those factors related to church-state relations.</w:t>
      </w:r>
    </w:p>
    <w:p w14:paraId="68614FB4" w14:textId="4117A855"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lastRenderedPageBreak/>
        <w:t>Since national parliaments typically implement directives, the partisan composition of the government is expected to affect implementation</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{"citationID":"AywmuCNj","properties":{"formattedCitation":"(Treib 2003)","plainCitation":"(Treib 2003)"},"citationItems":[{"id":904,"uris":["http://zotero.org/users/local/jz89q5UV/items/VKVM6Z52"],"uri":["http://zotero.org/users/local/jz89q5UV/items/VKVM6Z52"],"itemData":{"id":904,"type":"paper-conference","title":"EU Governance, Misfit, and the Partisan Logic of Domestic Adaptation","event":"European Union Studies Association","shortTitle":"EU Governance, Misfit, and the Partisan Logic of Domestic Adaptation","author":[{"family":"Treib","given":"Oliver"}],"issued":{"date-parts":[["2003"]]}}}],"schema":"https://github.com/citation-style-language/schema/raw/master/csl-citation.json"}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(Treib 2003)</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Left governments will implement the law with fewer mistakes because they generally favor expanding employee protections, are more likely to oppose religious groups, and can be more supportive of equal treatment for gay and lesbian workers. I measure government ideology by calculating partisan composition of the cabinet weighted by the number of seats each party holds in parliament.</w:t>
      </w:r>
      <w:r w:rsidRPr="00042CE3">
        <w:rPr>
          <w:rStyle w:val="EndnoteReference"/>
        </w:rPr>
        <w:endnoteReference w:id="21"/>
      </w:r>
      <w:r w:rsidRPr="00B74863">
        <w:rPr>
          <w:rFonts w:ascii="Times New Roman" w:hAnsi="Times New Roman" w:cs="Times New Roman"/>
        </w:rPr>
        <w:t xml:space="preserve"> Lower scores indicate a more left-leaning government.</w:t>
      </w:r>
    </w:p>
    <w:p w14:paraId="1FAA6AD2" w14:textId="69E5C6DC" w:rsidR="00B03BE7" w:rsidRPr="00B74863" w:rsidRDefault="00B03BE7" w:rsidP="007B21C1">
      <w:pPr>
        <w:spacing w:line="480" w:lineRule="auto"/>
        <w:ind w:firstLine="360"/>
        <w:rPr>
          <w:rFonts w:ascii="Times New Roman" w:hAnsi="Times New Roman" w:cs="Times New Roman"/>
        </w:rPr>
      </w:pPr>
      <w:r w:rsidRPr="00B74863">
        <w:rPr>
          <w:rFonts w:ascii="Times New Roman" w:hAnsi="Times New Roman" w:cs="Times New Roman"/>
        </w:rPr>
        <w:t>S</w:t>
      </w:r>
      <w:r>
        <w:rPr>
          <w:rFonts w:ascii="Times New Roman" w:hAnsi="Times New Roman" w:cs="Times New Roman"/>
        </w:rPr>
        <w:t xml:space="preserve">ome provisions of the Directive </w:t>
      </w:r>
      <w:r w:rsidRPr="00B74863">
        <w:rPr>
          <w:rFonts w:ascii="Times New Roman" w:hAnsi="Times New Roman" w:cs="Times New Roman"/>
        </w:rPr>
        <w:t>contain more flexibility than others. Increasing levels of discretion improve the odds that governments can devise policy solutions that reduce adjustment costs and, thus, are more likely to comply with EED provisions. Following the existing literature</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ADDIN ZOTERO_ITEM CSL_CITATION {"citationID":"lwq2xcUO","properties":{"formattedCitation":"(Thomson 2010)","plainCitation":"(Thomson 2010)"},"citationItems":[{"id":1019,"uris":["http://zotero.org/users/local/jz89q5UV/items/GJAU3CAJ"],"uri":["http://zotero.org/users/local/jz89q5UV/items/GJAU3CAJ"],"itemData":{"id":1019,"type":"article-journal","title":"Opposition through the back door in the transposition of EU directives","container-title":"European Union Politics","page":"577-596","volume":"11","issue":"4","source":"eup.sagepub.com","abstract":"Are member states less likely to transpose a European Union directive correctly if they disagreed with the directive at the decision-making stage? Existing research provides mixed answers to this question. Most of this research does not consider the role of the enforcement agent, the European Commission, and uses aggregate measures. By contrast, this study considers the impact of the Commission, and focuses on specific provisions in directives. It combines detailed information on states’ disagreement with each provision at the decision-making stage and the quality of national transposition of each provision. The descriptive analysis shows that protracted non-compliance in national transposition is a rare event. The explanatory analysis indicates that states’ policy preferences significantly affect the likelihood of transposition problems, and that this is conditioned by the behaviour of the Commission.","DOI":"10.1177/1465116510380283","ISSN":"1465-1165, 1741-2757","journalAbbreviation":"European Union Politics","language":"en","author":[{"family":"Thomson","given":"Robert"}],"issued":{"date-parts":[["2010",12,1]]}}}],"schema":"https://github.com/citation-style-language/schema/raw/master/csl-citation.json"}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(Thomson 2010)</w:t>
      </w:r>
      <w:r>
        <w:rPr>
          <w:rFonts w:ascii="Times New Roman" w:hAnsi="Times New Roman" w:cs="Times New Roman"/>
        </w:rPr>
        <w:fldChar w:fldCharType="end"/>
      </w:r>
      <w:r>
        <w:rPr>
          <w:rFonts w:ascii="Times New Roman" w:hAnsi="Times New Roman" w:cs="Times New Roman"/>
        </w:rPr>
        <w:t>,</w:t>
      </w:r>
      <w:r w:rsidRPr="00B74863">
        <w:rPr>
          <w:rFonts w:ascii="Times New Roman" w:hAnsi="Times New Roman" w:cs="Times New Roman"/>
        </w:rPr>
        <w:t xml:space="preserve"> I code this as 1 if a provision grants states discretion and 0 if it does not. </w:t>
      </w:r>
    </w:p>
    <w:p w14:paraId="3517AFCB" w14:textId="5D562A6C" w:rsidR="003905EA" w:rsidRPr="00B74863" w:rsidRDefault="00B03BE7" w:rsidP="003905EA">
      <w:pPr>
        <w:spacing w:line="480" w:lineRule="auto"/>
        <w:ind w:firstLine="360"/>
        <w:rPr>
          <w:rFonts w:ascii="Times New Roman" w:hAnsi="Times New Roman" w:cs="Times New Roman"/>
        </w:rPr>
      </w:pPr>
      <w:r w:rsidRPr="00B74863">
        <w:rPr>
          <w:rFonts w:ascii="Times New Roman" w:hAnsi="Times New Roman" w:cs="Times New Roman"/>
        </w:rPr>
        <w:t xml:space="preserve">Also included is an adjustment for whether the </w:t>
      </w:r>
      <w:r w:rsidR="008D6EB2">
        <w:rPr>
          <w:rFonts w:ascii="Times New Roman" w:hAnsi="Times New Roman" w:cs="Times New Roman"/>
        </w:rPr>
        <w:t xml:space="preserve">country’s </w:t>
      </w:r>
      <w:r w:rsidRPr="00B74863">
        <w:rPr>
          <w:rFonts w:ascii="Times New Roman" w:hAnsi="Times New Roman" w:cs="Times New Roman"/>
        </w:rPr>
        <w:t xml:space="preserve">majority religion is Catholic. In many Catholic countries, with the exception of Ireland, the secular state would challenge the Church’s role in education. The EED further challenged the Catholic Church by undermining </w:t>
      </w:r>
      <w:r w:rsidR="008D6EB2">
        <w:rPr>
          <w:rFonts w:ascii="Times New Roman" w:hAnsi="Times New Roman" w:cs="Times New Roman"/>
        </w:rPr>
        <w:t>its</w:t>
      </w:r>
      <w:r w:rsidRPr="00B74863">
        <w:rPr>
          <w:rFonts w:ascii="Times New Roman" w:hAnsi="Times New Roman" w:cs="Times New Roman"/>
        </w:rPr>
        <w:t xml:space="preserve"> institutional and doctrinal power. Therefore, in Catholic countries, the Church may impede proper implementation of the Directive.</w:t>
      </w:r>
      <w:r w:rsidRPr="00042CE3">
        <w:rPr>
          <w:rStyle w:val="EndnoteReference"/>
        </w:rPr>
        <w:endnoteReference w:id="22"/>
      </w:r>
      <w:r w:rsidRPr="00B74863">
        <w:rPr>
          <w:rFonts w:ascii="Times New Roman" w:hAnsi="Times New Roman" w:cs="Times New Roman"/>
        </w:rPr>
        <w:t xml:space="preserve"> </w:t>
      </w:r>
      <w:r w:rsidR="007B1ACD" w:rsidRPr="00B74863">
        <w:rPr>
          <w:rFonts w:ascii="Times New Roman" w:hAnsi="Times New Roman" w:cs="Times New Roman"/>
        </w:rPr>
        <w:t xml:space="preserve">Levels of Catholicism is an imperfect measure of the influence of the Catholic Church in both national politics and as an employer. </w:t>
      </w:r>
      <w:r w:rsidR="0040715E">
        <w:rPr>
          <w:rFonts w:ascii="Times New Roman" w:hAnsi="Times New Roman" w:cs="Times New Roman"/>
        </w:rPr>
        <w:t>While the indicator</w:t>
      </w:r>
      <w:r w:rsidR="007B1ACD" w:rsidRPr="00B74863">
        <w:rPr>
          <w:rFonts w:ascii="Times New Roman" w:hAnsi="Times New Roman" w:cs="Times New Roman"/>
        </w:rPr>
        <w:t xml:space="preserve"> measures the percentage</w:t>
      </w:r>
      <w:r w:rsidR="008D6EB2">
        <w:rPr>
          <w:rFonts w:ascii="Times New Roman" w:hAnsi="Times New Roman" w:cs="Times New Roman"/>
        </w:rPr>
        <w:t xml:space="preserve"> of the population that identifies</w:t>
      </w:r>
      <w:r w:rsidR="0097235A" w:rsidRPr="00B74863">
        <w:rPr>
          <w:rFonts w:ascii="Times New Roman" w:hAnsi="Times New Roman" w:cs="Times New Roman"/>
        </w:rPr>
        <w:t xml:space="preserve"> as Catholic</w:t>
      </w:r>
      <w:r w:rsidR="008D6EB2">
        <w:rPr>
          <w:rFonts w:ascii="Times New Roman" w:hAnsi="Times New Roman" w:cs="Times New Roman"/>
        </w:rPr>
        <w:t xml:space="preserve">, it </w:t>
      </w:r>
      <w:r w:rsidR="00457673">
        <w:rPr>
          <w:rFonts w:ascii="Times New Roman" w:hAnsi="Times New Roman" w:cs="Times New Roman"/>
        </w:rPr>
        <w:t>indirectly</w:t>
      </w:r>
      <w:r w:rsidR="008D6EB2">
        <w:rPr>
          <w:rFonts w:ascii="Times New Roman" w:hAnsi="Times New Roman" w:cs="Times New Roman"/>
        </w:rPr>
        <w:t xml:space="preserve"> measure</w:t>
      </w:r>
      <w:r w:rsidR="00457673">
        <w:rPr>
          <w:rFonts w:ascii="Times New Roman" w:hAnsi="Times New Roman" w:cs="Times New Roman"/>
        </w:rPr>
        <w:t>s</w:t>
      </w:r>
      <w:r w:rsidR="0040715E">
        <w:rPr>
          <w:rFonts w:ascii="Times New Roman" w:hAnsi="Times New Roman" w:cs="Times New Roman"/>
        </w:rPr>
        <w:t xml:space="preserve"> how </w:t>
      </w:r>
      <w:r w:rsidR="00457673">
        <w:rPr>
          <w:rFonts w:ascii="Times New Roman" w:hAnsi="Times New Roman" w:cs="Times New Roman"/>
        </w:rPr>
        <w:t>involved the Catholic Church is in</w:t>
      </w:r>
      <w:r w:rsidR="0040715E">
        <w:rPr>
          <w:rFonts w:ascii="Times New Roman" w:hAnsi="Times New Roman" w:cs="Times New Roman"/>
        </w:rPr>
        <w:t xml:space="preserve"> providing social services in a country and tries to influence state public policy. Catholic countries are more likely to oppose the Directive’s provisions that require them to refrain from discriminating against gay and lesbian employers and change other pieces of national legislation.</w:t>
      </w:r>
    </w:p>
    <w:p w14:paraId="67D0CBE2" w14:textId="77777777" w:rsidR="000E0635" w:rsidRDefault="004C592C" w:rsidP="00C878FB">
      <w:pPr>
        <w:spacing w:line="480" w:lineRule="auto"/>
        <w:outlineLvl w:val="0"/>
        <w:rPr>
          <w:rFonts w:ascii="Times New Roman" w:hAnsi="Times New Roman" w:cs="Times New Roman"/>
          <w:i/>
        </w:rPr>
      </w:pPr>
      <w:r w:rsidRPr="00B74863">
        <w:rPr>
          <w:rFonts w:ascii="Times New Roman" w:hAnsi="Times New Roman" w:cs="Times New Roman"/>
          <w:i/>
        </w:rPr>
        <w:t>Results</w:t>
      </w:r>
    </w:p>
    <w:p w14:paraId="18AE95C7" w14:textId="2948EEA6" w:rsidR="00D03346" w:rsidRPr="00D03346" w:rsidRDefault="00D03346" w:rsidP="00D03346">
      <w:pPr>
        <w:spacing w:line="480" w:lineRule="auto"/>
        <w:jc w:val="center"/>
        <w:outlineLvl w:val="0"/>
        <w:rPr>
          <w:rFonts w:ascii="Times New Roman" w:hAnsi="Times New Roman" w:cs="Times New Roman"/>
        </w:rPr>
      </w:pPr>
      <w:r>
        <w:rPr>
          <w:rFonts w:ascii="Times New Roman" w:hAnsi="Times New Roman" w:cs="Times New Roman"/>
        </w:rPr>
        <w:lastRenderedPageBreak/>
        <w:t>---INSERT TABLE 2 HERE---</w:t>
      </w:r>
    </w:p>
    <w:p w14:paraId="502A95E3" w14:textId="609A29F7" w:rsidR="00FA3AB5" w:rsidRPr="00B74863" w:rsidRDefault="003C05A1" w:rsidP="007B21C1">
      <w:pPr>
        <w:spacing w:line="480" w:lineRule="auto"/>
        <w:ind w:firstLine="450"/>
        <w:rPr>
          <w:rFonts w:ascii="Times New Roman" w:hAnsi="Times New Roman" w:cs="Times New Roman"/>
        </w:rPr>
      </w:pPr>
      <w:r w:rsidRPr="00B74863">
        <w:rPr>
          <w:rFonts w:ascii="Times New Roman" w:hAnsi="Times New Roman" w:cs="Times New Roman"/>
        </w:rPr>
        <w:t>Table 2</w:t>
      </w:r>
      <w:r w:rsidR="00944CC0" w:rsidRPr="00B74863">
        <w:rPr>
          <w:rFonts w:ascii="Times New Roman" w:hAnsi="Times New Roman" w:cs="Times New Roman"/>
        </w:rPr>
        <w:t xml:space="preserve"> </w:t>
      </w:r>
      <w:r w:rsidR="007620EE" w:rsidRPr="00B74863">
        <w:rPr>
          <w:rFonts w:ascii="Times New Roman" w:hAnsi="Times New Roman" w:cs="Times New Roman"/>
        </w:rPr>
        <w:t xml:space="preserve">reports the </w:t>
      </w:r>
      <w:r w:rsidR="00FA3AB5" w:rsidRPr="00B74863">
        <w:rPr>
          <w:rFonts w:ascii="Times New Roman" w:hAnsi="Times New Roman" w:cs="Times New Roman"/>
        </w:rPr>
        <w:t xml:space="preserve">statistical results of fitting a mixed-effects logistical regression model. </w:t>
      </w:r>
      <w:r w:rsidR="00044C1A" w:rsidRPr="00B74863">
        <w:rPr>
          <w:rFonts w:ascii="Times New Roman" w:hAnsi="Times New Roman" w:cs="Times New Roman"/>
        </w:rPr>
        <w:t xml:space="preserve">The dependent variable is the expected probability that a member state will implement a provision addressing sexual orientation incorrectly. </w:t>
      </w:r>
      <w:r w:rsidR="00C519CE" w:rsidRPr="00B74863">
        <w:rPr>
          <w:rFonts w:ascii="Times New Roman" w:hAnsi="Times New Roman" w:cs="Times New Roman"/>
        </w:rPr>
        <w:t xml:space="preserve">The unit of analysis is </w:t>
      </w:r>
      <w:r w:rsidR="0088400F" w:rsidRPr="00B74863">
        <w:rPr>
          <w:rFonts w:ascii="Times New Roman" w:hAnsi="Times New Roman" w:cs="Times New Roman"/>
        </w:rPr>
        <w:t>the implementation of a provision of the Directive among 15 member states, yielding</w:t>
      </w:r>
      <w:r w:rsidR="00C519CE" w:rsidRPr="00B74863">
        <w:rPr>
          <w:rFonts w:ascii="Times New Roman" w:hAnsi="Times New Roman" w:cs="Times New Roman"/>
        </w:rPr>
        <w:t xml:space="preserve"> 225 observations for each model. </w:t>
      </w:r>
      <w:r w:rsidR="00FA3AB5" w:rsidRPr="00B74863">
        <w:rPr>
          <w:rFonts w:ascii="Times New Roman" w:hAnsi="Times New Roman" w:cs="Times New Roman"/>
        </w:rPr>
        <w:t>A cross-classified design was used to account for the dependence between observations, which belong to two different groups—member state and provision</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{"citationID":"MF93FXM5","properties":{"formattedCitation":"(Raudenbush and Bryk 2002)","plainCitation":"(Raudenbush and Bryk 2002)"},"citationItems":[{"id":1022,"uris":["http://zotero.org/users/local/jz89q5UV/items/FGG7XVW2"],"uri":["http://zotero.org/users/local/jz89q5UV/items/FGG7XVW2"],"itemData":{"id":1022,"type":"book","title":"Hierarchical Linear Models: Applications and Data Analysis Methods","publisher":"SAGE","number-of-pages":"520","source":"Google Books","abstract":"Popular in the First Edition for its rich, illustrative examples and lucid explanations of the theory and use of hierarchical linear models (HLM), the book has been reorganized into four parts with four completely new chapters. The first two parts, Part I on \"The Logic of Hierarchical Linear Modeling\" and Part II on \"Basic Applications\" closely parallel the first nine chapters of the previous edition with significant expansions and technical clarifications, such as:  * An intuitive introductory summary of the basic procedures for estimation and inference used with HLM models that only requires a minimal level of mathematical sophistication in Chapter 3* New section on multivariate growth models in Chapter 6 * A discussion of research synthesis or meta-analysis applications in Chapter 7* Data analytic advice on centering of level-1 predictors and new material on plausible value intervals and robust standard estimators","ISBN":"978-0-7619-1904-9","shortTitle":"Hierarchical Linear Models","language":"en","author":[{"family":"Raudenbush","given":"Stephen W."},{"family":"Bryk","given":"Anthony S."}],"issued":{"date-parts":[["2002"]]}}}],"schema":"https://github.com/citation-style-language/schema/raw/master/csl-citation.json"}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(Raudenbush and Bryk 2002)</w:t>
      </w:r>
      <w:r w:rsidR="003A5879">
        <w:rPr>
          <w:rFonts w:ascii="Times New Roman" w:hAnsi="Times New Roman" w:cs="Times New Roman"/>
        </w:rPr>
        <w:fldChar w:fldCharType="end"/>
      </w:r>
      <w:r w:rsidR="00E271F0">
        <w:rPr>
          <w:rFonts w:ascii="Times New Roman" w:hAnsi="Times New Roman" w:cs="Times New Roman"/>
        </w:rPr>
        <w:t>,</w:t>
      </w:r>
      <w:r w:rsidR="00FA3AB5" w:rsidRPr="00B74863">
        <w:rPr>
          <w:rFonts w:ascii="Times New Roman" w:hAnsi="Times New Roman" w:cs="Times New Roman"/>
        </w:rPr>
        <w:t xml:space="preserve"> </w:t>
      </w:r>
    </w:p>
    <w:p w14:paraId="2A3E1F32" w14:textId="4898C968" w:rsidR="00D03346" w:rsidRDefault="00D1106D" w:rsidP="0040715E">
      <w:pPr>
        <w:spacing w:line="480" w:lineRule="auto"/>
        <w:ind w:firstLine="450"/>
        <w:rPr>
          <w:rFonts w:ascii="Times New Roman" w:hAnsi="Times New Roman" w:cs="Times New Roman"/>
        </w:rPr>
      </w:pPr>
      <w:r w:rsidRPr="00B74863">
        <w:rPr>
          <w:rFonts w:ascii="Times New Roman" w:hAnsi="Times New Roman" w:cs="Times New Roman"/>
        </w:rPr>
        <w:t>Model 1</w:t>
      </w:r>
      <w:r w:rsidR="007620EE" w:rsidRPr="00B74863">
        <w:rPr>
          <w:rFonts w:ascii="Times New Roman" w:hAnsi="Times New Roman" w:cs="Times New Roman"/>
        </w:rPr>
        <w:t xml:space="preserve"> </w:t>
      </w:r>
      <w:r w:rsidR="00E536F6" w:rsidRPr="00B74863">
        <w:rPr>
          <w:rFonts w:ascii="Times New Roman" w:hAnsi="Times New Roman" w:cs="Times New Roman"/>
        </w:rPr>
        <w:t>includes factors affect</w:t>
      </w:r>
      <w:r w:rsidR="009616E4" w:rsidRPr="00B74863">
        <w:rPr>
          <w:rFonts w:ascii="Times New Roman" w:hAnsi="Times New Roman" w:cs="Times New Roman"/>
        </w:rPr>
        <w:t xml:space="preserve">ing </w:t>
      </w:r>
      <w:r w:rsidR="00E536F6" w:rsidRPr="00B74863">
        <w:rPr>
          <w:rFonts w:ascii="Times New Roman" w:hAnsi="Times New Roman" w:cs="Times New Roman"/>
        </w:rPr>
        <w:t>state preferences</w:t>
      </w:r>
      <w:r w:rsidRPr="00B74863">
        <w:rPr>
          <w:rFonts w:ascii="Times New Roman" w:hAnsi="Times New Roman" w:cs="Times New Roman"/>
        </w:rPr>
        <w:t xml:space="preserve"> and</w:t>
      </w:r>
      <w:r w:rsidR="00E536F6" w:rsidRPr="00B74863">
        <w:rPr>
          <w:rFonts w:ascii="Times New Roman" w:hAnsi="Times New Roman" w:cs="Times New Roman"/>
        </w:rPr>
        <w:t xml:space="preserve"> </w:t>
      </w:r>
      <w:r w:rsidR="009E78F9" w:rsidRPr="00B74863">
        <w:rPr>
          <w:rFonts w:ascii="Times New Roman" w:hAnsi="Times New Roman" w:cs="Times New Roman"/>
        </w:rPr>
        <w:t>the process of “uploading” EU policy</w:t>
      </w:r>
      <w:r w:rsidR="00F617B7" w:rsidRPr="00B74863">
        <w:rPr>
          <w:rFonts w:ascii="Times New Roman" w:hAnsi="Times New Roman" w:cs="Times New Roman"/>
        </w:rPr>
        <w:t xml:space="preserve"> </w:t>
      </w:r>
      <w:r w:rsidR="005E0A89" w:rsidRPr="00B74863">
        <w:rPr>
          <w:rFonts w:ascii="Times New Roman" w:hAnsi="Times New Roman" w:cs="Times New Roman"/>
        </w:rPr>
        <w:t>un</w:t>
      </w:r>
      <w:r w:rsidR="00F617B7" w:rsidRPr="00B74863">
        <w:rPr>
          <w:rFonts w:ascii="Times New Roman" w:hAnsi="Times New Roman" w:cs="Times New Roman"/>
        </w:rPr>
        <w:t>related to a country’s official religion policy</w:t>
      </w:r>
      <w:r w:rsidR="004B2E28" w:rsidRPr="00B74863">
        <w:rPr>
          <w:rFonts w:ascii="Times New Roman" w:hAnsi="Times New Roman" w:cs="Times New Roman"/>
        </w:rPr>
        <w:t>, or opposition at the “front door.”</w:t>
      </w:r>
      <w:r w:rsidR="00F617B7" w:rsidRPr="00B74863">
        <w:rPr>
          <w:rFonts w:ascii="Times New Roman" w:hAnsi="Times New Roman" w:cs="Times New Roman"/>
        </w:rPr>
        <w:t xml:space="preserve"> </w:t>
      </w:r>
      <w:r w:rsidR="00A64799" w:rsidRPr="00B74863">
        <w:rPr>
          <w:rFonts w:ascii="Times New Roman" w:hAnsi="Times New Roman" w:cs="Times New Roman"/>
        </w:rPr>
        <w:t>Model 1 includes those factors that are likely to affect the demand for the EED.</w:t>
      </w:r>
      <w:r w:rsidR="007A4371" w:rsidRPr="00B74863">
        <w:rPr>
          <w:rFonts w:ascii="Times New Roman" w:hAnsi="Times New Roman" w:cs="Times New Roman"/>
        </w:rPr>
        <w:t xml:space="preserve"> </w:t>
      </w:r>
      <w:r w:rsidR="00643A6B" w:rsidRPr="00B74863">
        <w:rPr>
          <w:rFonts w:ascii="Times New Roman" w:hAnsi="Times New Roman" w:cs="Times New Roman"/>
        </w:rPr>
        <w:t>None</w:t>
      </w:r>
      <w:r w:rsidR="00E908E8" w:rsidRPr="00B74863">
        <w:rPr>
          <w:rFonts w:ascii="Times New Roman" w:hAnsi="Times New Roman" w:cs="Times New Roman"/>
        </w:rPr>
        <w:t xml:space="preserve"> of these factors</w:t>
      </w:r>
      <w:r w:rsidR="00643A6B" w:rsidRPr="00B74863">
        <w:rPr>
          <w:rFonts w:ascii="Times New Roman" w:hAnsi="Times New Roman" w:cs="Times New Roman"/>
        </w:rPr>
        <w:t xml:space="preserve"> are statistically significant</w:t>
      </w:r>
      <w:r w:rsidR="00E908E8" w:rsidRPr="00B74863">
        <w:rPr>
          <w:rFonts w:ascii="Times New Roman" w:hAnsi="Times New Roman" w:cs="Times New Roman"/>
        </w:rPr>
        <w:t>.</w:t>
      </w:r>
      <w:r w:rsidR="00AC26D3" w:rsidRPr="00B74863">
        <w:rPr>
          <w:rFonts w:ascii="Times New Roman" w:hAnsi="Times New Roman" w:cs="Times New Roman"/>
        </w:rPr>
        <w:t xml:space="preserve"> </w:t>
      </w:r>
      <w:r w:rsidRPr="00B74863">
        <w:rPr>
          <w:rFonts w:ascii="Times New Roman" w:hAnsi="Times New Roman" w:cs="Times New Roman"/>
        </w:rPr>
        <w:t>Model 2</w:t>
      </w:r>
      <w:r w:rsidR="00FA3B10" w:rsidRPr="00B74863">
        <w:rPr>
          <w:rFonts w:ascii="Times New Roman" w:hAnsi="Times New Roman" w:cs="Times New Roman"/>
        </w:rPr>
        <w:t xml:space="preserve"> </w:t>
      </w:r>
      <w:r w:rsidR="0040715E">
        <w:rPr>
          <w:rFonts w:ascii="Times New Roman" w:hAnsi="Times New Roman" w:cs="Times New Roman"/>
        </w:rPr>
        <w:t xml:space="preserve">then </w:t>
      </w:r>
      <w:r w:rsidR="00D13051" w:rsidRPr="00B74863">
        <w:rPr>
          <w:rFonts w:ascii="Times New Roman" w:hAnsi="Times New Roman" w:cs="Times New Roman"/>
        </w:rPr>
        <w:t xml:space="preserve">tests the probability that how a state supports religious actors </w:t>
      </w:r>
      <w:r w:rsidR="00457673">
        <w:rPr>
          <w:rFonts w:ascii="Times New Roman" w:hAnsi="Times New Roman" w:cs="Times New Roman"/>
        </w:rPr>
        <w:t>decreases the probability that</w:t>
      </w:r>
      <w:r w:rsidR="00D13051" w:rsidRPr="00B74863">
        <w:rPr>
          <w:rFonts w:ascii="Times New Roman" w:hAnsi="Times New Roman" w:cs="Times New Roman"/>
        </w:rPr>
        <w:t xml:space="preserve"> implementation</w:t>
      </w:r>
      <w:r w:rsidR="00457673">
        <w:rPr>
          <w:rFonts w:ascii="Times New Roman" w:hAnsi="Times New Roman" w:cs="Times New Roman"/>
        </w:rPr>
        <w:t xml:space="preserve"> will comply with the provision’s goals. </w:t>
      </w:r>
      <w:r w:rsidR="00756CB6" w:rsidRPr="00B74863">
        <w:rPr>
          <w:rFonts w:ascii="Times New Roman" w:hAnsi="Times New Roman" w:cs="Times New Roman"/>
        </w:rPr>
        <w:t>All indicators</w:t>
      </w:r>
      <w:r w:rsidR="00D13051" w:rsidRPr="00B74863">
        <w:rPr>
          <w:rFonts w:ascii="Times New Roman" w:hAnsi="Times New Roman" w:cs="Times New Roman"/>
        </w:rPr>
        <w:t xml:space="preserve"> with the exception of direct grants</w:t>
      </w:r>
      <w:r w:rsidR="00756CB6" w:rsidRPr="00B74863">
        <w:rPr>
          <w:rFonts w:ascii="Times New Roman" w:hAnsi="Times New Roman" w:cs="Times New Roman"/>
        </w:rPr>
        <w:t xml:space="preserve"> of </w:t>
      </w:r>
      <w:r w:rsidR="004B2E28" w:rsidRPr="00B74863">
        <w:rPr>
          <w:rFonts w:ascii="Times New Roman" w:hAnsi="Times New Roman" w:cs="Times New Roman"/>
        </w:rPr>
        <w:t xml:space="preserve">organized </w:t>
      </w:r>
      <w:r w:rsidR="00756CB6" w:rsidRPr="00B74863">
        <w:rPr>
          <w:rFonts w:ascii="Times New Roman" w:hAnsi="Times New Roman" w:cs="Times New Roman"/>
        </w:rPr>
        <w:t>religion’s strength show that the probability of correct implementation decreases when religious actors are strongly supported by the state</w:t>
      </w:r>
      <w:r w:rsidR="005E0A89" w:rsidRPr="00B74863">
        <w:rPr>
          <w:rFonts w:ascii="Times New Roman" w:hAnsi="Times New Roman" w:cs="Times New Roman"/>
        </w:rPr>
        <w:t>, though t</w:t>
      </w:r>
      <w:r w:rsidR="00756CB6" w:rsidRPr="00B74863">
        <w:rPr>
          <w:rFonts w:ascii="Times New Roman" w:hAnsi="Times New Roman" w:cs="Times New Roman"/>
        </w:rPr>
        <w:t xml:space="preserve">he </w:t>
      </w:r>
      <w:r w:rsidR="005E0A89" w:rsidRPr="00B74863">
        <w:rPr>
          <w:rFonts w:ascii="Times New Roman" w:hAnsi="Times New Roman" w:cs="Times New Roman"/>
        </w:rPr>
        <w:t>effects</w:t>
      </w:r>
      <w:r w:rsidR="00756CB6" w:rsidRPr="00B74863">
        <w:rPr>
          <w:rFonts w:ascii="Times New Roman" w:hAnsi="Times New Roman" w:cs="Times New Roman"/>
        </w:rPr>
        <w:t xml:space="preserve"> </w:t>
      </w:r>
      <w:r w:rsidR="005E0A89" w:rsidRPr="00B74863">
        <w:rPr>
          <w:rFonts w:ascii="Times New Roman" w:hAnsi="Times New Roman" w:cs="Times New Roman"/>
        </w:rPr>
        <w:t xml:space="preserve">vary </w:t>
      </w:r>
      <w:r w:rsidR="00756CB6" w:rsidRPr="00B74863">
        <w:rPr>
          <w:rFonts w:ascii="Times New Roman" w:hAnsi="Times New Roman" w:cs="Times New Roman"/>
        </w:rPr>
        <w:t xml:space="preserve">in extent. </w:t>
      </w:r>
      <w:r w:rsidR="004F149E">
        <w:rPr>
          <w:rFonts w:ascii="Times New Roman" w:hAnsi="Times New Roman" w:cs="Times New Roman"/>
        </w:rPr>
        <w:t>Figure 2</w:t>
      </w:r>
      <w:r w:rsidR="00AA0B20" w:rsidRPr="00B74863">
        <w:rPr>
          <w:rFonts w:ascii="Times New Roman" w:hAnsi="Times New Roman" w:cs="Times New Roman"/>
        </w:rPr>
        <w:t xml:space="preserve"> shows the</w:t>
      </w:r>
      <w:r w:rsidR="00AD1942" w:rsidRPr="00B74863">
        <w:rPr>
          <w:rFonts w:ascii="Times New Roman" w:hAnsi="Times New Roman" w:cs="Times New Roman"/>
        </w:rPr>
        <w:t xml:space="preserve"> marginal effects of the main variables of interest.</w:t>
      </w:r>
    </w:p>
    <w:p w14:paraId="1C6726DA" w14:textId="0701F8BE" w:rsidR="00D03346" w:rsidRDefault="00D03346" w:rsidP="00D03346">
      <w:pPr>
        <w:spacing w:line="480" w:lineRule="auto"/>
        <w:ind w:firstLine="450"/>
        <w:jc w:val="center"/>
        <w:rPr>
          <w:rFonts w:ascii="Times New Roman" w:hAnsi="Times New Roman" w:cs="Times New Roman"/>
        </w:rPr>
      </w:pPr>
      <w:r>
        <w:rPr>
          <w:rFonts w:ascii="Times New Roman" w:hAnsi="Times New Roman" w:cs="Times New Roman"/>
        </w:rPr>
        <w:t>---INSERT FIGURE 2 HERE---</w:t>
      </w:r>
    </w:p>
    <w:p w14:paraId="717C3880" w14:textId="71B04CBD" w:rsidR="0010654B" w:rsidRPr="00B74863" w:rsidRDefault="00756CB6" w:rsidP="00D03346">
      <w:pPr>
        <w:spacing w:line="480" w:lineRule="auto"/>
        <w:rPr>
          <w:rFonts w:ascii="Times New Roman" w:hAnsi="Times New Roman" w:cs="Times New Roman"/>
        </w:rPr>
      </w:pPr>
      <w:r w:rsidRPr="00B74863">
        <w:rPr>
          <w:rFonts w:ascii="Times New Roman" w:hAnsi="Times New Roman" w:cs="Times New Roman"/>
        </w:rPr>
        <w:t xml:space="preserve">Government </w:t>
      </w:r>
      <w:r w:rsidR="00AD1942" w:rsidRPr="00B74863">
        <w:rPr>
          <w:rFonts w:ascii="Times New Roman" w:hAnsi="Times New Roman" w:cs="Times New Roman"/>
        </w:rPr>
        <w:t>funds to religious or</w:t>
      </w:r>
      <w:r w:rsidR="00D13051" w:rsidRPr="00B74863">
        <w:rPr>
          <w:rFonts w:ascii="Times New Roman" w:hAnsi="Times New Roman" w:cs="Times New Roman"/>
        </w:rPr>
        <w:t xml:space="preserve">ganizations and support for a religious </w:t>
      </w:r>
      <w:r w:rsidR="00AD1942" w:rsidRPr="00B74863">
        <w:rPr>
          <w:rFonts w:ascii="Times New Roman" w:hAnsi="Times New Roman" w:cs="Times New Roman"/>
        </w:rPr>
        <w:t>educational system reduces the probability of compliance by approximately 5%</w:t>
      </w:r>
      <w:r w:rsidR="00D1106D" w:rsidRPr="00B74863">
        <w:rPr>
          <w:rFonts w:ascii="Times New Roman" w:hAnsi="Times New Roman" w:cs="Times New Roman"/>
        </w:rPr>
        <w:t>, while r</w:t>
      </w:r>
      <w:r w:rsidR="00AD1942" w:rsidRPr="00B74863">
        <w:rPr>
          <w:rFonts w:ascii="Times New Roman" w:hAnsi="Times New Roman" w:cs="Times New Roman"/>
        </w:rPr>
        <w:t>eligious policies decrease the chances of compliance</w:t>
      </w:r>
      <w:r w:rsidR="00285DA8" w:rsidRPr="00B74863">
        <w:rPr>
          <w:rFonts w:ascii="Times New Roman" w:hAnsi="Times New Roman" w:cs="Times New Roman"/>
        </w:rPr>
        <w:t xml:space="preserve"> </w:t>
      </w:r>
      <w:r w:rsidR="00AD1942" w:rsidRPr="00B74863">
        <w:rPr>
          <w:rFonts w:ascii="Times New Roman" w:hAnsi="Times New Roman" w:cs="Times New Roman"/>
        </w:rPr>
        <w:t xml:space="preserve">by less than 1%. </w:t>
      </w:r>
      <w:r w:rsidR="0010654B" w:rsidRPr="00B74863">
        <w:rPr>
          <w:rFonts w:ascii="Times New Roman" w:hAnsi="Times New Roman" w:cs="Times New Roman"/>
        </w:rPr>
        <w:t xml:space="preserve">The one exception is whether states award grants to religious institutions. Compliance improves when governments directly support them. The positive relationship </w:t>
      </w:r>
      <w:r w:rsidR="003547EC" w:rsidRPr="00B74863">
        <w:rPr>
          <w:rFonts w:ascii="Times New Roman" w:hAnsi="Times New Roman" w:cs="Times New Roman"/>
        </w:rPr>
        <w:t xml:space="preserve">may indicate that governments already exercise a lot of control over the conditions under which </w:t>
      </w:r>
      <w:r w:rsidR="00D3465E" w:rsidRPr="00B74863">
        <w:rPr>
          <w:rFonts w:ascii="Times New Roman" w:hAnsi="Times New Roman" w:cs="Times New Roman"/>
        </w:rPr>
        <w:t xml:space="preserve">religious organizations receive grants and, therefore, have less difficult </w:t>
      </w:r>
      <w:r w:rsidR="00D3465E" w:rsidRPr="00B74863">
        <w:rPr>
          <w:rFonts w:ascii="Times New Roman" w:hAnsi="Times New Roman" w:cs="Times New Roman"/>
        </w:rPr>
        <w:lastRenderedPageBreak/>
        <w:t>implementing provisions when they support religion financial in the form of direct grants.</w:t>
      </w:r>
      <w:r w:rsidR="00D13051" w:rsidRPr="00B74863">
        <w:rPr>
          <w:rFonts w:ascii="Times New Roman" w:hAnsi="Times New Roman" w:cs="Times New Roman"/>
        </w:rPr>
        <w:t xml:space="preserve"> Overall, general support for religious organizations decreases the probability a provision is transposed correctly.</w:t>
      </w:r>
    </w:p>
    <w:p w14:paraId="7B63B1F0" w14:textId="45907C4A" w:rsidR="00AC4AC8" w:rsidRPr="00B74863" w:rsidRDefault="0079077F" w:rsidP="007B21C1">
      <w:pPr>
        <w:spacing w:line="480" w:lineRule="auto"/>
        <w:ind w:firstLine="450"/>
        <w:rPr>
          <w:rFonts w:ascii="Times New Roman" w:hAnsi="Times New Roman" w:cs="Times New Roman"/>
        </w:rPr>
      </w:pPr>
      <w:r w:rsidRPr="00B74863">
        <w:rPr>
          <w:rFonts w:ascii="Times New Roman" w:hAnsi="Times New Roman" w:cs="Times New Roman"/>
        </w:rPr>
        <w:t xml:space="preserve">Increasing percentages of EU citizens that report feeling discriminated based on their sexual orientation decrease the likelihood that a provision will be implemented correctly. This can indicate that rather than national governments perceiving that sexual orientation discrimination is a problem </w:t>
      </w:r>
      <w:r w:rsidR="0010654B" w:rsidRPr="00B74863">
        <w:rPr>
          <w:rFonts w:ascii="Times New Roman" w:hAnsi="Times New Roman" w:cs="Times New Roman"/>
        </w:rPr>
        <w:t xml:space="preserve">the directive will help alleviate and prevent, that governments consider implementing a provision correctly as costly. This may be due to entrenched public opinion that discrimination based on sexual orientation is legitimate and changing laws that address it are unwelcome.     </w:t>
      </w:r>
      <w:r w:rsidRPr="00B74863">
        <w:rPr>
          <w:rFonts w:ascii="Times New Roman" w:hAnsi="Times New Roman" w:cs="Times New Roman"/>
        </w:rPr>
        <w:t xml:space="preserve"> </w:t>
      </w:r>
    </w:p>
    <w:p w14:paraId="2B2F9995" w14:textId="2D5285BF" w:rsidR="004B2E28" w:rsidRPr="00B74863" w:rsidRDefault="00AD1942" w:rsidP="007B21C1">
      <w:pPr>
        <w:spacing w:line="480" w:lineRule="auto"/>
        <w:ind w:firstLine="450"/>
        <w:rPr>
          <w:rFonts w:ascii="Times New Roman" w:hAnsi="Times New Roman" w:cs="Times New Roman"/>
        </w:rPr>
      </w:pPr>
      <w:r w:rsidRPr="00B74863">
        <w:rPr>
          <w:rFonts w:ascii="Times New Roman" w:hAnsi="Times New Roman" w:cs="Times New Roman"/>
        </w:rPr>
        <w:t>The factor that has the largest effect is Catholicism. If a country</w:t>
      </w:r>
      <w:r w:rsidR="00285DA8" w:rsidRPr="00B74863">
        <w:rPr>
          <w:rFonts w:ascii="Times New Roman" w:hAnsi="Times New Roman" w:cs="Times New Roman"/>
        </w:rPr>
        <w:t xml:space="preserve">’s dominant religion is </w:t>
      </w:r>
      <w:r w:rsidRPr="00B74863">
        <w:rPr>
          <w:rFonts w:ascii="Times New Roman" w:hAnsi="Times New Roman" w:cs="Times New Roman"/>
        </w:rPr>
        <w:t xml:space="preserve">Catholic, then </w:t>
      </w:r>
      <w:r w:rsidR="00AC4AC8" w:rsidRPr="00B74863">
        <w:rPr>
          <w:rFonts w:ascii="Times New Roman" w:hAnsi="Times New Roman" w:cs="Times New Roman"/>
        </w:rPr>
        <w:t>the chances of implementation decrease by about 10%. One interpretation is that the dominance of the Catholic faith and dogma</w:t>
      </w:r>
      <w:r w:rsidR="004B7CCF" w:rsidRPr="00B74863">
        <w:rPr>
          <w:rFonts w:ascii="Times New Roman" w:hAnsi="Times New Roman" w:cs="Times New Roman"/>
        </w:rPr>
        <w:t xml:space="preserve">, which </w:t>
      </w:r>
      <w:r w:rsidR="00AC4AC8" w:rsidRPr="00B74863">
        <w:rPr>
          <w:rFonts w:ascii="Times New Roman" w:hAnsi="Times New Roman" w:cs="Times New Roman"/>
        </w:rPr>
        <w:t>condemn homosexuality</w:t>
      </w:r>
      <w:r w:rsidR="004B7CCF" w:rsidRPr="00B74863">
        <w:rPr>
          <w:rFonts w:ascii="Times New Roman" w:hAnsi="Times New Roman" w:cs="Times New Roman"/>
        </w:rPr>
        <w:t>,</w:t>
      </w:r>
      <w:r w:rsidR="00AC4AC8" w:rsidRPr="00B74863">
        <w:rPr>
          <w:rFonts w:ascii="Times New Roman" w:hAnsi="Times New Roman" w:cs="Times New Roman"/>
        </w:rPr>
        <w:t xml:space="preserve"> explain</w:t>
      </w:r>
      <w:r w:rsidR="00724421" w:rsidRPr="00B74863">
        <w:rPr>
          <w:rFonts w:ascii="Times New Roman" w:hAnsi="Times New Roman" w:cs="Times New Roman"/>
        </w:rPr>
        <w:t>s</w:t>
      </w:r>
      <w:r w:rsidR="00AC4AC8" w:rsidRPr="00B74863">
        <w:rPr>
          <w:rFonts w:ascii="Times New Roman" w:hAnsi="Times New Roman" w:cs="Times New Roman"/>
        </w:rPr>
        <w:t xml:space="preserve"> poor implementation. </w:t>
      </w:r>
      <w:r w:rsidR="00724421" w:rsidRPr="00B74863">
        <w:rPr>
          <w:rFonts w:ascii="Times New Roman" w:hAnsi="Times New Roman" w:cs="Times New Roman"/>
        </w:rPr>
        <w:t xml:space="preserve">But, overall, European societies have become more secular and, as public opinion has shifted toward accepting homosexuality </w:t>
      </w:r>
      <w:r w:rsidR="008D6EB2">
        <w:rPr>
          <w:rFonts w:ascii="Times New Roman" w:hAnsi="Times New Roman" w:cs="Times New Roman"/>
        </w:rPr>
        <w:t>by</w:t>
      </w:r>
      <w:r w:rsidR="00724421" w:rsidRPr="00B74863">
        <w:rPr>
          <w:rFonts w:ascii="Times New Roman" w:hAnsi="Times New Roman" w:cs="Times New Roman"/>
        </w:rPr>
        <w:t xml:space="preserve"> large segments of the population among all EU </w:t>
      </w:r>
      <w:r w:rsidR="006D4E89" w:rsidRPr="00B74863">
        <w:rPr>
          <w:rFonts w:ascii="Times New Roman" w:hAnsi="Times New Roman" w:cs="Times New Roman"/>
        </w:rPr>
        <w:t>member state</w:t>
      </w:r>
      <w:r w:rsidR="00724421" w:rsidRPr="00B74863">
        <w:rPr>
          <w:rFonts w:ascii="Times New Roman" w:hAnsi="Times New Roman" w:cs="Times New Roman"/>
        </w:rPr>
        <w:t>s, it is m</w:t>
      </w:r>
      <w:r w:rsidR="00AC4AC8" w:rsidRPr="00B74863">
        <w:rPr>
          <w:rFonts w:ascii="Times New Roman" w:hAnsi="Times New Roman" w:cs="Times New Roman"/>
        </w:rPr>
        <w:t xml:space="preserve">ore likely is that Catholic </w:t>
      </w:r>
      <w:r w:rsidR="00044C1A" w:rsidRPr="00B74863">
        <w:rPr>
          <w:rFonts w:ascii="Times New Roman" w:hAnsi="Times New Roman" w:cs="Times New Roman"/>
        </w:rPr>
        <w:t>C</w:t>
      </w:r>
      <w:r w:rsidR="00AC4AC8" w:rsidRPr="00B74863">
        <w:rPr>
          <w:rFonts w:ascii="Times New Roman" w:hAnsi="Times New Roman" w:cs="Times New Roman"/>
        </w:rPr>
        <w:t xml:space="preserve">hurches have long been </w:t>
      </w:r>
      <w:r w:rsidR="004B7CCF" w:rsidRPr="00B74863">
        <w:rPr>
          <w:rFonts w:ascii="Times New Roman" w:hAnsi="Times New Roman" w:cs="Times New Roman"/>
        </w:rPr>
        <w:t xml:space="preserve">allowed </w:t>
      </w:r>
      <w:r w:rsidR="00AC4AC8" w:rsidRPr="00B74863">
        <w:rPr>
          <w:rFonts w:ascii="Times New Roman" w:hAnsi="Times New Roman" w:cs="Times New Roman"/>
        </w:rPr>
        <w:t xml:space="preserve">to run separate educational systems and make hiring decisions without </w:t>
      </w:r>
      <w:r w:rsidR="00DC5E25" w:rsidRPr="00B74863">
        <w:rPr>
          <w:rFonts w:ascii="Times New Roman" w:hAnsi="Times New Roman" w:cs="Times New Roman"/>
        </w:rPr>
        <w:t xml:space="preserve">state interference. This was the core opposition </w:t>
      </w:r>
      <w:r w:rsidR="004B7CCF" w:rsidRPr="00B74863">
        <w:rPr>
          <w:rFonts w:ascii="Times New Roman" w:hAnsi="Times New Roman" w:cs="Times New Roman"/>
        </w:rPr>
        <w:t xml:space="preserve">advanced </w:t>
      </w:r>
      <w:r w:rsidR="00DC5E25" w:rsidRPr="00B74863">
        <w:rPr>
          <w:rFonts w:ascii="Times New Roman" w:hAnsi="Times New Roman" w:cs="Times New Roman"/>
        </w:rPr>
        <w:t xml:space="preserve">by Catholic school systems in Ireland and Scotland. </w:t>
      </w:r>
    </w:p>
    <w:p w14:paraId="3AAE3A0D" w14:textId="70FA82DB" w:rsidR="009530DB" w:rsidRPr="00B74863" w:rsidRDefault="00DC5E25" w:rsidP="007B21C1">
      <w:pPr>
        <w:spacing w:line="480" w:lineRule="auto"/>
        <w:ind w:firstLine="450"/>
        <w:rPr>
          <w:rFonts w:ascii="Times New Roman" w:hAnsi="Times New Roman" w:cs="Times New Roman"/>
        </w:rPr>
      </w:pPr>
      <w:r w:rsidRPr="00B74863">
        <w:rPr>
          <w:rFonts w:ascii="Times New Roman" w:hAnsi="Times New Roman" w:cs="Times New Roman"/>
        </w:rPr>
        <w:t>In contrast to other indicators of religious influence, if the government give</w:t>
      </w:r>
      <w:r w:rsidR="004B7CCF" w:rsidRPr="00B74863">
        <w:rPr>
          <w:rFonts w:ascii="Times New Roman" w:hAnsi="Times New Roman" w:cs="Times New Roman"/>
        </w:rPr>
        <w:t>s</w:t>
      </w:r>
      <w:r w:rsidRPr="00B74863">
        <w:rPr>
          <w:rFonts w:ascii="Times New Roman" w:hAnsi="Times New Roman" w:cs="Times New Roman"/>
        </w:rPr>
        <w:t xml:space="preserve"> general grants to religious institutions,</w:t>
      </w:r>
      <w:r w:rsidR="007E413A" w:rsidRPr="00B74863">
        <w:rPr>
          <w:rFonts w:ascii="Times New Roman" w:hAnsi="Times New Roman" w:cs="Times New Roman"/>
        </w:rPr>
        <w:t xml:space="preserve"> compliance improves. This may be an area that religious organizations care less about as it does not involve speci</w:t>
      </w:r>
      <w:r w:rsidR="006E4DC2" w:rsidRPr="00B74863">
        <w:rPr>
          <w:rFonts w:ascii="Times New Roman" w:hAnsi="Times New Roman" w:cs="Times New Roman"/>
        </w:rPr>
        <w:t>fic hiring and firing practices</w:t>
      </w:r>
      <w:r w:rsidR="00D440DA" w:rsidRPr="00B74863">
        <w:rPr>
          <w:rFonts w:ascii="Times New Roman" w:hAnsi="Times New Roman" w:cs="Times New Roman"/>
        </w:rPr>
        <w:t xml:space="preserve">; as such, </w:t>
      </w:r>
      <w:r w:rsidR="006E4DC2" w:rsidRPr="00B74863">
        <w:rPr>
          <w:rFonts w:ascii="Times New Roman" w:hAnsi="Times New Roman" w:cs="Times New Roman"/>
        </w:rPr>
        <w:t xml:space="preserve">religious organizations </w:t>
      </w:r>
      <w:r w:rsidR="00D440DA" w:rsidRPr="00B74863">
        <w:rPr>
          <w:rFonts w:ascii="Times New Roman" w:hAnsi="Times New Roman" w:cs="Times New Roman"/>
        </w:rPr>
        <w:t xml:space="preserve">might be </w:t>
      </w:r>
      <w:r w:rsidR="006E4DC2" w:rsidRPr="00B74863">
        <w:rPr>
          <w:rFonts w:ascii="Times New Roman" w:hAnsi="Times New Roman" w:cs="Times New Roman"/>
        </w:rPr>
        <w:t xml:space="preserve">less likely to mobilize resources to oppose compliance. One unexpected result is that </w:t>
      </w:r>
      <w:r w:rsidR="00D77880" w:rsidRPr="00B74863">
        <w:rPr>
          <w:rFonts w:ascii="Times New Roman" w:hAnsi="Times New Roman" w:cs="Times New Roman"/>
        </w:rPr>
        <w:t>politically right-leaning</w:t>
      </w:r>
      <w:r w:rsidR="006E4DC2" w:rsidRPr="00B74863">
        <w:rPr>
          <w:rFonts w:ascii="Times New Roman" w:hAnsi="Times New Roman" w:cs="Times New Roman"/>
        </w:rPr>
        <w:t xml:space="preserve"> governments are more likely to comply with </w:t>
      </w:r>
      <w:r w:rsidR="004B7CCF" w:rsidRPr="00B74863">
        <w:rPr>
          <w:rFonts w:ascii="Times New Roman" w:hAnsi="Times New Roman" w:cs="Times New Roman"/>
        </w:rPr>
        <w:t>EED</w:t>
      </w:r>
      <w:r w:rsidR="006E4DC2" w:rsidRPr="00B74863">
        <w:rPr>
          <w:rFonts w:ascii="Times New Roman" w:hAnsi="Times New Roman" w:cs="Times New Roman"/>
        </w:rPr>
        <w:t xml:space="preserve"> provision</w:t>
      </w:r>
      <w:r w:rsidR="004B7CCF" w:rsidRPr="00B74863">
        <w:rPr>
          <w:rFonts w:ascii="Times New Roman" w:hAnsi="Times New Roman" w:cs="Times New Roman"/>
        </w:rPr>
        <w:t>s</w:t>
      </w:r>
      <w:r w:rsidR="006E4DC2" w:rsidRPr="00B74863">
        <w:rPr>
          <w:rFonts w:ascii="Times New Roman" w:hAnsi="Times New Roman" w:cs="Times New Roman"/>
        </w:rPr>
        <w:t>.</w:t>
      </w:r>
      <w:r w:rsidR="00AA4348" w:rsidRPr="00B74863">
        <w:rPr>
          <w:rFonts w:ascii="Times New Roman" w:hAnsi="Times New Roman" w:cs="Times New Roman"/>
        </w:rPr>
        <w:t xml:space="preserve"> </w:t>
      </w:r>
      <w:r w:rsidR="00D3465E" w:rsidRPr="00B74863">
        <w:rPr>
          <w:rFonts w:ascii="Times New Roman" w:hAnsi="Times New Roman" w:cs="Times New Roman"/>
        </w:rPr>
        <w:t>One explanation is that, controlling for support of rel</w:t>
      </w:r>
      <w:r w:rsidR="00D13051" w:rsidRPr="00B74863">
        <w:rPr>
          <w:rFonts w:ascii="Times New Roman" w:hAnsi="Times New Roman" w:cs="Times New Roman"/>
        </w:rPr>
        <w:t>i</w:t>
      </w:r>
      <w:r w:rsidR="00D3465E" w:rsidRPr="00B74863">
        <w:rPr>
          <w:rFonts w:ascii="Times New Roman" w:hAnsi="Times New Roman" w:cs="Times New Roman"/>
        </w:rPr>
        <w:t xml:space="preserve">gion, </w:t>
      </w:r>
      <w:r w:rsidR="009530DB" w:rsidRPr="00B74863">
        <w:rPr>
          <w:rFonts w:ascii="Times New Roman" w:hAnsi="Times New Roman" w:cs="Times New Roman"/>
        </w:rPr>
        <w:t xml:space="preserve">it is unlikely that </w:t>
      </w:r>
      <w:r w:rsidR="00D77880" w:rsidRPr="00B74863">
        <w:rPr>
          <w:rFonts w:ascii="Times New Roman" w:hAnsi="Times New Roman" w:cs="Times New Roman"/>
        </w:rPr>
        <w:lastRenderedPageBreak/>
        <w:t xml:space="preserve">politically </w:t>
      </w:r>
      <w:r w:rsidR="009530DB" w:rsidRPr="00B74863">
        <w:rPr>
          <w:rFonts w:ascii="Times New Roman" w:hAnsi="Times New Roman" w:cs="Times New Roman"/>
        </w:rPr>
        <w:t>right</w:t>
      </w:r>
      <w:r w:rsidR="004B7CCF" w:rsidRPr="00B74863">
        <w:rPr>
          <w:rFonts w:ascii="Times New Roman" w:hAnsi="Times New Roman" w:cs="Times New Roman"/>
        </w:rPr>
        <w:t>-</w:t>
      </w:r>
      <w:r w:rsidR="00D77880" w:rsidRPr="00B74863">
        <w:rPr>
          <w:rFonts w:ascii="Times New Roman" w:hAnsi="Times New Roman" w:cs="Times New Roman"/>
        </w:rPr>
        <w:t>leaning</w:t>
      </w:r>
      <w:r w:rsidR="009530DB" w:rsidRPr="00B74863">
        <w:rPr>
          <w:rFonts w:ascii="Times New Roman" w:hAnsi="Times New Roman" w:cs="Times New Roman"/>
        </w:rPr>
        <w:t xml:space="preserve"> parties </w:t>
      </w:r>
      <w:r w:rsidR="004B2E28" w:rsidRPr="00B74863">
        <w:rPr>
          <w:rFonts w:ascii="Times New Roman" w:hAnsi="Times New Roman" w:cs="Times New Roman"/>
        </w:rPr>
        <w:t xml:space="preserve">were supportive of the law. To recall, the Equality in Employment Directive was part of a series of legislative items to show that the EU would take an active role in combatting discrimination in Europe. </w:t>
      </w:r>
      <w:r w:rsidR="00AD7A0F" w:rsidRPr="00B74863">
        <w:rPr>
          <w:rFonts w:ascii="Times New Roman" w:hAnsi="Times New Roman" w:cs="Times New Roman"/>
        </w:rPr>
        <w:t xml:space="preserve">The laws were also an attempt to blunt the growing popularity extreme rightwing populist parties, such as the entry of the extreme rightwing </w:t>
      </w:r>
      <w:r w:rsidR="0040715E">
        <w:rPr>
          <w:rFonts w:ascii="Times New Roman" w:hAnsi="Times New Roman" w:cs="Times New Roman"/>
        </w:rPr>
        <w:t xml:space="preserve">populist Austrian </w:t>
      </w:r>
      <w:r w:rsidR="00AD7A0F" w:rsidRPr="00B74863">
        <w:rPr>
          <w:rFonts w:ascii="Times New Roman" w:hAnsi="Times New Roman" w:cs="Times New Roman"/>
        </w:rPr>
        <w:t>FPÖ. Center-right government may have supported the legislation in an attempt to delegitimize these parties that were increasingly competing with center-right ones.</w:t>
      </w:r>
      <w:r w:rsidR="009530DB" w:rsidRPr="00B74863">
        <w:rPr>
          <w:rFonts w:ascii="Times New Roman" w:hAnsi="Times New Roman" w:cs="Times New Roman"/>
        </w:rPr>
        <w:t xml:space="preserve"> Overall</w:t>
      </w:r>
      <w:r w:rsidR="004B7CCF" w:rsidRPr="00B74863">
        <w:rPr>
          <w:rFonts w:ascii="Times New Roman" w:hAnsi="Times New Roman" w:cs="Times New Roman"/>
        </w:rPr>
        <w:t>,</w:t>
      </w:r>
      <w:r w:rsidR="009530DB" w:rsidRPr="00B74863">
        <w:rPr>
          <w:rFonts w:ascii="Times New Roman" w:hAnsi="Times New Roman" w:cs="Times New Roman"/>
        </w:rPr>
        <w:t xml:space="preserve"> </w:t>
      </w:r>
      <w:r w:rsidR="00D440DA" w:rsidRPr="00B74863">
        <w:rPr>
          <w:rFonts w:ascii="Times New Roman" w:hAnsi="Times New Roman" w:cs="Times New Roman"/>
        </w:rPr>
        <w:t xml:space="preserve">this </w:t>
      </w:r>
      <w:r w:rsidR="009530DB" w:rsidRPr="00B74863">
        <w:rPr>
          <w:rFonts w:ascii="Times New Roman" w:hAnsi="Times New Roman" w:cs="Times New Roman"/>
        </w:rPr>
        <w:t xml:space="preserve">model proves quite successful by predicting 63.11% </w:t>
      </w:r>
      <w:r w:rsidR="00D440DA" w:rsidRPr="00B74863">
        <w:rPr>
          <w:rFonts w:ascii="Times New Roman" w:hAnsi="Times New Roman" w:cs="Times New Roman"/>
        </w:rPr>
        <w:t xml:space="preserve">of </w:t>
      </w:r>
      <w:r w:rsidR="009530DB" w:rsidRPr="00B74863">
        <w:rPr>
          <w:rFonts w:ascii="Times New Roman" w:hAnsi="Times New Roman" w:cs="Times New Roman"/>
        </w:rPr>
        <w:t>outcomes correctly.</w:t>
      </w:r>
    </w:p>
    <w:p w14:paraId="130DD2D0" w14:textId="05B2A1E5" w:rsidR="00110A05" w:rsidRPr="00B74863" w:rsidRDefault="009530DB" w:rsidP="007B21C1">
      <w:pPr>
        <w:spacing w:line="480" w:lineRule="auto"/>
        <w:ind w:firstLine="450"/>
        <w:rPr>
          <w:rFonts w:ascii="Times New Roman" w:hAnsi="Times New Roman" w:cs="Times New Roman"/>
        </w:rPr>
      </w:pPr>
      <w:r w:rsidRPr="00B74863">
        <w:rPr>
          <w:rFonts w:ascii="Times New Roman" w:hAnsi="Times New Roman" w:cs="Times New Roman"/>
        </w:rPr>
        <w:t xml:space="preserve">Model 3 introduces a full model that </w:t>
      </w:r>
      <w:r w:rsidR="00307845">
        <w:rPr>
          <w:rFonts w:ascii="Times New Roman" w:hAnsi="Times New Roman" w:cs="Times New Roman"/>
        </w:rPr>
        <w:t xml:space="preserve">includes factors that affect the uploading and downloading process. </w:t>
      </w:r>
      <w:r w:rsidR="009B63E5" w:rsidRPr="00B74863">
        <w:rPr>
          <w:rFonts w:ascii="Times New Roman" w:hAnsi="Times New Roman" w:cs="Times New Roman"/>
        </w:rPr>
        <w:t>Our main variables remain statistically significant. Level</w:t>
      </w:r>
      <w:r w:rsidR="004B7CCF" w:rsidRPr="00B74863">
        <w:rPr>
          <w:rFonts w:ascii="Times New Roman" w:hAnsi="Times New Roman" w:cs="Times New Roman"/>
        </w:rPr>
        <w:t>s</w:t>
      </w:r>
      <w:r w:rsidR="009B63E5" w:rsidRPr="00B74863">
        <w:rPr>
          <w:rFonts w:ascii="Times New Roman" w:hAnsi="Times New Roman" w:cs="Times New Roman"/>
        </w:rPr>
        <w:t xml:space="preserve"> of </w:t>
      </w:r>
      <w:r w:rsidR="0088400F" w:rsidRPr="00B74863">
        <w:rPr>
          <w:rFonts w:ascii="Times New Roman" w:hAnsi="Times New Roman" w:cs="Times New Roman"/>
        </w:rPr>
        <w:t>government funding of religion</w:t>
      </w:r>
      <w:r w:rsidR="009B63E5" w:rsidRPr="00B74863">
        <w:rPr>
          <w:rFonts w:ascii="Times New Roman" w:hAnsi="Times New Roman" w:cs="Times New Roman"/>
        </w:rPr>
        <w:t xml:space="preserve"> and the state’s overall support for religious institution</w:t>
      </w:r>
      <w:r w:rsidR="00D440DA" w:rsidRPr="00B74863">
        <w:rPr>
          <w:rFonts w:ascii="Times New Roman" w:hAnsi="Times New Roman" w:cs="Times New Roman"/>
        </w:rPr>
        <w:t>s</w:t>
      </w:r>
      <w:r w:rsidR="009B63E5" w:rsidRPr="00B74863">
        <w:rPr>
          <w:rFonts w:ascii="Times New Roman" w:hAnsi="Times New Roman" w:cs="Times New Roman"/>
        </w:rPr>
        <w:t xml:space="preserve"> reduce the likelihood of compliance. </w:t>
      </w:r>
      <w:r w:rsidR="00D440DA" w:rsidRPr="00B74863">
        <w:rPr>
          <w:rFonts w:ascii="Times New Roman" w:hAnsi="Times New Roman" w:cs="Times New Roman"/>
        </w:rPr>
        <w:t>In addition, t</w:t>
      </w:r>
      <w:r w:rsidR="00CF1B1F" w:rsidRPr="00B74863">
        <w:rPr>
          <w:rFonts w:ascii="Times New Roman" w:hAnsi="Times New Roman" w:cs="Times New Roman"/>
        </w:rPr>
        <w:t>he effects of other covaria</w:t>
      </w:r>
      <w:r w:rsidR="00A417AF" w:rsidRPr="00B74863">
        <w:rPr>
          <w:rFonts w:ascii="Times New Roman" w:hAnsi="Times New Roman" w:cs="Times New Roman"/>
        </w:rPr>
        <w:t>tes</w:t>
      </w:r>
      <w:r w:rsidR="00CF1B1F" w:rsidRPr="00B74863">
        <w:rPr>
          <w:rFonts w:ascii="Times New Roman" w:hAnsi="Times New Roman" w:cs="Times New Roman"/>
        </w:rPr>
        <w:t xml:space="preserve"> on the outcome decrease substantially. </w:t>
      </w:r>
      <w:r w:rsidR="004B7CCF" w:rsidRPr="00B74863">
        <w:rPr>
          <w:rFonts w:ascii="Times New Roman" w:hAnsi="Times New Roman" w:cs="Times New Roman"/>
        </w:rPr>
        <w:t xml:space="preserve">Existing </w:t>
      </w:r>
      <w:r w:rsidR="00CF1B1F" w:rsidRPr="00B74863">
        <w:rPr>
          <w:rFonts w:ascii="Times New Roman" w:hAnsi="Times New Roman" w:cs="Times New Roman"/>
        </w:rPr>
        <w:t xml:space="preserve">laws increase the chances </w:t>
      </w:r>
      <w:r w:rsidR="004B7CCF" w:rsidRPr="00B74863">
        <w:rPr>
          <w:rFonts w:ascii="Times New Roman" w:hAnsi="Times New Roman" w:cs="Times New Roman"/>
        </w:rPr>
        <w:t>an EED provision</w:t>
      </w:r>
      <w:r w:rsidR="00CF1B1F" w:rsidRPr="00B74863">
        <w:rPr>
          <w:rFonts w:ascii="Times New Roman" w:hAnsi="Times New Roman" w:cs="Times New Roman"/>
        </w:rPr>
        <w:t xml:space="preserve"> will be transposed correctly</w:t>
      </w:r>
      <w:r w:rsidR="00D1106D" w:rsidRPr="00B74863">
        <w:rPr>
          <w:rFonts w:ascii="Times New Roman" w:hAnsi="Times New Roman" w:cs="Times New Roman"/>
        </w:rPr>
        <w:t>, and t</w:t>
      </w:r>
      <w:r w:rsidR="00115543" w:rsidRPr="00B74863">
        <w:rPr>
          <w:rFonts w:ascii="Times New Roman" w:hAnsi="Times New Roman" w:cs="Times New Roman"/>
        </w:rPr>
        <w:t xml:space="preserve">ransposition of the </w:t>
      </w:r>
      <w:r w:rsidR="00307845">
        <w:rPr>
          <w:rFonts w:ascii="Times New Roman" w:hAnsi="Times New Roman" w:cs="Times New Roman"/>
        </w:rPr>
        <w:t>D</w:t>
      </w:r>
      <w:r w:rsidR="00115543" w:rsidRPr="00B74863">
        <w:rPr>
          <w:rFonts w:ascii="Times New Roman" w:hAnsi="Times New Roman" w:cs="Times New Roman"/>
        </w:rPr>
        <w:t xml:space="preserve">irective in a Catholic country still has a significant adverse effect on </w:t>
      </w:r>
      <w:r w:rsidR="00D1106D" w:rsidRPr="00B74863">
        <w:rPr>
          <w:rFonts w:ascii="Times New Roman" w:hAnsi="Times New Roman" w:cs="Times New Roman"/>
        </w:rPr>
        <w:t>provision implementation</w:t>
      </w:r>
      <w:r w:rsidR="00115543" w:rsidRPr="00B74863">
        <w:rPr>
          <w:rFonts w:ascii="Times New Roman" w:hAnsi="Times New Roman" w:cs="Times New Roman"/>
        </w:rPr>
        <w:t>.</w:t>
      </w:r>
      <w:r w:rsidR="008D3314" w:rsidRPr="00B74863">
        <w:rPr>
          <w:rFonts w:ascii="Times New Roman" w:hAnsi="Times New Roman" w:cs="Times New Roman"/>
        </w:rPr>
        <w:t xml:space="preserve"> The overall performance of </w:t>
      </w:r>
      <w:r w:rsidR="00D440DA" w:rsidRPr="00B74863">
        <w:rPr>
          <w:rFonts w:ascii="Times New Roman" w:hAnsi="Times New Roman" w:cs="Times New Roman"/>
        </w:rPr>
        <w:t xml:space="preserve">this </w:t>
      </w:r>
      <w:r w:rsidR="008D3314" w:rsidRPr="00B74863">
        <w:rPr>
          <w:rFonts w:ascii="Times New Roman" w:hAnsi="Times New Roman" w:cs="Times New Roman"/>
        </w:rPr>
        <w:t xml:space="preserve">model is lower </w:t>
      </w:r>
      <w:r w:rsidR="00F11486">
        <w:rPr>
          <w:rFonts w:ascii="Times New Roman" w:hAnsi="Times New Roman" w:cs="Times New Roman"/>
        </w:rPr>
        <w:t>for</w:t>
      </w:r>
      <w:r w:rsidR="00D440DA" w:rsidRPr="00B74863">
        <w:rPr>
          <w:rFonts w:ascii="Times New Roman" w:hAnsi="Times New Roman" w:cs="Times New Roman"/>
        </w:rPr>
        <w:t xml:space="preserve"> </w:t>
      </w:r>
      <w:r w:rsidR="008D3314" w:rsidRPr="00B74863">
        <w:rPr>
          <w:rFonts w:ascii="Times New Roman" w:hAnsi="Times New Roman" w:cs="Times New Roman"/>
        </w:rPr>
        <w:t xml:space="preserve">the second model, suggesting </w:t>
      </w:r>
      <w:r w:rsidR="004B7CCF" w:rsidRPr="00B74863">
        <w:rPr>
          <w:rFonts w:ascii="Times New Roman" w:hAnsi="Times New Roman" w:cs="Times New Roman"/>
        </w:rPr>
        <w:t xml:space="preserve">that </w:t>
      </w:r>
      <w:r w:rsidR="008D3314" w:rsidRPr="00B74863">
        <w:rPr>
          <w:rFonts w:ascii="Times New Roman" w:hAnsi="Times New Roman" w:cs="Times New Roman"/>
        </w:rPr>
        <w:t>controlling for additional factors does not add significant explanatory power.</w:t>
      </w:r>
      <w:r w:rsidR="00FB4144" w:rsidRPr="00B74863">
        <w:rPr>
          <w:rFonts w:ascii="Times New Roman" w:hAnsi="Times New Roman" w:cs="Times New Roman"/>
        </w:rPr>
        <w:t xml:space="preserve"> </w:t>
      </w:r>
    </w:p>
    <w:p w14:paraId="19CFDE5A" w14:textId="6E6F0B9B" w:rsidR="001126A9" w:rsidRPr="000E7E9B" w:rsidRDefault="00110A05" w:rsidP="007B21C1">
      <w:pPr>
        <w:spacing w:line="480" w:lineRule="auto"/>
        <w:ind w:firstLine="450"/>
        <w:rPr>
          <w:rFonts w:ascii="Times New Roman" w:hAnsi="Times New Roman" w:cs="Times New Roman"/>
        </w:rPr>
      </w:pPr>
      <w:r w:rsidRPr="00B74863">
        <w:rPr>
          <w:rFonts w:ascii="Times New Roman" w:hAnsi="Times New Roman" w:cs="Times New Roman"/>
        </w:rPr>
        <w:t xml:space="preserve">These results also show that there is a strong link between the negotiation phase of </w:t>
      </w:r>
      <w:r w:rsidR="008D6EB2">
        <w:rPr>
          <w:rFonts w:ascii="Times New Roman" w:hAnsi="Times New Roman" w:cs="Times New Roman"/>
        </w:rPr>
        <w:t xml:space="preserve">the </w:t>
      </w:r>
      <w:r w:rsidRPr="00B74863">
        <w:rPr>
          <w:rFonts w:ascii="Times New Roman" w:hAnsi="Times New Roman" w:cs="Times New Roman"/>
        </w:rPr>
        <w:t>Directive and the problems of implementation.</w:t>
      </w:r>
      <w:r w:rsidR="00E74028" w:rsidRPr="00B74863">
        <w:rPr>
          <w:rFonts w:ascii="Times New Roman" w:hAnsi="Times New Roman" w:cs="Times New Roman"/>
        </w:rPr>
        <w:t xml:space="preserve"> </w:t>
      </w:r>
      <w:r w:rsidR="00317759" w:rsidRPr="00B74863">
        <w:rPr>
          <w:rFonts w:ascii="Times New Roman" w:hAnsi="Times New Roman" w:cs="Times New Roman"/>
        </w:rPr>
        <w:t xml:space="preserve">One key expectation from the theoretical literature on compliance is that states have an incentive to deviate from an agreement reached during negotiations if </w:t>
      </w:r>
      <w:r w:rsidR="008D6EB2">
        <w:rPr>
          <w:rFonts w:ascii="Times New Roman" w:hAnsi="Times New Roman" w:cs="Times New Roman"/>
        </w:rPr>
        <w:t xml:space="preserve">it </w:t>
      </w:r>
      <w:r w:rsidR="00317759" w:rsidRPr="00B74863">
        <w:rPr>
          <w:rFonts w:ascii="Times New Roman" w:hAnsi="Times New Roman" w:cs="Times New Roman"/>
        </w:rPr>
        <w:t>leads to unwanted or unexpected adjus</w:t>
      </w:r>
      <w:r w:rsidR="00F13166">
        <w:rPr>
          <w:rFonts w:ascii="Times New Roman" w:hAnsi="Times New Roman" w:cs="Times New Roman"/>
        </w:rPr>
        <w:t>tment costs. However, findin</w:t>
      </w:r>
      <w:r w:rsidR="00F11486">
        <w:rPr>
          <w:rFonts w:ascii="Times New Roman" w:hAnsi="Times New Roman" w:cs="Times New Roman"/>
        </w:rPr>
        <w:t>gs are still inconclusive if member</w:t>
      </w:r>
      <w:r w:rsidR="00F13166">
        <w:rPr>
          <w:rFonts w:ascii="Times New Roman" w:hAnsi="Times New Roman" w:cs="Times New Roman"/>
        </w:rPr>
        <w:t xml:space="preserve"> state preferences at the bargaining table affect implementation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{"citationID":"2fFyBM7Z","properties":{"formattedCitation":"(Thomson, Torenvlied, and Arregui 2007)","plainCitation":"(Thomson, Torenvlied, and Arregui 2007)"},"citationItems":[{"id":983,"uris":["http://zotero.org/users/local/jz89q5UV/items/7U9FHEUC"],"uri":["http://zotero.org/users/local/jz89q5UV/items/7U9FHEUC"],"itemData":{"id":983,"type":"article-journal","title":"The Paradox of Compliance: Infringements and Delays in Transposing European Union Directives","container-title":"British Journal of Political Science","page":"685-709","volume":"37","issue":"4","abstract":"What impact does the negotiation stage prior to the adoption of international agreements have on the subsequent implementation stage? We address this question by examining the linkages between decision making on European Union directives and any subsequent infringements and delays in national transposition. We formulate a preference-based explanation of failures to comply, which focuses on states' incentives to deviate and the amount of discretion granted to states. This is compared with state-based explanations that focus on country-specific characteristics. Infringements are more likely when states disagree with the content of directives and the directives provide them with little discretion. Granting discretion to member states, however, tends to lead to longer delays in transposition. We find no evidence of country-specific effects.","DOI":"10.2307/4497318","ISSN":"00071234","journalAbbreviation":"British Journal of Political Science","author":[{"family":"Thomson","given":"Robert"},{"family":"Torenvlied","given":"René"},{"family":"Arregui","given":"Javier"}],"issued":{"date-parts":[["2007",10,1]]}}}],"schema":"https://github.com/citation-style-language/schema/raw/master/csl-citation.json"}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(Thomson, Torenvlied, and Arregui 2007)</w:t>
      </w:r>
      <w:r w:rsidR="003A5879">
        <w:rPr>
          <w:rFonts w:ascii="Times New Roman" w:hAnsi="Times New Roman" w:cs="Times New Roman"/>
        </w:rPr>
        <w:fldChar w:fldCharType="end"/>
      </w:r>
      <w:r w:rsidR="00E271F0">
        <w:rPr>
          <w:rFonts w:ascii="Times New Roman" w:hAnsi="Times New Roman" w:cs="Times New Roman"/>
        </w:rPr>
        <w:t>.</w:t>
      </w:r>
      <w:r w:rsidR="00E74028" w:rsidRPr="00B74863">
        <w:rPr>
          <w:rFonts w:ascii="Times New Roman" w:hAnsi="Times New Roman" w:cs="Times New Roman"/>
        </w:rPr>
        <w:t xml:space="preserve"> </w:t>
      </w:r>
      <w:r w:rsidR="00AF4F8B" w:rsidRPr="00B74863">
        <w:rPr>
          <w:rFonts w:ascii="Times New Roman" w:hAnsi="Times New Roman" w:cs="Times New Roman"/>
        </w:rPr>
        <w:t xml:space="preserve">Analyzing both the bargaining and implementation stages of the EED with regard to banning sexual orientation discrimination shows that </w:t>
      </w:r>
      <w:r w:rsidR="00307845">
        <w:rPr>
          <w:rFonts w:ascii="Times New Roman" w:hAnsi="Times New Roman" w:cs="Times New Roman"/>
        </w:rPr>
        <w:t xml:space="preserve">the </w:t>
      </w:r>
      <w:r w:rsidR="00AF4F8B" w:rsidRPr="00B74863">
        <w:rPr>
          <w:rFonts w:ascii="Times New Roman" w:hAnsi="Times New Roman" w:cs="Times New Roman"/>
        </w:rPr>
        <w:t xml:space="preserve">two stages are linked. Those states that actively </w:t>
      </w:r>
      <w:r w:rsidR="00AF4F8B" w:rsidRPr="000E7E9B">
        <w:rPr>
          <w:rFonts w:ascii="Times New Roman" w:hAnsi="Times New Roman" w:cs="Times New Roman"/>
        </w:rPr>
        <w:t xml:space="preserve">supported </w:t>
      </w:r>
      <w:r w:rsidR="00307845" w:rsidRPr="000E7E9B">
        <w:rPr>
          <w:rFonts w:ascii="Times New Roman" w:hAnsi="Times New Roman" w:cs="Times New Roman"/>
        </w:rPr>
        <w:t xml:space="preserve">a broad exemption for religious employers, </w:t>
      </w:r>
      <w:r w:rsidR="00307845" w:rsidRPr="000E7E9B">
        <w:rPr>
          <w:rFonts w:ascii="Times New Roman" w:hAnsi="Times New Roman" w:cs="Times New Roman"/>
        </w:rPr>
        <w:lastRenderedPageBreak/>
        <w:t>the primary issues that divided the member states, also had</w:t>
      </w:r>
      <w:r w:rsidR="00AF4F8B" w:rsidRPr="000E7E9B">
        <w:rPr>
          <w:rFonts w:ascii="Times New Roman" w:hAnsi="Times New Roman" w:cs="Times New Roman"/>
        </w:rPr>
        <w:t xml:space="preserve"> difficulties implementing </w:t>
      </w:r>
      <w:r w:rsidR="00307845" w:rsidRPr="000E7E9B">
        <w:rPr>
          <w:rFonts w:ascii="Times New Roman" w:hAnsi="Times New Roman" w:cs="Times New Roman"/>
        </w:rPr>
        <w:t>the Directive.</w:t>
      </w:r>
      <w:r w:rsidR="00AF4F8B" w:rsidRPr="000E7E9B">
        <w:rPr>
          <w:rFonts w:ascii="Times New Roman" w:hAnsi="Times New Roman" w:cs="Times New Roman"/>
        </w:rPr>
        <w:t xml:space="preserve"> In addition, those provisions of the Directive that affect the balance between church and state were implemented most poorly.</w:t>
      </w:r>
      <w:r w:rsidR="00195983" w:rsidRPr="000E7E9B">
        <w:rPr>
          <w:rFonts w:ascii="Times New Roman" w:hAnsi="Times New Roman" w:cs="Times New Roman"/>
        </w:rPr>
        <w:t xml:space="preserve"> </w:t>
      </w:r>
      <w:r w:rsidR="00E67606" w:rsidRPr="000E7E9B">
        <w:rPr>
          <w:rFonts w:ascii="Times New Roman" w:hAnsi="Times New Roman" w:cs="Times New Roman"/>
        </w:rPr>
        <w:t>Just as non-secular states sought a broad exemption for religious employers, they also implemented provisions that affected the relative balance of power between secular law and the legal privileges religious organization enjoy.</w:t>
      </w:r>
    </w:p>
    <w:p w14:paraId="20EBE3DD" w14:textId="65CC0182" w:rsidR="00013F2D" w:rsidRPr="000E7E9B" w:rsidRDefault="008D6EB2" w:rsidP="00013F2D">
      <w:pPr>
        <w:spacing w:line="480" w:lineRule="auto"/>
        <w:ind w:firstLine="450"/>
        <w:rPr>
          <w:rFonts w:ascii="Times New Roman" w:hAnsi="Times New Roman" w:cs="Times New Roman"/>
        </w:rPr>
      </w:pPr>
      <w:r>
        <w:rPr>
          <w:rFonts w:ascii="Times New Roman" w:hAnsi="Times New Roman" w:cs="Times New Roman"/>
        </w:rPr>
        <w:t xml:space="preserve">Recent legal developments have proven that the fears of religious institutions losing their autonomy were somewhat prescient. In 2005 </w:t>
      </w:r>
      <w:r w:rsidR="00013F2D" w:rsidRPr="000E7E9B">
        <w:rPr>
          <w:rFonts w:ascii="Times New Roman" w:hAnsi="Times New Roman" w:cs="Times New Roman"/>
        </w:rPr>
        <w:t xml:space="preserve">the British House of Lords heard the case of a minister’s dismissal </w:t>
      </w:r>
      <w:r>
        <w:rPr>
          <w:rFonts w:ascii="Times New Roman" w:hAnsi="Times New Roman" w:cs="Times New Roman"/>
        </w:rPr>
        <w:t>by the Church of Scotland</w:t>
      </w:r>
      <w:r w:rsidR="00013F2D" w:rsidRPr="000E7E9B">
        <w:rPr>
          <w:rFonts w:ascii="Times New Roman" w:hAnsi="Times New Roman" w:cs="Times New Roman"/>
        </w:rPr>
        <w:t xml:space="preserve">. </w:t>
      </w:r>
      <w:r>
        <w:rPr>
          <w:rFonts w:ascii="Times New Roman" w:hAnsi="Times New Roman" w:cs="Times New Roman"/>
        </w:rPr>
        <w:t>It</w:t>
      </w:r>
      <w:r w:rsidR="00013F2D" w:rsidRPr="000E7E9B">
        <w:rPr>
          <w:rFonts w:ascii="Times New Roman" w:hAnsi="Times New Roman" w:cs="Times New Roman"/>
        </w:rPr>
        <w:t xml:space="preserve"> ruled that the Church of Scotland could be brought b</w:t>
      </w:r>
      <w:r>
        <w:rPr>
          <w:rFonts w:ascii="Times New Roman" w:hAnsi="Times New Roman" w:cs="Times New Roman"/>
        </w:rPr>
        <w:t>efore an employment tribunal</w:t>
      </w:r>
      <w:r w:rsidR="00013F2D" w:rsidRPr="000E7E9B">
        <w:rPr>
          <w:rFonts w:ascii="Times New Roman" w:hAnsi="Times New Roman" w:cs="Times New Roman"/>
        </w:rPr>
        <w:t xml:space="preserve"> under the EED with regard to the firing of a former minister, Helen Percy. The Church of Scotland argued it had sole discretion to settle issues of employment under the </w:t>
      </w:r>
      <w:r w:rsidR="00607FD5">
        <w:rPr>
          <w:rFonts w:ascii="Times New Roman" w:hAnsi="Times New Roman" w:cs="Times New Roman"/>
        </w:rPr>
        <w:t>1921 Church of Scotland</w:t>
      </w:r>
      <w:r w:rsidR="00013F2D" w:rsidRPr="000E7E9B">
        <w:rPr>
          <w:rFonts w:ascii="Times New Roman" w:hAnsi="Times New Roman" w:cs="Times New Roman"/>
        </w:rPr>
        <w:t xml:space="preserve"> Act and was not subject to any civil authority in regards to doctrine, worship, government and discipline in the Church. The British House of Lords ruled otherwise, holding that the Church of Scotland was subject to the EED and such claims of autonomy were illegitimate</w:t>
      </w:r>
      <w:r w:rsidR="00101F58">
        <w:rPr>
          <w:rFonts w:ascii="Times New Roman" w:hAnsi="Times New Roman" w:cs="Times New Roman"/>
        </w:rPr>
        <w:t xml:space="preserve"> </w:t>
      </w:r>
      <w:r w:rsidR="00101F58">
        <w:rPr>
          <w:rFonts w:ascii="Times New Roman" w:hAnsi="Times New Roman" w:cs="Times New Roman"/>
        </w:rPr>
        <w:fldChar w:fldCharType="begin"/>
      </w:r>
      <w:r w:rsidR="00EE2417">
        <w:rPr>
          <w:rFonts w:ascii="Times New Roman" w:hAnsi="Times New Roman" w:cs="Times New Roman"/>
        </w:rPr>
        <w:instrText xml:space="preserve"> ADDIN ZOTERO_ITEM CSL_CITATION {"citationID":"zA0DiukL","properties":{"formattedCitation":"(Steven 2010, 180)","plainCitation":"(Steven 2010, 180)"},"citationItems":[{"id":1346,"uris":["http://zotero.org/users/local/jz89q5UV/items/JE3MRI9A"],"uri":["http://zotero.org/users/local/jz89q5UV/items/JE3MRI9A"],"itemData":{"id":1346,"type":"chapter","title":"Religious Bodies in the European Union: From Dominant Church to Gath-Based Organisation?","container-title":"Religion, Politics and Law in the European Union","publisher":"Routledge","publisher-place":"New York, NY","page":"175-186","event-place":"New York, NY","author":[{"family":"Steven","given":"Martin"}],"editor":[{"family":"Leusten","given":"Lucian"},{"family":"Madeley","given":"John T. S."}],"issued":{"date-parts":[["2010"]]}},"locator":"180"}],"schema":"https://github.com/citation-style-language/schema/raw/master/csl-citation.json"} </w:instrText>
      </w:r>
      <w:r w:rsidR="00101F58">
        <w:rPr>
          <w:rFonts w:ascii="Times New Roman" w:hAnsi="Times New Roman" w:cs="Times New Roman"/>
        </w:rPr>
        <w:fldChar w:fldCharType="separate"/>
      </w:r>
      <w:r w:rsidR="00EE2417">
        <w:rPr>
          <w:rFonts w:ascii="Times New Roman" w:hAnsi="Times New Roman" w:cs="Times New Roman"/>
          <w:noProof/>
        </w:rPr>
        <w:t>(Steven 2010, 180)</w:t>
      </w:r>
      <w:r w:rsidR="00101F58">
        <w:rPr>
          <w:rFonts w:ascii="Times New Roman" w:hAnsi="Times New Roman" w:cs="Times New Roman"/>
        </w:rPr>
        <w:fldChar w:fldCharType="end"/>
      </w:r>
      <w:r w:rsidR="00013F2D" w:rsidRPr="000E7E9B">
        <w:rPr>
          <w:rFonts w:ascii="Times New Roman" w:hAnsi="Times New Roman" w:cs="Times New Roman"/>
        </w:rPr>
        <w:t xml:space="preserve">. Without even the Scottish Parliament implementing the directive, usually required before British laws could have effect under devolution in the UK, the EU law took precedence over Scottish law and decades of the Church of Scotland’s autonomy from state interference had ended with regard to employment issues </w:t>
      </w:r>
      <w:r w:rsidR="00013F2D" w:rsidRPr="000E7E9B">
        <w:rPr>
          <w:rFonts w:ascii="Times New Roman" w:hAnsi="Times New Roman" w:cs="Times New Roman"/>
        </w:rPr>
        <w:fldChar w:fldCharType="begin"/>
      </w:r>
      <w:r w:rsidR="00EE2417">
        <w:rPr>
          <w:rFonts w:ascii="Times New Roman" w:hAnsi="Times New Roman" w:cs="Times New Roman"/>
        </w:rPr>
        <w:instrText xml:space="preserve"> ADDIN ZOTERO_ITEM CSL_CITATION {"citationID":"0TvNF5ri","properties":{"formattedCitation":"(Steven 2010, 181)","plainCitation":"(Steven 2010, 181)"},"citationItems":[{"id":1346,"uris":["http://zotero.org/users/local/jz89q5UV/items/JE3MRI9A"],"uri":["http://zotero.org/users/local/jz89q5UV/items/JE3MRI9A"],"itemData":{"id":1346,"type":"chapter","title":"Religious Bodies in the European Union: From Dominant Church to Gath-Based Organisation?","container-title":"Religion, Politics and Law in the European Union","publisher":"Routledge","publisher-place":"New York, NY","page":"175-186","event-place":"New York, NY","author":[{"family":"Steven","given":"Martin"}],"editor":[{"family":"Leusten","given":"Lucian"},{"family":"Madeley","given":"John T. S."}],"issued":{"date-parts":[["2010"]]}},"locator":"181"}],"schema":"https://github.com/citation-style-language/schema/raw/master/csl-citation.json"} </w:instrText>
      </w:r>
      <w:r w:rsidR="00013F2D" w:rsidRPr="000E7E9B">
        <w:rPr>
          <w:rFonts w:ascii="Times New Roman" w:hAnsi="Times New Roman" w:cs="Times New Roman"/>
        </w:rPr>
        <w:fldChar w:fldCharType="separate"/>
      </w:r>
      <w:r w:rsidR="00EE2417">
        <w:rPr>
          <w:rFonts w:ascii="Times New Roman" w:hAnsi="Times New Roman" w:cs="Times New Roman"/>
          <w:noProof/>
        </w:rPr>
        <w:t>(Steven 2010, 181)</w:t>
      </w:r>
      <w:r w:rsidR="00013F2D" w:rsidRPr="000E7E9B">
        <w:rPr>
          <w:rFonts w:ascii="Times New Roman" w:hAnsi="Times New Roman" w:cs="Times New Roman"/>
        </w:rPr>
        <w:fldChar w:fldCharType="end"/>
      </w:r>
      <w:r w:rsidR="00013F2D" w:rsidRPr="000E7E9B">
        <w:rPr>
          <w:rFonts w:ascii="Times New Roman" w:hAnsi="Times New Roman" w:cs="Times New Roman"/>
        </w:rPr>
        <w:t>.</w:t>
      </w:r>
    </w:p>
    <w:p w14:paraId="5691DF76" w14:textId="77777777" w:rsidR="009E6DB2" w:rsidRPr="00B74863" w:rsidRDefault="00115543" w:rsidP="00ED2605">
      <w:pPr>
        <w:pStyle w:val="ListParagraph"/>
        <w:numPr>
          <w:ilvl w:val="0"/>
          <w:numId w:val="16"/>
        </w:numPr>
        <w:spacing w:line="480" w:lineRule="auto"/>
        <w:rPr>
          <w:rFonts w:ascii="Times New Roman" w:hAnsi="Times New Roman" w:cs="Times New Roman"/>
          <w:i/>
        </w:rPr>
      </w:pPr>
      <w:r w:rsidRPr="00B74863">
        <w:rPr>
          <w:rFonts w:ascii="Times New Roman" w:hAnsi="Times New Roman" w:cs="Times New Roman"/>
          <w:i/>
        </w:rPr>
        <w:t>Conclusion</w:t>
      </w:r>
    </w:p>
    <w:p w14:paraId="3536979F" w14:textId="70D2DAAA" w:rsidR="00ED6620" w:rsidRPr="00B74863" w:rsidRDefault="00464C6D" w:rsidP="002A3BCF">
      <w:pPr>
        <w:spacing w:line="480" w:lineRule="auto"/>
        <w:ind w:firstLine="450"/>
        <w:rPr>
          <w:rFonts w:ascii="Times New Roman" w:hAnsi="Times New Roman" w:cs="Times New Roman"/>
        </w:rPr>
      </w:pPr>
      <w:r w:rsidRPr="00B74863">
        <w:rPr>
          <w:rFonts w:ascii="Times New Roman" w:hAnsi="Times New Roman" w:cs="Times New Roman"/>
        </w:rPr>
        <w:t xml:space="preserve">There </w:t>
      </w:r>
      <w:r w:rsidR="0088400F" w:rsidRPr="00B74863">
        <w:rPr>
          <w:rFonts w:ascii="Times New Roman" w:hAnsi="Times New Roman" w:cs="Times New Roman"/>
        </w:rPr>
        <w:t xml:space="preserve">are </w:t>
      </w:r>
      <w:r w:rsidRPr="00B74863">
        <w:rPr>
          <w:rFonts w:ascii="Times New Roman" w:hAnsi="Times New Roman" w:cs="Times New Roman"/>
        </w:rPr>
        <w:t>two methods by which LGB</w:t>
      </w:r>
      <w:r w:rsidR="0088400F" w:rsidRPr="00B74863">
        <w:rPr>
          <w:rFonts w:ascii="Times New Roman" w:hAnsi="Times New Roman" w:cs="Times New Roman"/>
        </w:rPr>
        <w:t xml:space="preserve">T </w:t>
      </w:r>
      <w:r w:rsidR="0051315D" w:rsidRPr="00B74863">
        <w:rPr>
          <w:rFonts w:ascii="Times New Roman" w:hAnsi="Times New Roman" w:cs="Times New Roman"/>
        </w:rPr>
        <w:t xml:space="preserve">rights are becoming “Europeanized.” </w:t>
      </w:r>
      <w:r w:rsidR="00B612FC" w:rsidRPr="00B74863">
        <w:rPr>
          <w:rFonts w:ascii="Times New Roman" w:hAnsi="Times New Roman" w:cs="Times New Roman"/>
        </w:rPr>
        <w:t>Horizontal Europeanization occurs</w:t>
      </w:r>
      <w:r w:rsidR="0051315D" w:rsidRPr="00B74863">
        <w:rPr>
          <w:rFonts w:ascii="Times New Roman" w:hAnsi="Times New Roman" w:cs="Times New Roman"/>
        </w:rPr>
        <w:t xml:space="preserve"> through the mobilization and coordination of NGO activists across European borders to pressure government</w:t>
      </w:r>
      <w:r w:rsidR="001734A6" w:rsidRPr="00B74863">
        <w:rPr>
          <w:rFonts w:ascii="Times New Roman" w:hAnsi="Times New Roman" w:cs="Times New Roman"/>
        </w:rPr>
        <w:t>s</w:t>
      </w:r>
      <w:r w:rsidR="0051315D" w:rsidRPr="00B74863">
        <w:rPr>
          <w:rFonts w:ascii="Times New Roman" w:hAnsi="Times New Roman" w:cs="Times New Roman"/>
        </w:rPr>
        <w:t xml:space="preserve"> to change policies</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{"citationID":"xGbNxLR6","properties":{"formattedCitation":"(Ayoub 2016)","plainCitation":"(Ayoub 2016)"},"citationItems":[{"id":1236,"uris":["http://zotero.org/users/local/jz89q5UV/items/K6WSPMME"],"uri":["http://zotero.org/users/local/jz89q5UV/items/K6WSPMME"],"itemData":{"id":1236,"type":"book","title":"When States Come Out: Europe's Sexual Minorities and the Politics of Visibility","publisher":"Cambridge University Press","number-of-pages":"264","source":"Google Books","abstract":"In the last two decades, the LGBT movement has gained momentum that is arguably unprecedented in speed and suddenness when compared to other human rights movements. This book investigates the recent history of this transnational movement in Europe, focusing on the diffusion of the norms it champions and the overarching question of why, despite similar international pressures, the trajectories of socio-legal recognition for LGBT minorities are so different across states. This book makes the case that a politics of visibility has engendered the interactions between movements and states that empower marginalized people - mobilizing actors to demand change, influencing the spread of new legal standards, and weaving new ideas into the fabrics of societies. It documents how this process of 'coming out' empowers marginalized social groups by moving them to the center of political debate and public recognition and making it possible for them to obtain rights to which they have due claim.","ISBN":"978-1-107-11559-0","shortTitle":"When States Come Out","language":"en","author":[{"family":"Ayoub","given":"Phillip M."}],"issued":{"date-parts":[["2016",4,28]]}}}],"schema":"https://github.com/citation-style-language/schema/raw/master/csl-citation.json"}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(Ayoub 2016)</w:t>
      </w:r>
      <w:r w:rsidR="003A5879">
        <w:rPr>
          <w:rFonts w:ascii="Times New Roman" w:hAnsi="Times New Roman" w:cs="Times New Roman"/>
        </w:rPr>
        <w:fldChar w:fldCharType="end"/>
      </w:r>
      <w:r w:rsidR="00E271F0">
        <w:rPr>
          <w:rFonts w:ascii="Times New Roman" w:hAnsi="Times New Roman" w:cs="Times New Roman"/>
        </w:rPr>
        <w:t>.</w:t>
      </w:r>
      <w:r w:rsidR="00B612FC" w:rsidRPr="00B74863">
        <w:rPr>
          <w:rFonts w:ascii="Times New Roman" w:hAnsi="Times New Roman" w:cs="Times New Roman"/>
        </w:rPr>
        <w:t xml:space="preserve"> Activists form transnational alliances </w:t>
      </w:r>
      <w:r w:rsidR="00A52588" w:rsidRPr="00B74863">
        <w:rPr>
          <w:rFonts w:ascii="Times New Roman" w:hAnsi="Times New Roman" w:cs="Times New Roman"/>
        </w:rPr>
        <w:t>with EU members of parliament and official</w:t>
      </w:r>
      <w:r w:rsidR="0088400F" w:rsidRPr="00B74863">
        <w:rPr>
          <w:rFonts w:ascii="Times New Roman" w:hAnsi="Times New Roman" w:cs="Times New Roman"/>
        </w:rPr>
        <w:t>s</w:t>
      </w:r>
      <w:r w:rsidR="00A52588" w:rsidRPr="00B74863">
        <w:rPr>
          <w:rFonts w:ascii="Times New Roman" w:hAnsi="Times New Roman" w:cs="Times New Roman"/>
        </w:rPr>
        <w:t xml:space="preserve"> </w:t>
      </w:r>
      <w:r w:rsidR="00B612FC" w:rsidRPr="00B74863">
        <w:rPr>
          <w:rFonts w:ascii="Times New Roman" w:hAnsi="Times New Roman" w:cs="Times New Roman"/>
        </w:rPr>
        <w:t xml:space="preserve">that put pressure on national </w:t>
      </w:r>
      <w:r w:rsidR="00B612FC" w:rsidRPr="00B74863">
        <w:rPr>
          <w:rFonts w:ascii="Times New Roman" w:hAnsi="Times New Roman" w:cs="Times New Roman"/>
        </w:rPr>
        <w:lastRenderedPageBreak/>
        <w:t xml:space="preserve">governments to change </w:t>
      </w:r>
      <w:r w:rsidR="00A52588" w:rsidRPr="00B74863">
        <w:rPr>
          <w:rFonts w:ascii="Times New Roman" w:hAnsi="Times New Roman" w:cs="Times New Roman"/>
        </w:rPr>
        <w:t xml:space="preserve">their </w:t>
      </w:r>
      <w:r w:rsidR="00B612FC" w:rsidRPr="00B74863">
        <w:rPr>
          <w:rFonts w:ascii="Times New Roman" w:hAnsi="Times New Roman" w:cs="Times New Roman"/>
        </w:rPr>
        <w:t xml:space="preserve">policies. In contrast, vertical Europeanization refers to the process of </w:t>
      </w:r>
      <w:r w:rsidR="00FF48DC" w:rsidRPr="00B74863">
        <w:rPr>
          <w:rFonts w:ascii="Times New Roman" w:hAnsi="Times New Roman" w:cs="Times New Roman"/>
        </w:rPr>
        <w:t>“downloading” EU laws into the national legal order. Both methods</w:t>
      </w:r>
      <w:r w:rsidR="0088400F" w:rsidRPr="00B74863">
        <w:rPr>
          <w:rFonts w:ascii="Times New Roman" w:hAnsi="Times New Roman" w:cs="Times New Roman"/>
        </w:rPr>
        <w:t>, in some cases,</w:t>
      </w:r>
      <w:r w:rsidR="00FF48DC" w:rsidRPr="00B74863">
        <w:rPr>
          <w:rFonts w:ascii="Times New Roman" w:hAnsi="Times New Roman" w:cs="Times New Roman"/>
        </w:rPr>
        <w:t xml:space="preserve"> lead to a convergence among national policies regulating the treatment of sexual </w:t>
      </w:r>
      <w:r w:rsidR="00ED6620" w:rsidRPr="00B74863">
        <w:rPr>
          <w:rFonts w:ascii="Times New Roman" w:hAnsi="Times New Roman" w:cs="Times New Roman"/>
        </w:rPr>
        <w:t>minorities.</w:t>
      </w:r>
    </w:p>
    <w:p w14:paraId="0A637BDE" w14:textId="30285336" w:rsidR="00555AE2" w:rsidRPr="00B74863" w:rsidRDefault="00ED6620" w:rsidP="002A3BCF">
      <w:pPr>
        <w:spacing w:line="480" w:lineRule="auto"/>
        <w:ind w:firstLine="450"/>
        <w:rPr>
          <w:rFonts w:ascii="Times New Roman" w:hAnsi="Times New Roman" w:cs="Times New Roman"/>
        </w:rPr>
      </w:pPr>
      <w:r w:rsidRPr="00B74863">
        <w:rPr>
          <w:rFonts w:ascii="Times New Roman" w:hAnsi="Times New Roman" w:cs="Times New Roman"/>
        </w:rPr>
        <w:t xml:space="preserve">Have national anti-discrimination policies converged with regard to sexual orientation since the passage of the Equality in Employment Directive? </w:t>
      </w:r>
      <w:r w:rsidR="006042EE">
        <w:rPr>
          <w:rFonts w:ascii="Times New Roman" w:hAnsi="Times New Roman" w:cs="Times New Roman"/>
        </w:rPr>
        <w:t>In reviewing the impact every EU anti-discrimination d</w:t>
      </w:r>
      <w:r w:rsidR="00B36853" w:rsidRPr="00B74863">
        <w:rPr>
          <w:rFonts w:ascii="Times New Roman" w:hAnsi="Times New Roman" w:cs="Times New Roman"/>
        </w:rPr>
        <w:t xml:space="preserve">irective, </w:t>
      </w:r>
      <w:r w:rsidR="00A52588" w:rsidRPr="00B74863">
        <w:rPr>
          <w:rFonts w:ascii="Times New Roman" w:hAnsi="Times New Roman" w:cs="Times New Roman"/>
        </w:rPr>
        <w:t xml:space="preserve">Mark </w:t>
      </w:r>
      <w:r w:rsidR="00B36853" w:rsidRPr="00B74863">
        <w:rPr>
          <w:rFonts w:ascii="Times New Roman" w:hAnsi="Times New Roman" w:cs="Times New Roman"/>
        </w:rPr>
        <w:t xml:space="preserve">Bell (2008) suggests the answer is a qualified yes. The </w:t>
      </w:r>
      <w:r w:rsidR="006042EE">
        <w:rPr>
          <w:rFonts w:ascii="Times New Roman" w:hAnsi="Times New Roman" w:cs="Times New Roman"/>
        </w:rPr>
        <w:t>EED specifically</w:t>
      </w:r>
      <w:r w:rsidR="00B36853" w:rsidRPr="00B74863">
        <w:rPr>
          <w:rFonts w:ascii="Times New Roman" w:hAnsi="Times New Roman" w:cs="Times New Roman"/>
        </w:rPr>
        <w:t xml:space="preserve"> has inspired reforms in countries that both did</w:t>
      </w:r>
      <w:r w:rsidR="0088400F" w:rsidRPr="00B74863">
        <w:rPr>
          <w:rFonts w:ascii="Times New Roman" w:hAnsi="Times New Roman" w:cs="Times New Roman"/>
        </w:rPr>
        <w:t xml:space="preserve"> and did not have existing laws protecting sexual minorities.</w:t>
      </w:r>
      <w:r w:rsidR="00B36853" w:rsidRPr="00B74863">
        <w:rPr>
          <w:rFonts w:ascii="Times New Roman" w:hAnsi="Times New Roman" w:cs="Times New Roman"/>
        </w:rPr>
        <w:t xml:space="preserve"> However, Bell also recognizes that nation</w:t>
      </w:r>
      <w:r w:rsidR="00C55B1C" w:rsidRPr="00B74863">
        <w:rPr>
          <w:rFonts w:ascii="Times New Roman" w:hAnsi="Times New Roman" w:cs="Times New Roman"/>
        </w:rPr>
        <w:t>al legal models remain in place. Real change will only happen when we observe wider changes to the domestic social and political context</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{"citationID":"E7y4wivE","properties":{"formattedCitation":"{\\rtf (Bell 2008, 42\\uc0\\u8211{}44)}","plainCitation":"(Bell 2008, 42–44)"},"citationItems":[{"id":47,"uris":["http://zotero.org/users/local/jz89q5UV/items/GJ99N857"],"uri":["http://zotero.org/users/local/jz89q5UV/items/GJ99N857"],"itemData":{"id":47,"type":"article-journal","title":"The Implementation of European Anti-Discrimination Directives: Converging towards a Common Model?","container-title":"The Political Quarterly","page":"36–44","volume":"79","issue":"1","source":"Google Scholar","shortTitle":"The Implementation of European Anti-Discrimination Directives","author":[{"family":"Bell","given":"Mark"}],"issued":{"date-parts":[["2008"]]}},"locator":"42-44"}],"schema":"https://github.com/citation-style-language/schema/raw/master/csl-citation.json"} </w:instrText>
      </w:r>
      <w:r w:rsidR="003A5879">
        <w:rPr>
          <w:rFonts w:ascii="Times New Roman" w:hAnsi="Times New Roman" w:cs="Times New Roman"/>
        </w:rPr>
        <w:fldChar w:fldCharType="separate"/>
      </w:r>
      <w:r w:rsidR="00E271F0" w:rsidRPr="00E271F0">
        <w:rPr>
          <w:rFonts w:ascii="Times New Roman" w:eastAsia="Times New Roman" w:hAnsi="Times New Roman" w:cs="Times New Roman"/>
        </w:rPr>
        <w:t>(Bell 2008, 42–44)</w:t>
      </w:r>
      <w:r w:rsidR="003A5879">
        <w:rPr>
          <w:rFonts w:ascii="Times New Roman" w:hAnsi="Times New Roman" w:cs="Times New Roman"/>
        </w:rPr>
        <w:fldChar w:fldCharType="end"/>
      </w:r>
      <w:r w:rsidR="00E271F0">
        <w:rPr>
          <w:rFonts w:ascii="Times New Roman" w:hAnsi="Times New Roman" w:cs="Times New Roman"/>
        </w:rPr>
        <w:t>.</w:t>
      </w:r>
    </w:p>
    <w:p w14:paraId="6B17F423" w14:textId="4F1C5987" w:rsidR="009E6DB2" w:rsidRPr="00B74863" w:rsidRDefault="00C55B1C" w:rsidP="00464476">
      <w:pPr>
        <w:spacing w:line="480" w:lineRule="auto"/>
        <w:ind w:firstLine="360"/>
        <w:rPr>
          <w:rFonts w:ascii="Times New Roman" w:hAnsi="Times New Roman" w:cs="Times New Roman"/>
        </w:rPr>
      </w:pPr>
      <w:r w:rsidRPr="00B74863">
        <w:rPr>
          <w:rFonts w:ascii="Times New Roman" w:hAnsi="Times New Roman" w:cs="Times New Roman"/>
        </w:rPr>
        <w:t>This paper argues that one of the chief obstacles to those changes is the structure of church-state relations. When states strong</w:t>
      </w:r>
      <w:r w:rsidR="0088400F" w:rsidRPr="00B74863">
        <w:rPr>
          <w:rFonts w:ascii="Times New Roman" w:hAnsi="Times New Roman" w:cs="Times New Roman"/>
        </w:rPr>
        <w:t>ly</w:t>
      </w:r>
      <w:r w:rsidRPr="00B74863">
        <w:rPr>
          <w:rFonts w:ascii="Times New Roman" w:hAnsi="Times New Roman" w:cs="Times New Roman"/>
        </w:rPr>
        <w:t xml:space="preserve"> support religious organizations by delegating them a great deal of autonomy and permit them to evangelize through both </w:t>
      </w:r>
      <w:r w:rsidR="00607FD5">
        <w:rPr>
          <w:rFonts w:ascii="Times New Roman" w:hAnsi="Times New Roman" w:cs="Times New Roman"/>
        </w:rPr>
        <w:t>national public policy</w:t>
      </w:r>
      <w:r w:rsidRPr="00B74863">
        <w:rPr>
          <w:rFonts w:ascii="Times New Roman" w:hAnsi="Times New Roman" w:cs="Times New Roman"/>
        </w:rPr>
        <w:t xml:space="preserve"> and the operation of education institutions, it becomes less likely we will see a convergence in national anti-discrimination policies. The lack of convergence has also stalled additional steps towards Europeanizing the equal treatment of sexual minorities. </w:t>
      </w:r>
      <w:r w:rsidR="00ED2936" w:rsidRPr="00B74863">
        <w:rPr>
          <w:rFonts w:ascii="Times New Roman" w:hAnsi="Times New Roman" w:cs="Times New Roman"/>
        </w:rPr>
        <w:t xml:space="preserve">For example, </w:t>
      </w:r>
      <w:r w:rsidR="001726F2" w:rsidRPr="00B74863">
        <w:rPr>
          <w:rFonts w:ascii="Times New Roman" w:hAnsi="Times New Roman" w:cs="Times New Roman"/>
        </w:rPr>
        <w:t>the Horizontal</w:t>
      </w:r>
      <w:r w:rsidR="00ED2936" w:rsidRPr="00B74863">
        <w:rPr>
          <w:rFonts w:ascii="Times New Roman" w:hAnsi="Times New Roman" w:cs="Times New Roman"/>
        </w:rPr>
        <w:t xml:space="preserve"> Directive, which would protect </w:t>
      </w:r>
      <w:r w:rsidR="0088400F" w:rsidRPr="00B74863">
        <w:rPr>
          <w:rFonts w:ascii="Times New Roman" w:hAnsi="Times New Roman" w:cs="Times New Roman"/>
        </w:rPr>
        <w:t>gay and lesbian</w:t>
      </w:r>
      <w:r w:rsidR="00ED2936" w:rsidRPr="00B74863">
        <w:rPr>
          <w:rFonts w:ascii="Times New Roman" w:hAnsi="Times New Roman" w:cs="Times New Roman"/>
        </w:rPr>
        <w:t xml:space="preserve"> citizens from discrimination by public authorities,</w:t>
      </w:r>
      <w:r w:rsidR="001726F2" w:rsidRPr="00B74863">
        <w:rPr>
          <w:rFonts w:ascii="Times New Roman" w:hAnsi="Times New Roman" w:cs="Times New Roman"/>
        </w:rPr>
        <w:t xml:space="preserve"> </w:t>
      </w:r>
      <w:r w:rsidR="00A52588" w:rsidRPr="00B74863">
        <w:rPr>
          <w:rFonts w:ascii="Times New Roman" w:hAnsi="Times New Roman" w:cs="Times New Roman"/>
        </w:rPr>
        <w:t xml:space="preserve">is stalled in the Council of Ministers </w:t>
      </w:r>
      <w:r w:rsidR="001726F2" w:rsidRPr="00B74863">
        <w:rPr>
          <w:rFonts w:ascii="Times New Roman" w:hAnsi="Times New Roman" w:cs="Times New Roman"/>
        </w:rPr>
        <w:t>due to opposition by Poland and Lithuania because of “cultural incompatibiliti</w:t>
      </w:r>
      <w:r w:rsidR="00D77880" w:rsidRPr="00B74863">
        <w:rPr>
          <w:rFonts w:ascii="Times New Roman" w:hAnsi="Times New Roman" w:cs="Times New Roman"/>
        </w:rPr>
        <w:t xml:space="preserve">es” and by </w:t>
      </w:r>
      <w:r w:rsidR="00607FD5">
        <w:rPr>
          <w:rFonts w:ascii="Times New Roman" w:hAnsi="Times New Roman" w:cs="Times New Roman"/>
        </w:rPr>
        <w:t>the current German government</w:t>
      </w:r>
      <w:r w:rsidR="00D77880" w:rsidRPr="00B74863">
        <w:rPr>
          <w:rFonts w:ascii="Times New Roman" w:hAnsi="Times New Roman" w:cs="Times New Roman"/>
        </w:rPr>
        <w:t xml:space="preserve">, which </w:t>
      </w:r>
      <w:r w:rsidR="00607FD5">
        <w:rPr>
          <w:rFonts w:ascii="Times New Roman" w:hAnsi="Times New Roman" w:cs="Times New Roman"/>
        </w:rPr>
        <w:t xml:space="preserve">perceives it as </w:t>
      </w:r>
      <w:r w:rsidR="001726F2" w:rsidRPr="00B74863">
        <w:rPr>
          <w:rFonts w:ascii="Times New Roman" w:hAnsi="Times New Roman" w:cs="Times New Roman"/>
        </w:rPr>
        <w:t>too costly for businesses</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{"citationID":"xtyBVqft","properties":{"formattedCitation":"(Thiel 2015, 76)","plainCitation":"(Thiel 2015, 76)"},"citationItems":[{"id":1357,"uris":["http://zotero.org/users/local/jz89q5UV/items/C729AAPD"],"uri":["http://zotero.org/users/local/jz89q5UV/items/C729AAPD"],"itemData":{"id":1357,"type":"chapter","title":"Sexualities in World Politics","container-title":"Sexualities in World Politics: How LGBTQ Claims Shape International Relations","publisher":"Routledge","publisher-place":"New York, NY","event-place":"New York, NY","author":[{"family":"Thiel","given":"Markus"}],"editor":[{"family":"Picq","given":"Manuela Lavinas"},{"family":"Thiel","given":"Markus"}],"issued":{"date-parts":[["2015"]]}},"locator":"76"}],"schema":"https://github.com/citation-style-language/schema/raw/master/csl-citation.json"}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(Thiel 2015, 76)</w:t>
      </w:r>
      <w:r w:rsidR="003A5879">
        <w:rPr>
          <w:rFonts w:ascii="Times New Roman" w:hAnsi="Times New Roman" w:cs="Times New Roman"/>
        </w:rPr>
        <w:fldChar w:fldCharType="end"/>
      </w:r>
      <w:r w:rsidR="00E271F0">
        <w:rPr>
          <w:rFonts w:ascii="Times New Roman" w:hAnsi="Times New Roman" w:cs="Times New Roman"/>
        </w:rPr>
        <w:t>.</w:t>
      </w:r>
      <w:r w:rsidR="001726F2" w:rsidRPr="00B74863">
        <w:rPr>
          <w:rFonts w:ascii="Times New Roman" w:hAnsi="Times New Roman" w:cs="Times New Roman"/>
        </w:rPr>
        <w:t xml:space="preserve"> </w:t>
      </w:r>
      <w:r w:rsidR="00AB71AE" w:rsidRPr="00B74863">
        <w:rPr>
          <w:rFonts w:ascii="Times New Roman" w:hAnsi="Times New Roman" w:cs="Times New Roman"/>
        </w:rPr>
        <w:t xml:space="preserve">At the same time, </w:t>
      </w:r>
      <w:r w:rsidRPr="00B74863">
        <w:rPr>
          <w:rFonts w:ascii="Times New Roman" w:hAnsi="Times New Roman" w:cs="Times New Roman"/>
        </w:rPr>
        <w:t>horizontal Europeanization, whereby transnational alliances of LGBT activists form to advance EU rights through EU institutions and coalit</w:t>
      </w:r>
      <w:r w:rsidR="00A52588" w:rsidRPr="00B74863">
        <w:rPr>
          <w:rFonts w:ascii="Times New Roman" w:hAnsi="Times New Roman" w:cs="Times New Roman"/>
        </w:rPr>
        <w:t>ions of national representatives</w:t>
      </w:r>
      <w:r w:rsidRPr="00B74863">
        <w:rPr>
          <w:rFonts w:ascii="Times New Roman" w:hAnsi="Times New Roman" w:cs="Times New Roman"/>
        </w:rPr>
        <w:t xml:space="preserve"> appears to be increasingly effective. </w:t>
      </w:r>
      <w:r w:rsidR="0088400F" w:rsidRPr="00B74863">
        <w:rPr>
          <w:rFonts w:ascii="Times New Roman" w:hAnsi="Times New Roman" w:cs="Times New Roman"/>
        </w:rPr>
        <w:t xml:space="preserve">For </w:t>
      </w:r>
      <w:r w:rsidR="00307845">
        <w:rPr>
          <w:rFonts w:ascii="Times New Roman" w:hAnsi="Times New Roman" w:cs="Times New Roman"/>
        </w:rPr>
        <w:t>instance</w:t>
      </w:r>
      <w:r w:rsidR="0088400F" w:rsidRPr="00B74863">
        <w:rPr>
          <w:rFonts w:ascii="Times New Roman" w:hAnsi="Times New Roman" w:cs="Times New Roman"/>
        </w:rPr>
        <w:t>,</w:t>
      </w:r>
      <w:r w:rsidR="00AB71AE" w:rsidRPr="00B74863">
        <w:rPr>
          <w:rFonts w:ascii="Times New Roman" w:hAnsi="Times New Roman" w:cs="Times New Roman"/>
        </w:rPr>
        <w:t xml:space="preserve"> </w:t>
      </w:r>
      <w:r w:rsidR="00607FD5">
        <w:rPr>
          <w:rFonts w:ascii="Times New Roman" w:hAnsi="Times New Roman" w:cs="Times New Roman"/>
        </w:rPr>
        <w:t xml:space="preserve">the </w:t>
      </w:r>
      <w:r w:rsidR="00AB71AE" w:rsidRPr="00B74863">
        <w:rPr>
          <w:rFonts w:ascii="Times New Roman" w:hAnsi="Times New Roman" w:cs="Times New Roman"/>
        </w:rPr>
        <w:t xml:space="preserve">European Parliament rejected Rocco Buttiglione as Commissioner for Justice, Freedom, and </w:t>
      </w:r>
      <w:r w:rsidR="00AB71AE" w:rsidRPr="00B74863">
        <w:rPr>
          <w:rFonts w:ascii="Times New Roman" w:hAnsi="Times New Roman" w:cs="Times New Roman"/>
        </w:rPr>
        <w:lastRenderedPageBreak/>
        <w:t xml:space="preserve">Security Affairs because of his alleged strong Catholic views against homosexuality, thus implying condemnation of homosexuality, even if privately held, delegitimized </w:t>
      </w:r>
      <w:r w:rsidR="00A52588" w:rsidRPr="00B74863">
        <w:rPr>
          <w:rFonts w:ascii="Times New Roman" w:hAnsi="Times New Roman" w:cs="Times New Roman"/>
        </w:rPr>
        <w:t>him</w:t>
      </w:r>
      <w:r w:rsidR="00AB71AE" w:rsidRPr="00B74863">
        <w:rPr>
          <w:rFonts w:ascii="Times New Roman" w:hAnsi="Times New Roman" w:cs="Times New Roman"/>
        </w:rPr>
        <w:t xml:space="preserve"> from holding office</w:t>
      </w:r>
      <w:r w:rsidR="00E271F0">
        <w:rPr>
          <w:rFonts w:ascii="Times New Roman" w:hAnsi="Times New Roman" w:cs="Times New Roman"/>
        </w:rPr>
        <w:t xml:space="preserve"> </w:t>
      </w:r>
      <w:r w:rsidR="003A5879">
        <w:rPr>
          <w:rFonts w:ascii="Times New Roman" w:hAnsi="Times New Roman" w:cs="Times New Roman"/>
        </w:rPr>
        <w:fldChar w:fldCharType="begin"/>
      </w:r>
      <w:r w:rsidR="00E271F0">
        <w:rPr>
          <w:rFonts w:ascii="Times New Roman" w:hAnsi="Times New Roman" w:cs="Times New Roman"/>
        </w:rPr>
        <w:instrText xml:space="preserve"> ADDIN ZOTERO_ITEM CSL_CITATION {"citationID":"qa8CDL7L","properties":{"formattedCitation":"(Gerhards 2010)","plainCitation":"(Gerhards 2010)"},"citationItems":[{"id":16,"uris":["http://zotero.org/users/local/jz89q5UV/items/2E8F4WBQ"],"uri":["http://zotero.org/users/local/jz89q5UV/items/2E8F4WBQ"],"itemData":{"id":16,"type":"article-journal","title":"Non-Discrimination towards Homosexuality: The European Union's Policy and Citizens' Attitudes towards Homosexuality in 27 European Countries","container-title":"International Sociology","page":"5-28","volume":"25","issue":"1","source":"CrossRef","DOI":"10.1177/0268580909346704","ISSN":"0268-5809","shortTitle":"Non-Discrimination towards Homosexuality","language":"en","author":[{"family":"Gerhards","given":"J."}],"issued":{"date-parts":[["2010",1,1]]}}}],"schema":"https://github.com/citation-style-language/schema/raw/master/csl-citation.json"} </w:instrText>
      </w:r>
      <w:r w:rsidR="003A5879">
        <w:rPr>
          <w:rFonts w:ascii="Times New Roman" w:hAnsi="Times New Roman" w:cs="Times New Roman"/>
        </w:rPr>
        <w:fldChar w:fldCharType="separate"/>
      </w:r>
      <w:r w:rsidR="00E271F0">
        <w:rPr>
          <w:rFonts w:ascii="Times New Roman" w:hAnsi="Times New Roman" w:cs="Times New Roman"/>
          <w:noProof/>
        </w:rPr>
        <w:t>(Gerhards 2010)</w:t>
      </w:r>
      <w:r w:rsidR="003A5879">
        <w:rPr>
          <w:rFonts w:ascii="Times New Roman" w:hAnsi="Times New Roman" w:cs="Times New Roman"/>
        </w:rPr>
        <w:fldChar w:fldCharType="end"/>
      </w:r>
      <w:r w:rsidR="00E271F0">
        <w:rPr>
          <w:rFonts w:ascii="Times New Roman" w:hAnsi="Times New Roman" w:cs="Times New Roman"/>
        </w:rPr>
        <w:t>.</w:t>
      </w:r>
      <w:r w:rsidR="00AB71AE" w:rsidRPr="00B74863">
        <w:rPr>
          <w:rFonts w:ascii="Times New Roman" w:hAnsi="Times New Roman" w:cs="Times New Roman"/>
        </w:rPr>
        <w:t xml:space="preserve"> </w:t>
      </w:r>
      <w:r w:rsidRPr="00B74863">
        <w:rPr>
          <w:rFonts w:ascii="Times New Roman" w:hAnsi="Times New Roman" w:cs="Times New Roman"/>
        </w:rPr>
        <w:t xml:space="preserve">These contrasting trends show that EU member states and its institutions are increasingly diverging from each other with regard to the equal treatment of sexual minorities. While </w:t>
      </w:r>
      <w:r w:rsidR="006042EE">
        <w:rPr>
          <w:rFonts w:ascii="Times New Roman" w:hAnsi="Times New Roman" w:cs="Times New Roman"/>
        </w:rPr>
        <w:t xml:space="preserve">the </w:t>
      </w:r>
      <w:r w:rsidRPr="00B74863">
        <w:rPr>
          <w:rFonts w:ascii="Times New Roman" w:hAnsi="Times New Roman" w:cs="Times New Roman"/>
        </w:rPr>
        <w:t>EU continue</w:t>
      </w:r>
      <w:r w:rsidR="006042EE">
        <w:rPr>
          <w:rFonts w:ascii="Times New Roman" w:hAnsi="Times New Roman" w:cs="Times New Roman"/>
        </w:rPr>
        <w:t>s</w:t>
      </w:r>
      <w:r w:rsidRPr="00B74863">
        <w:rPr>
          <w:rFonts w:ascii="Times New Roman" w:hAnsi="Times New Roman" w:cs="Times New Roman"/>
        </w:rPr>
        <w:t xml:space="preserve"> to try to move the agenda for </w:t>
      </w:r>
      <w:r w:rsidR="006042EE">
        <w:rPr>
          <w:rFonts w:ascii="Times New Roman" w:hAnsi="Times New Roman" w:cs="Times New Roman"/>
        </w:rPr>
        <w:t>gay and lesbian</w:t>
      </w:r>
      <w:r w:rsidRPr="00B74863">
        <w:rPr>
          <w:rFonts w:ascii="Times New Roman" w:hAnsi="Times New Roman" w:cs="Times New Roman"/>
        </w:rPr>
        <w:t xml:space="preserve"> citizens further ahead, </w:t>
      </w:r>
      <w:r w:rsidR="00D03346">
        <w:rPr>
          <w:rFonts w:ascii="Times New Roman" w:hAnsi="Times New Roman" w:cs="Times New Roman"/>
        </w:rPr>
        <w:t>national governments act as</w:t>
      </w:r>
      <w:r w:rsidR="00B46AAE" w:rsidRPr="00B74863">
        <w:rPr>
          <w:rFonts w:ascii="Times New Roman" w:hAnsi="Times New Roman" w:cs="Times New Roman"/>
        </w:rPr>
        <w:t xml:space="preserve"> powerful </w:t>
      </w:r>
      <w:r w:rsidR="006042EE">
        <w:rPr>
          <w:rFonts w:ascii="Times New Roman" w:hAnsi="Times New Roman" w:cs="Times New Roman"/>
        </w:rPr>
        <w:t>forces of inertia to</w:t>
      </w:r>
      <w:r w:rsidR="00B46AAE" w:rsidRPr="00B74863">
        <w:rPr>
          <w:rFonts w:ascii="Times New Roman" w:hAnsi="Times New Roman" w:cs="Times New Roman"/>
        </w:rPr>
        <w:t xml:space="preserve"> further progress </w:t>
      </w:r>
      <w:r w:rsidR="006042EE">
        <w:rPr>
          <w:rFonts w:ascii="Times New Roman" w:hAnsi="Times New Roman" w:cs="Times New Roman"/>
        </w:rPr>
        <w:t>because of deeply</w:t>
      </w:r>
      <w:r w:rsidR="00B46AAE" w:rsidRPr="00B74863">
        <w:rPr>
          <w:rFonts w:ascii="Times New Roman" w:hAnsi="Times New Roman" w:cs="Times New Roman"/>
        </w:rPr>
        <w:t xml:space="preserve"> entrenched and distinct national patterns of church-state relations</w:t>
      </w:r>
      <w:r w:rsidR="00464476">
        <w:rPr>
          <w:rFonts w:ascii="Times New Roman" w:hAnsi="Times New Roman" w:cs="Times New Roman"/>
        </w:rPr>
        <w:t>.</w:t>
      </w:r>
      <w:r w:rsidR="00ED2936" w:rsidRPr="00B74863">
        <w:rPr>
          <w:rFonts w:ascii="Times New Roman" w:hAnsi="Times New Roman" w:cs="Times New Roman"/>
          <w:b/>
        </w:rPr>
        <w:br w:type="page"/>
      </w:r>
    </w:p>
    <w:p w14:paraId="144E7B50" w14:textId="77777777" w:rsidR="00D13C35" w:rsidRPr="00B74863" w:rsidRDefault="00D13C35" w:rsidP="00D13C35">
      <w:pPr>
        <w:spacing w:line="480" w:lineRule="auto"/>
        <w:ind w:firstLine="360"/>
        <w:rPr>
          <w:rFonts w:ascii="Times New Roman" w:hAnsi="Times New Roman" w:cs="Times New Roman"/>
        </w:rPr>
      </w:pPr>
      <w:r w:rsidRPr="00B74863">
        <w:rPr>
          <w:rFonts w:ascii="Times New Roman" w:hAnsi="Times New Roman" w:cs="Times New Roman"/>
        </w:rPr>
        <w:lastRenderedPageBreak/>
        <w:t>Figures and Tables</w:t>
      </w:r>
    </w:p>
    <w:p w14:paraId="21DD6A08" w14:textId="77777777" w:rsidR="00D13C35" w:rsidRPr="00B74863" w:rsidRDefault="00D13C35" w:rsidP="00D13C35">
      <w:pPr>
        <w:spacing w:line="480" w:lineRule="auto"/>
        <w:rPr>
          <w:rFonts w:ascii="Times New Roman" w:hAnsi="Times New Roman" w:cs="Times New Roman"/>
        </w:rPr>
      </w:pPr>
      <w:r w:rsidRPr="00B74863">
        <w:rPr>
          <w:rFonts w:ascii="Times New Roman" w:hAnsi="Times New Roman" w:cs="Times New Roman"/>
          <w:i/>
        </w:rPr>
        <w:t xml:space="preserve">Table 1. </w:t>
      </w:r>
    </w:p>
    <w:p w14:paraId="463970B3" w14:textId="77777777" w:rsidR="00D13C35" w:rsidRPr="00B74863" w:rsidRDefault="00D13C35" w:rsidP="00D13C35">
      <w:pPr>
        <w:rPr>
          <w:rFonts w:ascii="Times New Roman" w:hAnsi="Times New Roman" w:cs="Times New Roman"/>
          <w:i/>
        </w:rPr>
      </w:pPr>
      <w:r w:rsidRPr="00B74863">
        <w:rPr>
          <w:rFonts w:ascii="Times New Roman" w:hAnsi="Times New Roman" w:cs="Times New Roman"/>
          <w:bCs/>
          <w:i/>
        </w:rPr>
        <w:t>Council Directive 2000/78/EC of 27 November 2000 establishing a general framework for equal treatment in employment and occupation—Provisions Related to Same Sex Orientation Employment Discrimination</w:t>
      </w:r>
      <w:r>
        <w:rPr>
          <w:rFonts w:ascii="Times New Roman" w:hAnsi="Times New Roman" w:cs="Times New Roman"/>
          <w:bCs/>
          <w:i/>
        </w:rPr>
        <w:t xml:space="preserve"> </w:t>
      </w:r>
      <w:r>
        <w:rPr>
          <w:rFonts w:ascii="Times New Roman" w:hAnsi="Times New Roman" w:cs="Times New Roman"/>
          <w:bCs/>
          <w:i/>
        </w:rPr>
        <w:fldChar w:fldCharType="begin"/>
      </w:r>
      <w:r>
        <w:rPr>
          <w:rFonts w:ascii="Times New Roman" w:hAnsi="Times New Roman" w:cs="Times New Roman"/>
          <w:bCs/>
          <w:i/>
        </w:rPr>
        <w:instrText xml:space="preserve"> ADDIN ZOTERO_ITEM CSL_CITATION {"citationID":"XlB2TbNu","properties":{"formattedCitation":"{\\rtf (Waaldijk and Bonini-Baraldi 2006, 73\\uc0\\u8211{}75, 148)}","plainCitation":"(Waaldijk and Bonini-Baraldi 2006, 73–75, 148)"},"citationItems":[{"id":1001,"uris":["http://zotero.org/users/local/jz89q5UV/items/7G7ZRVC2"],"uri":["http://zotero.org/users/local/jz89q5UV/items/7G7ZRVC2"],"itemData":{"id":1001,"type":"book","title":"Sexual Orientation Discrimination in the European Union: National Laws and the Employment Equality Directive","publisher":"Cambridge University Press","number-of-pages":"276","source":"Google Books","abstract":"Chapter 1 1 Introduction Among the recent positive developments in European Union law with regard to the legal situation of lesbian, gay and bisexual persons, the clear prohibition of discrimination in employment and occupation contained in the Employment Equality Directive is the most important. Certainly, since 1999 article 13 of the EC Treaty, which forms the legal basis for this Directive, already mentions sexual orientation among the protected grounds, but this Treaty provision only enables the Council of the EC to adopt appropriate action against discrimination. This is precisely what happened on 27 November 2000, when the Council adopted Directive 2000/78/EC establishing a general framework for equal treatment in em- 2 ployment and occupation (hereafter the Directive). Prior to its enactment, eight of the then fifteen Member States, two of the current new Member States (the Czech Republic and Slovenia), and one of the current acceding countries (- mania) had legislation in place prohibiting sexual orientation discrimination in employment. However, these laws followed a variety of approaches, which were not always consistent with the Directive’s requirements. All Member States were required to make some changes to their legislative framework in order to imp- ment the provisions of the Directive with respect to discrimination based on sexual orientation (and with respect to discrimination based on any of the three other grounds covered by the Directive: religion or belief, disability, age).","ISBN":"978-90-6704-213-0","shortTitle":"Sexual Orientation Discrimination in the European Union","language":"en","author":[{"family":"Waaldijk","given":"C."},{"family":"Bonini-Baraldi","given":"Matteo"}],"issued":{"date-parts":[["2006",7,27]]}},"locator":"73-75, 148"}],"schema":"https://github.com/citation-style-language/schema/raw/master/csl-citation.json"} </w:instrText>
      </w:r>
      <w:r>
        <w:rPr>
          <w:rFonts w:ascii="Times New Roman" w:hAnsi="Times New Roman" w:cs="Times New Roman"/>
          <w:bCs/>
          <w:i/>
        </w:rPr>
        <w:fldChar w:fldCharType="separate"/>
      </w:r>
      <w:r w:rsidRPr="00E271F0">
        <w:rPr>
          <w:rFonts w:ascii="Times New Roman" w:eastAsia="Times New Roman" w:hAnsi="Times New Roman" w:cs="Times New Roman"/>
        </w:rPr>
        <w:t>(</w:t>
      </w:r>
      <w:r>
        <w:rPr>
          <w:rFonts w:ascii="Times New Roman" w:eastAsia="Times New Roman" w:hAnsi="Times New Roman" w:cs="Times New Roman"/>
        </w:rPr>
        <w:t xml:space="preserve">Source: </w:t>
      </w:r>
      <w:r w:rsidRPr="00E271F0">
        <w:rPr>
          <w:rFonts w:ascii="Times New Roman" w:eastAsia="Times New Roman" w:hAnsi="Times New Roman" w:cs="Times New Roman"/>
        </w:rPr>
        <w:t>Waaldijk and Bonini-Baraldi 2006, 73–75, 148)</w:t>
      </w:r>
      <w:r>
        <w:rPr>
          <w:rFonts w:ascii="Times New Roman" w:hAnsi="Times New Roman" w:cs="Times New Roman"/>
          <w:bCs/>
          <w:i/>
        </w:rPr>
        <w:fldChar w:fldCharType="end"/>
      </w:r>
    </w:p>
    <w:tbl>
      <w:tblPr>
        <w:tblStyle w:val="TableGrid"/>
        <w:tblW w:w="0" w:type="auto"/>
        <w:tblLook w:val="04A0" w:firstRow="1" w:lastRow="0" w:firstColumn="1" w:lastColumn="0" w:noHBand="0" w:noVBand="1"/>
      </w:tblPr>
      <w:tblGrid>
        <w:gridCol w:w="1638"/>
        <w:gridCol w:w="1530"/>
        <w:gridCol w:w="2901"/>
        <w:gridCol w:w="2946"/>
      </w:tblGrid>
      <w:tr w:rsidR="00D13C35" w:rsidRPr="00B74863" w14:paraId="421F7238" w14:textId="77777777" w:rsidTr="00A345AA">
        <w:trPr>
          <w:trHeight w:val="266"/>
        </w:trPr>
        <w:tc>
          <w:tcPr>
            <w:tcW w:w="1638" w:type="dxa"/>
          </w:tcPr>
          <w:p w14:paraId="24A55AEC" w14:textId="77777777" w:rsidR="00D13C35" w:rsidRPr="00B74863" w:rsidRDefault="00D13C35" w:rsidP="00A345AA">
            <w:pPr>
              <w:rPr>
                <w:rFonts w:ascii="Times New Roman" w:hAnsi="Times New Roman" w:cs="Times New Roman"/>
              </w:rPr>
            </w:pPr>
            <w:r w:rsidRPr="00B74863">
              <w:rPr>
                <w:rFonts w:ascii="Times New Roman" w:hAnsi="Times New Roman" w:cs="Times New Roman"/>
                <w:i/>
              </w:rPr>
              <w:t>Existing Laws</w:t>
            </w:r>
          </w:p>
        </w:tc>
        <w:tc>
          <w:tcPr>
            <w:tcW w:w="1530" w:type="dxa"/>
          </w:tcPr>
          <w:p w14:paraId="769DC5AE" w14:textId="77777777" w:rsidR="00D13C35" w:rsidRPr="00B74863" w:rsidRDefault="00D13C35" w:rsidP="00A345AA">
            <w:pPr>
              <w:rPr>
                <w:rFonts w:ascii="Times New Roman" w:hAnsi="Times New Roman" w:cs="Times New Roman"/>
                <w:i/>
              </w:rPr>
            </w:pPr>
            <w:r w:rsidRPr="00B74863">
              <w:rPr>
                <w:rFonts w:ascii="Times New Roman" w:hAnsi="Times New Roman" w:cs="Times New Roman"/>
                <w:i/>
              </w:rPr>
              <w:t>Provision #</w:t>
            </w:r>
          </w:p>
        </w:tc>
        <w:tc>
          <w:tcPr>
            <w:tcW w:w="2901" w:type="dxa"/>
          </w:tcPr>
          <w:p w14:paraId="1DB59C06" w14:textId="77777777" w:rsidR="00D13C35" w:rsidRPr="00B74863" w:rsidRDefault="00D13C35" w:rsidP="00A345AA">
            <w:pPr>
              <w:rPr>
                <w:rFonts w:ascii="Times New Roman" w:hAnsi="Times New Roman" w:cs="Times New Roman"/>
                <w:i/>
              </w:rPr>
            </w:pPr>
            <w:r w:rsidRPr="00B74863">
              <w:rPr>
                <w:rFonts w:ascii="Times New Roman" w:hAnsi="Times New Roman" w:cs="Times New Roman"/>
                <w:i/>
              </w:rPr>
              <w:t>Provision Summary</w:t>
            </w:r>
          </w:p>
        </w:tc>
        <w:tc>
          <w:tcPr>
            <w:tcW w:w="2946" w:type="dxa"/>
          </w:tcPr>
          <w:p w14:paraId="5B2F56BD" w14:textId="77777777" w:rsidR="00D13C35" w:rsidRPr="00B74863" w:rsidRDefault="00D13C35" w:rsidP="00A345AA">
            <w:pPr>
              <w:rPr>
                <w:rFonts w:ascii="Times New Roman" w:hAnsi="Times New Roman" w:cs="Times New Roman"/>
              </w:rPr>
            </w:pPr>
            <w:r w:rsidRPr="00B74863">
              <w:rPr>
                <w:rFonts w:ascii="Times New Roman" w:hAnsi="Times New Roman" w:cs="Times New Roman"/>
                <w:i/>
              </w:rPr>
              <w:t>Incorrect Implementation</w:t>
            </w:r>
            <w:r w:rsidRPr="00B74863">
              <w:rPr>
                <w:rFonts w:ascii="Times New Roman" w:hAnsi="Times New Roman" w:cs="Times New Roman"/>
              </w:rPr>
              <w:t xml:space="preserve"> </w:t>
            </w:r>
          </w:p>
        </w:tc>
      </w:tr>
      <w:tr w:rsidR="00D13C35" w:rsidRPr="00B74863" w14:paraId="2ACC78DF" w14:textId="77777777" w:rsidTr="00A345AA">
        <w:trPr>
          <w:trHeight w:val="287"/>
        </w:trPr>
        <w:tc>
          <w:tcPr>
            <w:tcW w:w="1638" w:type="dxa"/>
          </w:tcPr>
          <w:p w14:paraId="4B6D94DA"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FR (1985)</w:t>
            </w:r>
          </w:p>
        </w:tc>
        <w:tc>
          <w:tcPr>
            <w:tcW w:w="1530" w:type="dxa"/>
          </w:tcPr>
          <w:p w14:paraId="45F4461D"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1.4</w:t>
            </w:r>
          </w:p>
        </w:tc>
        <w:tc>
          <w:tcPr>
            <w:tcW w:w="2901" w:type="dxa"/>
          </w:tcPr>
          <w:p w14:paraId="473294F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Defining Sexual Orientation</w:t>
            </w:r>
          </w:p>
        </w:tc>
        <w:tc>
          <w:tcPr>
            <w:tcW w:w="2946" w:type="dxa"/>
          </w:tcPr>
          <w:p w14:paraId="7A8A683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FI, FR</w:t>
            </w:r>
          </w:p>
        </w:tc>
      </w:tr>
      <w:tr w:rsidR="00D13C35" w:rsidRPr="00B74863" w14:paraId="57A4AC4B" w14:textId="77777777" w:rsidTr="00A345AA">
        <w:trPr>
          <w:trHeight w:val="276"/>
        </w:trPr>
        <w:tc>
          <w:tcPr>
            <w:tcW w:w="1638" w:type="dxa"/>
          </w:tcPr>
          <w:p w14:paraId="0145BEB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NE (1992)</w:t>
            </w:r>
          </w:p>
        </w:tc>
        <w:tc>
          <w:tcPr>
            <w:tcW w:w="1530" w:type="dxa"/>
          </w:tcPr>
          <w:p w14:paraId="6BB2DCDB"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2.1</w:t>
            </w:r>
          </w:p>
        </w:tc>
        <w:tc>
          <w:tcPr>
            <w:tcW w:w="2901" w:type="dxa"/>
          </w:tcPr>
          <w:p w14:paraId="47CF9DF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Defining Direct Discrimination</w:t>
            </w:r>
          </w:p>
        </w:tc>
        <w:tc>
          <w:tcPr>
            <w:tcW w:w="2946" w:type="dxa"/>
          </w:tcPr>
          <w:p w14:paraId="02ECF5F7"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ES, PT</w:t>
            </w:r>
          </w:p>
        </w:tc>
      </w:tr>
      <w:tr w:rsidR="00D13C35" w:rsidRPr="00B74863" w14:paraId="1E280A33" w14:textId="77777777" w:rsidTr="00A345AA">
        <w:trPr>
          <w:trHeight w:val="266"/>
        </w:trPr>
        <w:tc>
          <w:tcPr>
            <w:tcW w:w="1638" w:type="dxa"/>
          </w:tcPr>
          <w:p w14:paraId="63728F7D"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IR (1993)</w:t>
            </w:r>
          </w:p>
        </w:tc>
        <w:tc>
          <w:tcPr>
            <w:tcW w:w="1530" w:type="dxa"/>
          </w:tcPr>
          <w:p w14:paraId="3CF7A1E0"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2.2</w:t>
            </w:r>
          </w:p>
        </w:tc>
        <w:tc>
          <w:tcPr>
            <w:tcW w:w="2901" w:type="dxa"/>
          </w:tcPr>
          <w:p w14:paraId="0309E4B2"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Defining Indirect Discrimination</w:t>
            </w:r>
          </w:p>
        </w:tc>
        <w:tc>
          <w:tcPr>
            <w:tcW w:w="2946" w:type="dxa"/>
          </w:tcPr>
          <w:p w14:paraId="2D973DBB"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FR, IR, IT, UK</w:t>
            </w:r>
          </w:p>
        </w:tc>
      </w:tr>
      <w:tr w:rsidR="00D13C35" w:rsidRPr="00B74863" w14:paraId="3FA3F5F6" w14:textId="77777777" w:rsidTr="00A345AA">
        <w:trPr>
          <w:trHeight w:val="276"/>
        </w:trPr>
        <w:tc>
          <w:tcPr>
            <w:tcW w:w="1638" w:type="dxa"/>
          </w:tcPr>
          <w:p w14:paraId="011C1A27"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ES (1995)</w:t>
            </w:r>
          </w:p>
        </w:tc>
        <w:tc>
          <w:tcPr>
            <w:tcW w:w="1530" w:type="dxa"/>
          </w:tcPr>
          <w:p w14:paraId="2E23F28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2.3</w:t>
            </w:r>
          </w:p>
        </w:tc>
        <w:tc>
          <w:tcPr>
            <w:tcW w:w="2901" w:type="dxa"/>
          </w:tcPr>
          <w:p w14:paraId="341D07C1"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Defining Harassment</w:t>
            </w:r>
          </w:p>
        </w:tc>
        <w:tc>
          <w:tcPr>
            <w:tcW w:w="2946" w:type="dxa"/>
          </w:tcPr>
          <w:p w14:paraId="58BF581B"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ÖS, FR, SW, UK</w:t>
            </w:r>
          </w:p>
        </w:tc>
      </w:tr>
      <w:tr w:rsidR="00D13C35" w:rsidRPr="00B74863" w14:paraId="2DF97324" w14:textId="77777777" w:rsidTr="00A345AA">
        <w:trPr>
          <w:trHeight w:val="266"/>
        </w:trPr>
        <w:tc>
          <w:tcPr>
            <w:tcW w:w="1638" w:type="dxa"/>
          </w:tcPr>
          <w:p w14:paraId="101FC0FA"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FI (1995)</w:t>
            </w:r>
          </w:p>
        </w:tc>
        <w:tc>
          <w:tcPr>
            <w:tcW w:w="1530" w:type="dxa"/>
          </w:tcPr>
          <w:p w14:paraId="2D3AEBC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2.4</w:t>
            </w:r>
          </w:p>
        </w:tc>
        <w:tc>
          <w:tcPr>
            <w:tcW w:w="2901" w:type="dxa"/>
          </w:tcPr>
          <w:p w14:paraId="4874B4B2"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Bans instructions to discriminate</w:t>
            </w:r>
          </w:p>
        </w:tc>
        <w:tc>
          <w:tcPr>
            <w:tcW w:w="2946" w:type="dxa"/>
          </w:tcPr>
          <w:p w14:paraId="4044E45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FR, PT, SW, UK</w:t>
            </w:r>
          </w:p>
        </w:tc>
      </w:tr>
      <w:tr w:rsidR="00D13C35" w:rsidRPr="00B74863" w14:paraId="2576322E" w14:textId="77777777" w:rsidTr="00A345AA">
        <w:trPr>
          <w:trHeight w:val="276"/>
        </w:trPr>
        <w:tc>
          <w:tcPr>
            <w:tcW w:w="1638" w:type="dxa"/>
          </w:tcPr>
          <w:p w14:paraId="55C2FE20"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DK (1996)</w:t>
            </w:r>
          </w:p>
        </w:tc>
        <w:tc>
          <w:tcPr>
            <w:tcW w:w="1530" w:type="dxa"/>
          </w:tcPr>
          <w:p w14:paraId="349BE77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2.5</w:t>
            </w:r>
          </w:p>
        </w:tc>
        <w:tc>
          <w:tcPr>
            <w:tcW w:w="2901" w:type="dxa"/>
          </w:tcPr>
          <w:p w14:paraId="5C0CACC1"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Does not prejudice the rights of others or laws necessary for public order</w:t>
            </w:r>
          </w:p>
        </w:tc>
        <w:tc>
          <w:tcPr>
            <w:tcW w:w="2946" w:type="dxa"/>
          </w:tcPr>
          <w:p w14:paraId="6D4C5C1A"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IR, IT, NE, UK</w:t>
            </w:r>
          </w:p>
        </w:tc>
      </w:tr>
      <w:tr w:rsidR="00D13C35" w:rsidRPr="00B74863" w14:paraId="538A8659" w14:textId="77777777" w:rsidTr="00A345AA">
        <w:trPr>
          <w:trHeight w:val="539"/>
        </w:trPr>
        <w:tc>
          <w:tcPr>
            <w:tcW w:w="1638" w:type="dxa"/>
          </w:tcPr>
          <w:p w14:paraId="426FD55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LX (1997)</w:t>
            </w:r>
          </w:p>
        </w:tc>
        <w:tc>
          <w:tcPr>
            <w:tcW w:w="1530" w:type="dxa"/>
          </w:tcPr>
          <w:p w14:paraId="57595C00"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3.1</w:t>
            </w:r>
          </w:p>
        </w:tc>
        <w:tc>
          <w:tcPr>
            <w:tcW w:w="2901" w:type="dxa"/>
          </w:tcPr>
          <w:p w14:paraId="1A2B589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Law applies to all persons in public and private sector (material scope)</w:t>
            </w:r>
          </w:p>
        </w:tc>
        <w:tc>
          <w:tcPr>
            <w:tcW w:w="2946" w:type="dxa"/>
          </w:tcPr>
          <w:p w14:paraId="0BF1BA7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ÖS, FR, PT, ES, SW, UK</w:t>
            </w:r>
          </w:p>
        </w:tc>
      </w:tr>
      <w:tr w:rsidR="00D13C35" w:rsidRPr="00B74863" w14:paraId="01A6821A" w14:textId="77777777" w:rsidTr="00A345AA">
        <w:trPr>
          <w:trHeight w:val="296"/>
        </w:trPr>
        <w:tc>
          <w:tcPr>
            <w:tcW w:w="1638" w:type="dxa"/>
          </w:tcPr>
          <w:p w14:paraId="0450E37F"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SW (1999)</w:t>
            </w:r>
          </w:p>
          <w:p w14:paraId="2E34267A"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BE (1999)</w:t>
            </w:r>
          </w:p>
        </w:tc>
        <w:tc>
          <w:tcPr>
            <w:tcW w:w="1530" w:type="dxa"/>
          </w:tcPr>
          <w:p w14:paraId="21B4D7A9"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4.1</w:t>
            </w:r>
          </w:p>
        </w:tc>
        <w:tc>
          <w:tcPr>
            <w:tcW w:w="2901" w:type="dxa"/>
          </w:tcPr>
          <w:p w14:paraId="31C230DB"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Occupational requirements</w:t>
            </w:r>
          </w:p>
        </w:tc>
        <w:tc>
          <w:tcPr>
            <w:tcW w:w="2946" w:type="dxa"/>
          </w:tcPr>
          <w:p w14:paraId="01D91FD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DK, FI, IT, PT, SW, UK</w:t>
            </w:r>
          </w:p>
        </w:tc>
      </w:tr>
      <w:tr w:rsidR="00D13C35" w:rsidRPr="00B74863" w14:paraId="1FE33453" w14:textId="77777777" w:rsidTr="00A345AA">
        <w:trPr>
          <w:trHeight w:val="276"/>
        </w:trPr>
        <w:tc>
          <w:tcPr>
            <w:tcW w:w="1638" w:type="dxa"/>
          </w:tcPr>
          <w:p w14:paraId="6BD9C582"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(2001)</w:t>
            </w:r>
          </w:p>
        </w:tc>
        <w:tc>
          <w:tcPr>
            <w:tcW w:w="1530" w:type="dxa"/>
          </w:tcPr>
          <w:p w14:paraId="1C7B078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4.2</w:t>
            </w:r>
          </w:p>
        </w:tc>
        <w:tc>
          <w:tcPr>
            <w:tcW w:w="2901" w:type="dxa"/>
          </w:tcPr>
          <w:p w14:paraId="36DD98A5"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Allowable exceptions for religious employers</w:t>
            </w:r>
          </w:p>
        </w:tc>
        <w:tc>
          <w:tcPr>
            <w:tcW w:w="2946" w:type="dxa"/>
          </w:tcPr>
          <w:p w14:paraId="6E35C569"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DK, IR, IT, NE, UK</w:t>
            </w:r>
          </w:p>
        </w:tc>
      </w:tr>
      <w:tr w:rsidR="00D13C35" w:rsidRPr="00B74863" w14:paraId="0C4B7905" w14:textId="77777777" w:rsidTr="00A345AA">
        <w:trPr>
          <w:trHeight w:val="276"/>
        </w:trPr>
        <w:tc>
          <w:tcPr>
            <w:tcW w:w="1638" w:type="dxa"/>
          </w:tcPr>
          <w:p w14:paraId="6A5B0C45"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IT (2003)</w:t>
            </w:r>
          </w:p>
        </w:tc>
        <w:tc>
          <w:tcPr>
            <w:tcW w:w="1530" w:type="dxa"/>
          </w:tcPr>
          <w:p w14:paraId="41F2B524"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7.1</w:t>
            </w:r>
          </w:p>
        </w:tc>
        <w:tc>
          <w:tcPr>
            <w:tcW w:w="2901" w:type="dxa"/>
          </w:tcPr>
          <w:p w14:paraId="171C0C82"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Take positive action to reduce the effects of existing discrimination</w:t>
            </w:r>
          </w:p>
        </w:tc>
        <w:tc>
          <w:tcPr>
            <w:tcW w:w="2946" w:type="dxa"/>
          </w:tcPr>
          <w:p w14:paraId="2A189651"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DK, FR, IT, NE, SW</w:t>
            </w:r>
          </w:p>
        </w:tc>
      </w:tr>
      <w:tr w:rsidR="00D13C35" w:rsidRPr="00B74863" w14:paraId="0141AD21" w14:textId="77777777" w:rsidTr="00A345AA">
        <w:trPr>
          <w:trHeight w:val="276"/>
        </w:trPr>
        <w:tc>
          <w:tcPr>
            <w:tcW w:w="1638" w:type="dxa"/>
          </w:tcPr>
          <w:p w14:paraId="466E7541"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UK (2003)</w:t>
            </w:r>
          </w:p>
          <w:p w14:paraId="1695208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PT (2003)</w:t>
            </w:r>
          </w:p>
        </w:tc>
        <w:tc>
          <w:tcPr>
            <w:tcW w:w="1530" w:type="dxa"/>
          </w:tcPr>
          <w:p w14:paraId="720E5DD8"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9.1</w:t>
            </w:r>
          </w:p>
        </w:tc>
        <w:tc>
          <w:tcPr>
            <w:tcW w:w="2901" w:type="dxa"/>
          </w:tcPr>
          <w:p w14:paraId="2C331025"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Create judicial and administrative procedures for enforcement</w:t>
            </w:r>
          </w:p>
        </w:tc>
        <w:tc>
          <w:tcPr>
            <w:tcW w:w="2946" w:type="dxa"/>
          </w:tcPr>
          <w:p w14:paraId="3DFF2BD7"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w:t>
            </w:r>
          </w:p>
        </w:tc>
      </w:tr>
      <w:tr w:rsidR="00D13C35" w:rsidRPr="00B74863" w14:paraId="77507215" w14:textId="77777777" w:rsidTr="00A345AA">
        <w:trPr>
          <w:trHeight w:val="276"/>
        </w:trPr>
        <w:tc>
          <w:tcPr>
            <w:tcW w:w="1638" w:type="dxa"/>
          </w:tcPr>
          <w:p w14:paraId="4F9B6C2E"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ÖS (2004)</w:t>
            </w:r>
          </w:p>
        </w:tc>
        <w:tc>
          <w:tcPr>
            <w:tcW w:w="1530" w:type="dxa"/>
          </w:tcPr>
          <w:p w14:paraId="18920C76"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9.2</w:t>
            </w:r>
          </w:p>
        </w:tc>
        <w:tc>
          <w:tcPr>
            <w:tcW w:w="2901" w:type="dxa"/>
          </w:tcPr>
          <w:p w14:paraId="35F4D17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Create enforcement bodies</w:t>
            </w:r>
          </w:p>
        </w:tc>
        <w:tc>
          <w:tcPr>
            <w:tcW w:w="2946" w:type="dxa"/>
          </w:tcPr>
          <w:p w14:paraId="0C1406AA"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ÖS, FR, IT, PT, UK</w:t>
            </w:r>
          </w:p>
        </w:tc>
      </w:tr>
      <w:tr w:rsidR="00D13C35" w:rsidRPr="00B74863" w14:paraId="59B041F5" w14:textId="77777777" w:rsidTr="00A345AA">
        <w:trPr>
          <w:trHeight w:val="276"/>
        </w:trPr>
        <w:tc>
          <w:tcPr>
            <w:tcW w:w="1638" w:type="dxa"/>
          </w:tcPr>
          <w:p w14:paraId="64359706"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HE (2005)</w:t>
            </w:r>
          </w:p>
        </w:tc>
        <w:tc>
          <w:tcPr>
            <w:tcW w:w="1530" w:type="dxa"/>
          </w:tcPr>
          <w:p w14:paraId="76EFA3B5"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10</w:t>
            </w:r>
          </w:p>
        </w:tc>
        <w:tc>
          <w:tcPr>
            <w:tcW w:w="2901" w:type="dxa"/>
          </w:tcPr>
          <w:p w14:paraId="6268517C"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Burden of proof placed on respondent to prove no violation of equal treatment</w:t>
            </w:r>
          </w:p>
        </w:tc>
        <w:tc>
          <w:tcPr>
            <w:tcW w:w="2946" w:type="dxa"/>
          </w:tcPr>
          <w:p w14:paraId="570AF044"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DK, FR, IT, PT, UK</w:t>
            </w:r>
          </w:p>
        </w:tc>
      </w:tr>
      <w:tr w:rsidR="00D13C35" w:rsidRPr="00B74863" w14:paraId="65861B6D" w14:textId="77777777" w:rsidTr="00A345AA">
        <w:trPr>
          <w:trHeight w:val="276"/>
        </w:trPr>
        <w:tc>
          <w:tcPr>
            <w:tcW w:w="1638" w:type="dxa"/>
          </w:tcPr>
          <w:p w14:paraId="59DF4B5D" w14:textId="77777777" w:rsidR="00D13C35" w:rsidRPr="00B74863" w:rsidRDefault="00D13C35" w:rsidP="00A345AA">
            <w:pPr>
              <w:rPr>
                <w:rFonts w:ascii="Times New Roman" w:hAnsi="Times New Roman" w:cs="Times New Roman"/>
              </w:rPr>
            </w:pPr>
          </w:p>
        </w:tc>
        <w:tc>
          <w:tcPr>
            <w:tcW w:w="1530" w:type="dxa"/>
          </w:tcPr>
          <w:p w14:paraId="665B162F"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11</w:t>
            </w:r>
          </w:p>
        </w:tc>
        <w:tc>
          <w:tcPr>
            <w:tcW w:w="2901" w:type="dxa"/>
          </w:tcPr>
          <w:p w14:paraId="4F6EFC63"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Employment protection from “whistle-blowing” or lodging complaints</w:t>
            </w:r>
          </w:p>
        </w:tc>
        <w:tc>
          <w:tcPr>
            <w:tcW w:w="2946" w:type="dxa"/>
          </w:tcPr>
          <w:p w14:paraId="6FD550B5"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ÖS, IT</w:t>
            </w:r>
          </w:p>
        </w:tc>
      </w:tr>
      <w:tr w:rsidR="00D13C35" w:rsidRPr="00B74863" w14:paraId="3C8181D3" w14:textId="77777777" w:rsidTr="00A345AA">
        <w:trPr>
          <w:trHeight w:val="276"/>
        </w:trPr>
        <w:tc>
          <w:tcPr>
            <w:tcW w:w="1638" w:type="dxa"/>
          </w:tcPr>
          <w:p w14:paraId="64D6FF2F" w14:textId="77777777" w:rsidR="00D13C35" w:rsidRPr="00B74863" w:rsidRDefault="00D13C35" w:rsidP="00A345AA">
            <w:pPr>
              <w:rPr>
                <w:rFonts w:ascii="Times New Roman" w:hAnsi="Times New Roman" w:cs="Times New Roman"/>
              </w:rPr>
            </w:pPr>
          </w:p>
        </w:tc>
        <w:tc>
          <w:tcPr>
            <w:tcW w:w="1530" w:type="dxa"/>
          </w:tcPr>
          <w:p w14:paraId="27089F11"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Article 17</w:t>
            </w:r>
          </w:p>
        </w:tc>
        <w:tc>
          <w:tcPr>
            <w:tcW w:w="2901" w:type="dxa"/>
          </w:tcPr>
          <w:p w14:paraId="10CB25B9"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Sanction on individuals who violate these provisions</w:t>
            </w:r>
          </w:p>
        </w:tc>
        <w:tc>
          <w:tcPr>
            <w:tcW w:w="2946" w:type="dxa"/>
          </w:tcPr>
          <w:p w14:paraId="5C72D5D0" w14:textId="77777777" w:rsidR="00D13C35" w:rsidRPr="00B74863" w:rsidRDefault="00D13C35" w:rsidP="00A345AA">
            <w:pPr>
              <w:rPr>
                <w:rFonts w:ascii="Times New Roman" w:hAnsi="Times New Roman" w:cs="Times New Roman"/>
              </w:rPr>
            </w:pPr>
            <w:r w:rsidRPr="00B74863">
              <w:rPr>
                <w:rFonts w:ascii="Times New Roman" w:hAnsi="Times New Roman" w:cs="Times New Roman"/>
              </w:rPr>
              <w:t>DE, HE, LX, ÖS, BE, DK, FI, IR, IT, SW, UK</w:t>
            </w:r>
          </w:p>
        </w:tc>
      </w:tr>
    </w:tbl>
    <w:p w14:paraId="4F5E5FC2" w14:textId="77777777" w:rsidR="00D13C35" w:rsidRPr="00B74863" w:rsidRDefault="00D13C35" w:rsidP="00D13C35">
      <w:pPr>
        <w:spacing w:line="480" w:lineRule="auto"/>
        <w:rPr>
          <w:rFonts w:ascii="Times New Roman" w:hAnsi="Times New Roman" w:cs="Times New Roman"/>
        </w:rPr>
      </w:pPr>
    </w:p>
    <w:p w14:paraId="728C62BA" w14:textId="77777777" w:rsidR="00D13C35" w:rsidRPr="00B74863" w:rsidRDefault="00D13C35" w:rsidP="00D13C35">
      <w:pPr>
        <w:spacing w:line="480" w:lineRule="auto"/>
        <w:rPr>
          <w:rFonts w:ascii="Times New Roman" w:hAnsi="Times New Roman" w:cs="Times New Roman"/>
        </w:rPr>
      </w:pPr>
      <w:r>
        <w:rPr>
          <w:rFonts w:ascii="Times New Roman" w:hAnsi="Times New Roman" w:cs="Times New Roman"/>
        </w:rPr>
        <w:lastRenderedPageBreak/>
        <w:t>Ta</w:t>
      </w:r>
      <w:r w:rsidRPr="00B74863">
        <w:rPr>
          <w:rFonts w:ascii="Times New Roman" w:hAnsi="Times New Roman" w:cs="Times New Roman"/>
        </w:rPr>
        <w:t xml:space="preserve">ble 2. Regression Results </w:t>
      </w:r>
    </w:p>
    <w:tbl>
      <w:tblPr>
        <w:tblStyle w:val="TableTheme"/>
        <w:tblW w:w="9316" w:type="dxa"/>
        <w:tblLook w:val="04A0" w:firstRow="1" w:lastRow="0" w:firstColumn="1" w:lastColumn="0" w:noHBand="0" w:noVBand="1"/>
      </w:tblPr>
      <w:tblGrid>
        <w:gridCol w:w="2880"/>
        <w:gridCol w:w="2358"/>
        <w:gridCol w:w="2098"/>
        <w:gridCol w:w="1980"/>
      </w:tblGrid>
      <w:tr w:rsidR="00D13C35" w:rsidRPr="00B74863" w14:paraId="71A4D0A3" w14:textId="77777777" w:rsidTr="00A345AA">
        <w:trPr>
          <w:trHeight w:val="280"/>
        </w:trPr>
        <w:tc>
          <w:tcPr>
            <w:tcW w:w="2880" w:type="dxa"/>
            <w:noWrap/>
            <w:hideMark/>
          </w:tcPr>
          <w:p w14:paraId="0EB45DD4"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388042F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Model 1:</w:t>
            </w:r>
          </w:p>
          <w:p w14:paraId="2B96CDD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Uploading Only</w:t>
            </w:r>
          </w:p>
        </w:tc>
        <w:tc>
          <w:tcPr>
            <w:tcW w:w="2098" w:type="dxa"/>
            <w:noWrap/>
            <w:hideMark/>
          </w:tcPr>
          <w:p w14:paraId="5364449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Model 2:</w:t>
            </w:r>
          </w:p>
          <w:p w14:paraId="48A9371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Downloading Only</w:t>
            </w:r>
          </w:p>
        </w:tc>
        <w:tc>
          <w:tcPr>
            <w:tcW w:w="1980" w:type="dxa"/>
            <w:noWrap/>
            <w:hideMark/>
          </w:tcPr>
          <w:p w14:paraId="1EB44BF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Model 3:</w:t>
            </w:r>
          </w:p>
          <w:p w14:paraId="05D258C9"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Integrated</w:t>
            </w:r>
          </w:p>
        </w:tc>
      </w:tr>
      <w:tr w:rsidR="00D13C35" w:rsidRPr="00B74863" w14:paraId="29B41EE9" w14:textId="77777777" w:rsidTr="00A345AA">
        <w:trPr>
          <w:trHeight w:val="280"/>
        </w:trPr>
        <w:tc>
          <w:tcPr>
            <w:tcW w:w="2880" w:type="dxa"/>
            <w:noWrap/>
            <w:hideMark/>
          </w:tcPr>
          <w:p w14:paraId="5AE4F134"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VARIABLES</w:t>
            </w:r>
          </w:p>
        </w:tc>
        <w:tc>
          <w:tcPr>
            <w:tcW w:w="2358" w:type="dxa"/>
            <w:noWrap/>
          </w:tcPr>
          <w:p w14:paraId="1C0638A0" w14:textId="77777777" w:rsidR="00D13C35" w:rsidRPr="00B74863" w:rsidRDefault="00D13C35" w:rsidP="00A345AA">
            <w:pPr>
              <w:jc w:val="center"/>
              <w:rPr>
                <w:rFonts w:ascii="Times New Roman" w:eastAsia="Times New Roman" w:hAnsi="Times New Roman" w:cs="Times New Roman"/>
                <w:sz w:val="24"/>
                <w:szCs w:val="24"/>
              </w:rPr>
            </w:pPr>
          </w:p>
        </w:tc>
        <w:tc>
          <w:tcPr>
            <w:tcW w:w="2098" w:type="dxa"/>
            <w:noWrap/>
          </w:tcPr>
          <w:p w14:paraId="35B718B5"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tcPr>
          <w:p w14:paraId="4C3BB5A3" w14:textId="77777777" w:rsidR="00D13C35" w:rsidRPr="00B74863" w:rsidRDefault="00D13C35" w:rsidP="00A345AA">
            <w:pPr>
              <w:jc w:val="center"/>
              <w:rPr>
                <w:rFonts w:ascii="Times New Roman" w:eastAsia="Times New Roman" w:hAnsi="Times New Roman" w:cs="Times New Roman"/>
                <w:sz w:val="24"/>
                <w:szCs w:val="24"/>
              </w:rPr>
            </w:pPr>
          </w:p>
        </w:tc>
      </w:tr>
      <w:tr w:rsidR="00D13C35" w:rsidRPr="00B74863" w14:paraId="54D83C36" w14:textId="77777777" w:rsidTr="00A345AA">
        <w:trPr>
          <w:trHeight w:val="280"/>
        </w:trPr>
        <w:tc>
          <w:tcPr>
            <w:tcW w:w="2880" w:type="dxa"/>
            <w:noWrap/>
            <w:hideMark/>
          </w:tcPr>
          <w:p w14:paraId="7E128B4F"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w:t>
            </w:r>
          </w:p>
        </w:tc>
        <w:tc>
          <w:tcPr>
            <w:tcW w:w="2358" w:type="dxa"/>
            <w:noWrap/>
            <w:hideMark/>
          </w:tcPr>
          <w:p w14:paraId="28775E8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w:t>
            </w:r>
          </w:p>
        </w:tc>
        <w:tc>
          <w:tcPr>
            <w:tcW w:w="2098" w:type="dxa"/>
            <w:noWrap/>
            <w:hideMark/>
          </w:tcPr>
          <w:p w14:paraId="0671E1DF"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w:t>
            </w:r>
          </w:p>
        </w:tc>
        <w:tc>
          <w:tcPr>
            <w:tcW w:w="1980" w:type="dxa"/>
            <w:noWrap/>
            <w:hideMark/>
          </w:tcPr>
          <w:p w14:paraId="59F2DB69"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w:t>
            </w:r>
          </w:p>
        </w:tc>
      </w:tr>
      <w:tr w:rsidR="00D13C35" w:rsidRPr="00B74863" w14:paraId="6FBC474C" w14:textId="77777777" w:rsidTr="00A345AA">
        <w:trPr>
          <w:trHeight w:val="280"/>
        </w:trPr>
        <w:tc>
          <w:tcPr>
            <w:tcW w:w="2880" w:type="dxa"/>
            <w:noWrap/>
            <w:hideMark/>
          </w:tcPr>
          <w:p w14:paraId="068AC122"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Feel Discriminated</w:t>
            </w:r>
          </w:p>
        </w:tc>
        <w:tc>
          <w:tcPr>
            <w:tcW w:w="2358" w:type="dxa"/>
            <w:noWrap/>
            <w:hideMark/>
          </w:tcPr>
          <w:p w14:paraId="141FDCD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-0.1237</w:t>
            </w:r>
          </w:p>
        </w:tc>
        <w:tc>
          <w:tcPr>
            <w:tcW w:w="2098" w:type="dxa"/>
            <w:noWrap/>
            <w:hideMark/>
          </w:tcPr>
          <w:p w14:paraId="2567F362"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-0.5513***</w:t>
            </w:r>
          </w:p>
        </w:tc>
        <w:tc>
          <w:tcPr>
            <w:tcW w:w="1980" w:type="dxa"/>
            <w:noWrap/>
            <w:hideMark/>
          </w:tcPr>
          <w:p w14:paraId="1FF0B0D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-0.7427***</w:t>
            </w:r>
          </w:p>
        </w:tc>
      </w:tr>
      <w:tr w:rsidR="00D13C35" w:rsidRPr="00B74863" w14:paraId="697FC24D" w14:textId="77777777" w:rsidTr="00A345AA">
        <w:trPr>
          <w:trHeight w:val="280"/>
        </w:trPr>
        <w:tc>
          <w:tcPr>
            <w:tcW w:w="2880" w:type="dxa"/>
            <w:noWrap/>
            <w:hideMark/>
          </w:tcPr>
          <w:p w14:paraId="250814BD"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42106051"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(0.1033)</w:t>
            </w:r>
          </w:p>
        </w:tc>
        <w:tc>
          <w:tcPr>
            <w:tcW w:w="2098" w:type="dxa"/>
            <w:noWrap/>
            <w:hideMark/>
          </w:tcPr>
          <w:p w14:paraId="094BCC1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(0.1279)</w:t>
            </w:r>
          </w:p>
        </w:tc>
        <w:tc>
          <w:tcPr>
            <w:tcW w:w="1980" w:type="dxa"/>
            <w:noWrap/>
            <w:hideMark/>
          </w:tcPr>
          <w:p w14:paraId="3BE208F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(0.2679)</w:t>
            </w:r>
          </w:p>
        </w:tc>
      </w:tr>
      <w:tr w:rsidR="00D13C35" w:rsidRPr="00B74863" w14:paraId="676E8076" w14:textId="77777777" w:rsidTr="00A345AA">
        <w:trPr>
          <w:trHeight w:val="280"/>
        </w:trPr>
        <w:tc>
          <w:tcPr>
            <w:tcW w:w="2880" w:type="dxa"/>
            <w:noWrap/>
            <w:hideMark/>
          </w:tcPr>
          <w:p w14:paraId="654DEF7E"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Government Funding</w:t>
            </w:r>
          </w:p>
        </w:tc>
        <w:tc>
          <w:tcPr>
            <w:tcW w:w="2358" w:type="dxa"/>
            <w:noWrap/>
            <w:hideMark/>
          </w:tcPr>
          <w:p w14:paraId="79E9A7B6"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13D3E36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-5.2139***</w:t>
            </w:r>
          </w:p>
        </w:tc>
        <w:tc>
          <w:tcPr>
            <w:tcW w:w="1980" w:type="dxa"/>
            <w:noWrap/>
            <w:hideMark/>
          </w:tcPr>
          <w:p w14:paraId="42C7009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-2.0161</w:t>
            </w:r>
          </w:p>
        </w:tc>
      </w:tr>
      <w:tr w:rsidR="00D13C35" w:rsidRPr="00B74863" w14:paraId="1E7C6398" w14:textId="77777777" w:rsidTr="00A345AA">
        <w:trPr>
          <w:trHeight w:val="341"/>
        </w:trPr>
        <w:tc>
          <w:tcPr>
            <w:tcW w:w="2880" w:type="dxa"/>
            <w:noWrap/>
            <w:hideMark/>
          </w:tcPr>
          <w:p w14:paraId="15432661"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4C242636"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21DAD0B1"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(1.9193)</w:t>
            </w:r>
          </w:p>
        </w:tc>
        <w:tc>
          <w:tcPr>
            <w:tcW w:w="1980" w:type="dxa"/>
            <w:noWrap/>
            <w:hideMark/>
          </w:tcPr>
          <w:p w14:paraId="6284DF6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(2.4316)</w:t>
            </w:r>
          </w:p>
        </w:tc>
      </w:tr>
      <w:tr w:rsidR="00D13C35" w:rsidRPr="00B74863" w14:paraId="098C5952" w14:textId="77777777" w:rsidTr="00A345AA">
        <w:trPr>
          <w:trHeight w:val="280"/>
        </w:trPr>
        <w:tc>
          <w:tcPr>
            <w:tcW w:w="2880" w:type="dxa"/>
            <w:noWrap/>
            <w:hideMark/>
          </w:tcPr>
          <w:p w14:paraId="25056F86"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Official Religion Policy</w:t>
            </w:r>
          </w:p>
        </w:tc>
        <w:tc>
          <w:tcPr>
            <w:tcW w:w="2358" w:type="dxa"/>
            <w:noWrap/>
            <w:hideMark/>
          </w:tcPr>
          <w:p w14:paraId="5C942F16"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3BDF3CC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-1.2554***</w:t>
            </w:r>
          </w:p>
        </w:tc>
        <w:tc>
          <w:tcPr>
            <w:tcW w:w="1980" w:type="dxa"/>
            <w:noWrap/>
            <w:hideMark/>
          </w:tcPr>
          <w:p w14:paraId="7E2C6E31"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-1.5505***</w:t>
            </w:r>
          </w:p>
        </w:tc>
      </w:tr>
      <w:tr w:rsidR="00D13C35" w:rsidRPr="00B74863" w14:paraId="44CA0D8A" w14:textId="77777777" w:rsidTr="00A345AA">
        <w:trPr>
          <w:trHeight w:val="296"/>
        </w:trPr>
        <w:tc>
          <w:tcPr>
            <w:tcW w:w="2880" w:type="dxa"/>
            <w:noWrap/>
            <w:hideMark/>
          </w:tcPr>
          <w:p w14:paraId="684B5AA8"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2DE1BDE4"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483EAC0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(0.3027)</w:t>
            </w:r>
          </w:p>
        </w:tc>
        <w:tc>
          <w:tcPr>
            <w:tcW w:w="1980" w:type="dxa"/>
            <w:noWrap/>
            <w:hideMark/>
          </w:tcPr>
          <w:p w14:paraId="275A0DA4"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(0.5378)</w:t>
            </w:r>
          </w:p>
        </w:tc>
      </w:tr>
      <w:tr w:rsidR="00D13C35" w:rsidRPr="00B74863" w14:paraId="63D3551F" w14:textId="77777777" w:rsidTr="00A345AA">
        <w:trPr>
          <w:trHeight w:val="280"/>
        </w:trPr>
        <w:tc>
          <w:tcPr>
            <w:tcW w:w="2880" w:type="dxa"/>
            <w:noWrap/>
            <w:hideMark/>
          </w:tcPr>
          <w:p w14:paraId="1676537B"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Education</w:t>
            </w:r>
          </w:p>
        </w:tc>
        <w:tc>
          <w:tcPr>
            <w:tcW w:w="2358" w:type="dxa"/>
            <w:noWrap/>
            <w:hideMark/>
          </w:tcPr>
          <w:p w14:paraId="546D622F"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035C906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-5.9155***</w:t>
            </w:r>
          </w:p>
        </w:tc>
        <w:tc>
          <w:tcPr>
            <w:tcW w:w="1980" w:type="dxa"/>
            <w:noWrap/>
            <w:hideMark/>
          </w:tcPr>
          <w:p w14:paraId="111B6A8D"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-7.3830***</w:t>
            </w:r>
          </w:p>
        </w:tc>
      </w:tr>
      <w:tr w:rsidR="00D13C35" w:rsidRPr="00B74863" w14:paraId="6BF52FD5" w14:textId="77777777" w:rsidTr="00A345AA">
        <w:trPr>
          <w:trHeight w:val="280"/>
        </w:trPr>
        <w:tc>
          <w:tcPr>
            <w:tcW w:w="2880" w:type="dxa"/>
            <w:noWrap/>
            <w:hideMark/>
          </w:tcPr>
          <w:p w14:paraId="3D75856A"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608C16B6"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795030D6"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(1.4632)</w:t>
            </w:r>
          </w:p>
        </w:tc>
        <w:tc>
          <w:tcPr>
            <w:tcW w:w="1980" w:type="dxa"/>
            <w:noWrap/>
            <w:hideMark/>
          </w:tcPr>
          <w:p w14:paraId="146E711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(2.8663)</w:t>
            </w:r>
          </w:p>
        </w:tc>
      </w:tr>
      <w:tr w:rsidR="00D13C35" w:rsidRPr="00B74863" w14:paraId="391A5C16" w14:textId="77777777" w:rsidTr="00A345AA">
        <w:trPr>
          <w:trHeight w:val="280"/>
        </w:trPr>
        <w:tc>
          <w:tcPr>
            <w:tcW w:w="2880" w:type="dxa"/>
            <w:noWrap/>
            <w:hideMark/>
          </w:tcPr>
          <w:p w14:paraId="3838EC39"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Official Positions for Clergy</w:t>
            </w:r>
          </w:p>
        </w:tc>
        <w:tc>
          <w:tcPr>
            <w:tcW w:w="2358" w:type="dxa"/>
            <w:noWrap/>
            <w:hideMark/>
          </w:tcPr>
          <w:p w14:paraId="7ACB2BA2"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5F55D964"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0.4447</w:t>
            </w:r>
          </w:p>
        </w:tc>
        <w:tc>
          <w:tcPr>
            <w:tcW w:w="1980" w:type="dxa"/>
            <w:noWrap/>
            <w:hideMark/>
          </w:tcPr>
          <w:p w14:paraId="7B81AEC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1.5835</w:t>
            </w:r>
          </w:p>
        </w:tc>
      </w:tr>
      <w:tr w:rsidR="00D13C35" w:rsidRPr="00B74863" w14:paraId="690C6598" w14:textId="77777777" w:rsidTr="00A345AA">
        <w:trPr>
          <w:trHeight w:val="280"/>
        </w:trPr>
        <w:tc>
          <w:tcPr>
            <w:tcW w:w="2880" w:type="dxa"/>
            <w:noWrap/>
            <w:hideMark/>
          </w:tcPr>
          <w:p w14:paraId="434B8B8A"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4434F4EA"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3EA48F4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(1.1087)</w:t>
            </w:r>
          </w:p>
        </w:tc>
        <w:tc>
          <w:tcPr>
            <w:tcW w:w="1980" w:type="dxa"/>
            <w:noWrap/>
            <w:hideMark/>
          </w:tcPr>
          <w:p w14:paraId="4A1A2BBA"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(1.3770)</w:t>
            </w:r>
          </w:p>
        </w:tc>
      </w:tr>
      <w:tr w:rsidR="00D13C35" w:rsidRPr="00B74863" w14:paraId="3562E9BF" w14:textId="77777777" w:rsidTr="00A345AA">
        <w:trPr>
          <w:trHeight w:val="280"/>
        </w:trPr>
        <w:tc>
          <w:tcPr>
            <w:tcW w:w="2880" w:type="dxa"/>
            <w:noWrap/>
            <w:hideMark/>
          </w:tcPr>
          <w:p w14:paraId="1BA26F0F"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Direct Grants</w:t>
            </w:r>
          </w:p>
        </w:tc>
        <w:tc>
          <w:tcPr>
            <w:tcW w:w="2358" w:type="dxa"/>
            <w:noWrap/>
            <w:hideMark/>
          </w:tcPr>
          <w:p w14:paraId="418B4912"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177F215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5.9969***</w:t>
            </w:r>
          </w:p>
        </w:tc>
        <w:tc>
          <w:tcPr>
            <w:tcW w:w="1980" w:type="dxa"/>
            <w:noWrap/>
            <w:hideMark/>
          </w:tcPr>
          <w:p w14:paraId="032ECC5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5.5833</w:t>
            </w:r>
          </w:p>
        </w:tc>
      </w:tr>
      <w:tr w:rsidR="00D13C35" w:rsidRPr="00B74863" w14:paraId="1FC8983C" w14:textId="77777777" w:rsidTr="00A345AA">
        <w:trPr>
          <w:trHeight w:val="280"/>
        </w:trPr>
        <w:tc>
          <w:tcPr>
            <w:tcW w:w="2880" w:type="dxa"/>
            <w:noWrap/>
            <w:hideMark/>
          </w:tcPr>
          <w:p w14:paraId="2EAE15B0"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6782CE7C"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20386B2D"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(2.2111)</w:t>
            </w:r>
          </w:p>
        </w:tc>
        <w:tc>
          <w:tcPr>
            <w:tcW w:w="1980" w:type="dxa"/>
            <w:noWrap/>
            <w:hideMark/>
          </w:tcPr>
          <w:p w14:paraId="2F74680D"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(4.3166)</w:t>
            </w:r>
          </w:p>
        </w:tc>
      </w:tr>
      <w:tr w:rsidR="00D13C35" w:rsidRPr="00B74863" w14:paraId="5926E0AA" w14:textId="77777777" w:rsidTr="00A345AA">
        <w:trPr>
          <w:trHeight w:val="280"/>
        </w:trPr>
        <w:tc>
          <w:tcPr>
            <w:tcW w:w="2880" w:type="dxa"/>
            <w:noWrap/>
            <w:hideMark/>
          </w:tcPr>
          <w:p w14:paraId="6D8503A5"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Religious Laws</w:t>
            </w:r>
          </w:p>
        </w:tc>
        <w:tc>
          <w:tcPr>
            <w:tcW w:w="2358" w:type="dxa"/>
            <w:noWrap/>
            <w:hideMark/>
          </w:tcPr>
          <w:p w14:paraId="22E9C695"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7D73FC7F"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-0.5970**</w:t>
            </w:r>
          </w:p>
        </w:tc>
        <w:tc>
          <w:tcPr>
            <w:tcW w:w="1980" w:type="dxa"/>
            <w:noWrap/>
            <w:hideMark/>
          </w:tcPr>
          <w:p w14:paraId="65AA811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-0.9446</w:t>
            </w:r>
          </w:p>
        </w:tc>
      </w:tr>
      <w:tr w:rsidR="00D13C35" w:rsidRPr="00B74863" w14:paraId="182CD2F0" w14:textId="77777777" w:rsidTr="00A345AA">
        <w:trPr>
          <w:trHeight w:val="280"/>
        </w:trPr>
        <w:tc>
          <w:tcPr>
            <w:tcW w:w="2880" w:type="dxa"/>
            <w:noWrap/>
            <w:hideMark/>
          </w:tcPr>
          <w:p w14:paraId="4385B206"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7B0B68F7"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7FC6D54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(0.2361)</w:t>
            </w:r>
          </w:p>
        </w:tc>
        <w:tc>
          <w:tcPr>
            <w:tcW w:w="1980" w:type="dxa"/>
            <w:noWrap/>
            <w:hideMark/>
          </w:tcPr>
          <w:p w14:paraId="09F1B15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(0.6914)</w:t>
            </w:r>
          </w:p>
        </w:tc>
      </w:tr>
      <w:tr w:rsidR="00D13C35" w:rsidRPr="00B74863" w14:paraId="5BBB5B4E" w14:textId="77777777" w:rsidTr="00A345AA">
        <w:trPr>
          <w:trHeight w:val="280"/>
        </w:trPr>
        <w:tc>
          <w:tcPr>
            <w:tcW w:w="2880" w:type="dxa"/>
            <w:noWrap/>
            <w:hideMark/>
          </w:tcPr>
          <w:p w14:paraId="0AA4F87D"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Partisanship</w:t>
            </w:r>
          </w:p>
        </w:tc>
        <w:tc>
          <w:tcPr>
            <w:tcW w:w="2358" w:type="dxa"/>
            <w:noWrap/>
            <w:hideMark/>
          </w:tcPr>
          <w:p w14:paraId="75DD88D5"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4ED740C6"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1.5884***</w:t>
            </w:r>
          </w:p>
        </w:tc>
        <w:tc>
          <w:tcPr>
            <w:tcW w:w="1980" w:type="dxa"/>
            <w:noWrap/>
            <w:hideMark/>
          </w:tcPr>
          <w:p w14:paraId="32DCCD4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1.1445**</w:t>
            </w:r>
          </w:p>
        </w:tc>
      </w:tr>
      <w:tr w:rsidR="00D13C35" w:rsidRPr="00B74863" w14:paraId="538677EE" w14:textId="77777777" w:rsidTr="00A345AA">
        <w:trPr>
          <w:trHeight w:val="280"/>
        </w:trPr>
        <w:tc>
          <w:tcPr>
            <w:tcW w:w="2880" w:type="dxa"/>
            <w:noWrap/>
            <w:hideMark/>
          </w:tcPr>
          <w:p w14:paraId="3DAAA29E"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562D54B9"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2418286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(0.3762)</w:t>
            </w:r>
          </w:p>
        </w:tc>
        <w:tc>
          <w:tcPr>
            <w:tcW w:w="1980" w:type="dxa"/>
            <w:noWrap/>
            <w:hideMark/>
          </w:tcPr>
          <w:p w14:paraId="4DD3DB0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(0.5657)</w:t>
            </w:r>
          </w:p>
        </w:tc>
      </w:tr>
      <w:tr w:rsidR="00D13C35" w:rsidRPr="00B74863" w14:paraId="373B7B8D" w14:textId="77777777" w:rsidTr="00A345AA">
        <w:trPr>
          <w:trHeight w:val="280"/>
        </w:trPr>
        <w:tc>
          <w:tcPr>
            <w:tcW w:w="2880" w:type="dxa"/>
            <w:noWrap/>
            <w:hideMark/>
          </w:tcPr>
          <w:p w14:paraId="68B3BDE0"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Catholic</w:t>
            </w:r>
          </w:p>
        </w:tc>
        <w:tc>
          <w:tcPr>
            <w:tcW w:w="2358" w:type="dxa"/>
            <w:noWrap/>
            <w:hideMark/>
          </w:tcPr>
          <w:p w14:paraId="5288211A"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-1.0326</w:t>
            </w:r>
          </w:p>
        </w:tc>
        <w:tc>
          <w:tcPr>
            <w:tcW w:w="2098" w:type="dxa"/>
            <w:noWrap/>
            <w:hideMark/>
          </w:tcPr>
          <w:p w14:paraId="4B6ABD68"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-10.3949***</w:t>
            </w:r>
          </w:p>
        </w:tc>
        <w:tc>
          <w:tcPr>
            <w:tcW w:w="1980" w:type="dxa"/>
            <w:noWrap/>
            <w:hideMark/>
          </w:tcPr>
          <w:p w14:paraId="58F12C4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-13.6886***</w:t>
            </w:r>
          </w:p>
        </w:tc>
      </w:tr>
      <w:tr w:rsidR="00D13C35" w:rsidRPr="00B74863" w14:paraId="11C41C06" w14:textId="77777777" w:rsidTr="00A345AA">
        <w:trPr>
          <w:trHeight w:val="280"/>
        </w:trPr>
        <w:tc>
          <w:tcPr>
            <w:tcW w:w="2880" w:type="dxa"/>
            <w:noWrap/>
            <w:hideMark/>
          </w:tcPr>
          <w:p w14:paraId="7FFFA410"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0D4603D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(1.1275)</w:t>
            </w:r>
          </w:p>
        </w:tc>
        <w:tc>
          <w:tcPr>
            <w:tcW w:w="2098" w:type="dxa"/>
            <w:noWrap/>
            <w:hideMark/>
          </w:tcPr>
          <w:p w14:paraId="520DCC5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(2.3140)</w:t>
            </w:r>
          </w:p>
        </w:tc>
        <w:tc>
          <w:tcPr>
            <w:tcW w:w="1980" w:type="dxa"/>
            <w:noWrap/>
            <w:hideMark/>
          </w:tcPr>
          <w:p w14:paraId="7664BD6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(4.4717)</w:t>
            </w:r>
          </w:p>
        </w:tc>
      </w:tr>
      <w:tr w:rsidR="00D13C35" w:rsidRPr="00B74863" w14:paraId="4DAE29AC" w14:textId="77777777" w:rsidTr="00A345AA">
        <w:trPr>
          <w:trHeight w:val="280"/>
        </w:trPr>
        <w:tc>
          <w:tcPr>
            <w:tcW w:w="2880" w:type="dxa"/>
            <w:noWrap/>
            <w:hideMark/>
          </w:tcPr>
          <w:p w14:paraId="2B73DDC9"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State Preferences</w:t>
            </w:r>
          </w:p>
        </w:tc>
        <w:tc>
          <w:tcPr>
            <w:tcW w:w="2358" w:type="dxa"/>
            <w:noWrap/>
            <w:hideMark/>
          </w:tcPr>
          <w:p w14:paraId="1710261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-0.0280</w:t>
            </w:r>
          </w:p>
        </w:tc>
        <w:tc>
          <w:tcPr>
            <w:tcW w:w="2098" w:type="dxa"/>
            <w:noWrap/>
            <w:hideMark/>
          </w:tcPr>
          <w:p w14:paraId="6190F692"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1150392D"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-0.0855</w:t>
            </w:r>
          </w:p>
        </w:tc>
      </w:tr>
      <w:tr w:rsidR="00D13C35" w:rsidRPr="00B74863" w14:paraId="61B0C8CA" w14:textId="77777777" w:rsidTr="00A345AA">
        <w:trPr>
          <w:trHeight w:val="280"/>
        </w:trPr>
        <w:tc>
          <w:tcPr>
            <w:tcW w:w="2880" w:type="dxa"/>
            <w:noWrap/>
            <w:hideMark/>
          </w:tcPr>
          <w:p w14:paraId="2D817969"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5B1B876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(0.0209)</w:t>
            </w:r>
          </w:p>
        </w:tc>
        <w:tc>
          <w:tcPr>
            <w:tcW w:w="2098" w:type="dxa"/>
            <w:noWrap/>
            <w:hideMark/>
          </w:tcPr>
          <w:p w14:paraId="4A25BD6D"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24E0DDF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(0.0646)</w:t>
            </w:r>
          </w:p>
        </w:tc>
      </w:tr>
      <w:tr w:rsidR="00D13C35" w:rsidRPr="00B74863" w14:paraId="3BD2B69D" w14:textId="77777777" w:rsidTr="00A345AA">
        <w:trPr>
          <w:trHeight w:val="280"/>
        </w:trPr>
        <w:tc>
          <w:tcPr>
            <w:tcW w:w="2880" w:type="dxa"/>
            <w:noWrap/>
            <w:hideMark/>
          </w:tcPr>
          <w:p w14:paraId="5613C8B8"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Discretion</w:t>
            </w:r>
          </w:p>
        </w:tc>
        <w:tc>
          <w:tcPr>
            <w:tcW w:w="2358" w:type="dxa"/>
            <w:noWrap/>
            <w:hideMark/>
          </w:tcPr>
          <w:p w14:paraId="500824CB"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0.1520</w:t>
            </w:r>
          </w:p>
        </w:tc>
        <w:tc>
          <w:tcPr>
            <w:tcW w:w="2098" w:type="dxa"/>
            <w:noWrap/>
            <w:hideMark/>
          </w:tcPr>
          <w:p w14:paraId="63785370"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1A25EBC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0.1826</w:t>
            </w:r>
          </w:p>
        </w:tc>
      </w:tr>
      <w:tr w:rsidR="00D13C35" w:rsidRPr="00B74863" w14:paraId="6C6F6D03" w14:textId="77777777" w:rsidTr="00A345AA">
        <w:trPr>
          <w:trHeight w:val="280"/>
        </w:trPr>
        <w:tc>
          <w:tcPr>
            <w:tcW w:w="2880" w:type="dxa"/>
            <w:noWrap/>
            <w:hideMark/>
          </w:tcPr>
          <w:p w14:paraId="1DB47AE8"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2FDBCFE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(0.6340)</w:t>
            </w:r>
          </w:p>
        </w:tc>
        <w:tc>
          <w:tcPr>
            <w:tcW w:w="2098" w:type="dxa"/>
            <w:noWrap/>
            <w:hideMark/>
          </w:tcPr>
          <w:p w14:paraId="1EC39E8C"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51A61B3A"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(0.6912)</w:t>
            </w:r>
          </w:p>
        </w:tc>
      </w:tr>
      <w:tr w:rsidR="00D13C35" w:rsidRPr="00B74863" w14:paraId="6D00430E" w14:textId="77777777" w:rsidTr="00A345AA">
        <w:trPr>
          <w:trHeight w:val="280"/>
        </w:trPr>
        <w:tc>
          <w:tcPr>
            <w:tcW w:w="2880" w:type="dxa"/>
            <w:noWrap/>
            <w:hideMark/>
          </w:tcPr>
          <w:p w14:paraId="09B61058"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Legal Fit</w:t>
            </w:r>
          </w:p>
        </w:tc>
        <w:tc>
          <w:tcPr>
            <w:tcW w:w="2358" w:type="dxa"/>
            <w:noWrap/>
            <w:hideMark/>
          </w:tcPr>
          <w:p w14:paraId="289DA403"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-0.0504</w:t>
            </w:r>
          </w:p>
        </w:tc>
        <w:tc>
          <w:tcPr>
            <w:tcW w:w="2098" w:type="dxa"/>
            <w:noWrap/>
            <w:hideMark/>
          </w:tcPr>
          <w:p w14:paraId="42A9C8BA"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068665E9"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-0.0459</w:t>
            </w:r>
          </w:p>
        </w:tc>
      </w:tr>
      <w:tr w:rsidR="00D13C35" w:rsidRPr="00B74863" w14:paraId="21CE34F9" w14:textId="77777777" w:rsidTr="00A345AA">
        <w:trPr>
          <w:trHeight w:val="280"/>
        </w:trPr>
        <w:tc>
          <w:tcPr>
            <w:tcW w:w="2880" w:type="dxa"/>
            <w:noWrap/>
            <w:hideMark/>
          </w:tcPr>
          <w:p w14:paraId="3E195EC1"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6E54F6E4"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(0.1275)</w:t>
            </w:r>
          </w:p>
        </w:tc>
        <w:tc>
          <w:tcPr>
            <w:tcW w:w="2098" w:type="dxa"/>
            <w:noWrap/>
            <w:hideMark/>
          </w:tcPr>
          <w:p w14:paraId="4C906E6E"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5BE9577D"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(0.2039)</w:t>
            </w:r>
          </w:p>
        </w:tc>
      </w:tr>
      <w:tr w:rsidR="00D13C35" w:rsidRPr="00B74863" w14:paraId="715AF73A" w14:textId="77777777" w:rsidTr="00A345AA">
        <w:trPr>
          <w:trHeight w:val="280"/>
        </w:trPr>
        <w:tc>
          <w:tcPr>
            <w:tcW w:w="2880" w:type="dxa"/>
            <w:noWrap/>
            <w:hideMark/>
          </w:tcPr>
          <w:p w14:paraId="7ED2F0C5"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Laws in Place</w:t>
            </w:r>
          </w:p>
        </w:tc>
        <w:tc>
          <w:tcPr>
            <w:tcW w:w="2358" w:type="dxa"/>
            <w:noWrap/>
            <w:hideMark/>
          </w:tcPr>
          <w:p w14:paraId="7D6BBE3B"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1.0046</w:t>
            </w:r>
          </w:p>
        </w:tc>
        <w:tc>
          <w:tcPr>
            <w:tcW w:w="2098" w:type="dxa"/>
            <w:noWrap/>
            <w:hideMark/>
          </w:tcPr>
          <w:p w14:paraId="296DE9A0"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78A87344"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1.5869**</w:t>
            </w:r>
          </w:p>
        </w:tc>
      </w:tr>
      <w:tr w:rsidR="00D13C35" w:rsidRPr="00B74863" w14:paraId="09477B93" w14:textId="77777777" w:rsidTr="00A345AA">
        <w:trPr>
          <w:trHeight w:val="280"/>
        </w:trPr>
        <w:tc>
          <w:tcPr>
            <w:tcW w:w="2880" w:type="dxa"/>
            <w:noWrap/>
            <w:hideMark/>
          </w:tcPr>
          <w:p w14:paraId="49CB7244" w14:textId="77777777" w:rsidR="00D13C35" w:rsidRPr="00B74863" w:rsidRDefault="00D13C35" w:rsidP="00A345AA">
            <w:pPr>
              <w:jc w:val="center"/>
              <w:rPr>
                <w:rFonts w:ascii="Times New Roman" w:eastAsia="Times New Roman" w:hAnsi="Times New Roman" w:cs="Times New Roman"/>
                <w:sz w:val="24"/>
                <w:szCs w:val="24"/>
              </w:rPr>
            </w:pPr>
          </w:p>
        </w:tc>
        <w:tc>
          <w:tcPr>
            <w:tcW w:w="2358" w:type="dxa"/>
            <w:noWrap/>
            <w:hideMark/>
          </w:tcPr>
          <w:p w14:paraId="1CEB80D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(0.7853)</w:t>
            </w:r>
          </w:p>
        </w:tc>
        <w:tc>
          <w:tcPr>
            <w:tcW w:w="2098" w:type="dxa"/>
            <w:noWrap/>
            <w:hideMark/>
          </w:tcPr>
          <w:p w14:paraId="11BA34F6"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2F8E831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(0.7698)</w:t>
            </w:r>
          </w:p>
        </w:tc>
      </w:tr>
      <w:tr w:rsidR="00D13C35" w:rsidRPr="00B74863" w14:paraId="3D4D6EA2" w14:textId="77777777" w:rsidTr="00A345AA">
        <w:trPr>
          <w:trHeight w:val="280"/>
        </w:trPr>
        <w:tc>
          <w:tcPr>
            <w:tcW w:w="2880" w:type="dxa"/>
            <w:noWrap/>
            <w:hideMark/>
          </w:tcPr>
          <w:p w14:paraId="165C59B2" w14:textId="77777777" w:rsidR="00D13C35" w:rsidRPr="00B74863" w:rsidRDefault="00D13C35" w:rsidP="00A345AA">
            <w:pPr>
              <w:rPr>
                <w:rFonts w:ascii="Times New Roman" w:eastAsia="Times New Roman" w:hAnsi="Times New Roman" w:cs="Times New Roman"/>
                <w:i/>
                <w:sz w:val="24"/>
                <w:szCs w:val="24"/>
              </w:rPr>
            </w:pPr>
            <w:r w:rsidRPr="00B74863">
              <w:rPr>
                <w:rFonts w:ascii="Times New Roman" w:eastAsia="Times New Roman" w:hAnsi="Times New Roman" w:cs="Times New Roman"/>
                <w:i/>
                <w:sz w:val="24"/>
                <w:szCs w:val="24"/>
              </w:rPr>
              <w:t>Random Effects</w:t>
            </w:r>
          </w:p>
        </w:tc>
        <w:tc>
          <w:tcPr>
            <w:tcW w:w="2358" w:type="dxa"/>
            <w:noWrap/>
            <w:hideMark/>
          </w:tcPr>
          <w:p w14:paraId="6FE9CA58" w14:textId="77777777" w:rsidR="00D13C35" w:rsidRPr="00B74863" w:rsidRDefault="00D13C35" w:rsidP="00A345AA">
            <w:pPr>
              <w:rPr>
                <w:rFonts w:ascii="Times New Roman" w:eastAsia="Times New Roman" w:hAnsi="Times New Roman" w:cs="Times New Roman"/>
                <w:sz w:val="24"/>
                <w:szCs w:val="24"/>
              </w:rPr>
            </w:pPr>
          </w:p>
        </w:tc>
        <w:tc>
          <w:tcPr>
            <w:tcW w:w="2098" w:type="dxa"/>
            <w:noWrap/>
            <w:hideMark/>
          </w:tcPr>
          <w:p w14:paraId="77047326"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hideMark/>
          </w:tcPr>
          <w:p w14:paraId="00C26947" w14:textId="77777777" w:rsidR="00D13C35" w:rsidRPr="00B74863" w:rsidRDefault="00D13C35" w:rsidP="00A345AA">
            <w:pPr>
              <w:jc w:val="center"/>
              <w:rPr>
                <w:rFonts w:ascii="Times New Roman" w:eastAsia="Times New Roman" w:hAnsi="Times New Roman" w:cs="Times New Roman"/>
                <w:sz w:val="24"/>
                <w:szCs w:val="24"/>
              </w:rPr>
            </w:pPr>
          </w:p>
        </w:tc>
      </w:tr>
      <w:tr w:rsidR="00D13C35" w:rsidRPr="00B74863" w14:paraId="01290AF0" w14:textId="77777777" w:rsidTr="00A345AA">
        <w:trPr>
          <w:trHeight w:val="280"/>
        </w:trPr>
        <w:tc>
          <w:tcPr>
            <w:tcW w:w="2880" w:type="dxa"/>
            <w:noWrap/>
          </w:tcPr>
          <w:p w14:paraId="5E9A0C46"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SD (Provision-level)</w:t>
            </w:r>
          </w:p>
        </w:tc>
        <w:tc>
          <w:tcPr>
            <w:tcW w:w="2358" w:type="dxa"/>
            <w:noWrap/>
          </w:tcPr>
          <w:p w14:paraId="56D5D369"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1.041</w:t>
            </w:r>
          </w:p>
        </w:tc>
        <w:tc>
          <w:tcPr>
            <w:tcW w:w="2098" w:type="dxa"/>
            <w:noWrap/>
          </w:tcPr>
          <w:p w14:paraId="641C5841"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1.0721</w:t>
            </w:r>
          </w:p>
        </w:tc>
        <w:tc>
          <w:tcPr>
            <w:tcW w:w="1980" w:type="dxa"/>
            <w:noWrap/>
          </w:tcPr>
          <w:p w14:paraId="2E72B22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1.149</w:t>
            </w:r>
          </w:p>
        </w:tc>
      </w:tr>
      <w:tr w:rsidR="00D13C35" w:rsidRPr="00B74863" w14:paraId="7A93E05E" w14:textId="77777777" w:rsidTr="00A345AA">
        <w:trPr>
          <w:trHeight w:val="280"/>
        </w:trPr>
        <w:tc>
          <w:tcPr>
            <w:tcW w:w="2880" w:type="dxa"/>
            <w:noWrap/>
          </w:tcPr>
          <w:p w14:paraId="1E955655" w14:textId="77777777" w:rsidR="00D13C35" w:rsidRPr="00B74863" w:rsidRDefault="00D13C35" w:rsidP="00A345AA">
            <w:pPr>
              <w:rPr>
                <w:rFonts w:ascii="Times New Roman" w:eastAsia="Times New Roman" w:hAnsi="Times New Roman" w:cs="Times New Roman"/>
                <w:sz w:val="24"/>
                <w:szCs w:val="24"/>
              </w:rPr>
            </w:pPr>
          </w:p>
        </w:tc>
        <w:tc>
          <w:tcPr>
            <w:tcW w:w="2358" w:type="dxa"/>
            <w:noWrap/>
          </w:tcPr>
          <w:p w14:paraId="621DB6BF"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(0.3074)</w:t>
            </w:r>
          </w:p>
        </w:tc>
        <w:tc>
          <w:tcPr>
            <w:tcW w:w="2098" w:type="dxa"/>
            <w:noWrap/>
          </w:tcPr>
          <w:p w14:paraId="28F8A7C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(0.3131)</w:t>
            </w:r>
          </w:p>
        </w:tc>
        <w:tc>
          <w:tcPr>
            <w:tcW w:w="1980" w:type="dxa"/>
            <w:noWrap/>
          </w:tcPr>
          <w:p w14:paraId="6648313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(0.33579)</w:t>
            </w:r>
          </w:p>
        </w:tc>
      </w:tr>
      <w:tr w:rsidR="00D13C35" w:rsidRPr="00B74863" w14:paraId="040E3B6D" w14:textId="77777777" w:rsidTr="00A345AA">
        <w:trPr>
          <w:trHeight w:val="280"/>
        </w:trPr>
        <w:tc>
          <w:tcPr>
            <w:tcW w:w="2880" w:type="dxa"/>
            <w:noWrap/>
          </w:tcPr>
          <w:p w14:paraId="16135F80"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SD (Member-State level)</w:t>
            </w:r>
          </w:p>
        </w:tc>
        <w:tc>
          <w:tcPr>
            <w:tcW w:w="2358" w:type="dxa"/>
            <w:noWrap/>
          </w:tcPr>
          <w:p w14:paraId="004373F7"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1.050</w:t>
            </w:r>
          </w:p>
        </w:tc>
        <w:tc>
          <w:tcPr>
            <w:tcW w:w="2098" w:type="dxa"/>
            <w:noWrap/>
          </w:tcPr>
          <w:p w14:paraId="36C482A1" w14:textId="77777777" w:rsidR="00D13C35" w:rsidRPr="00B74863" w:rsidRDefault="00D13C35" w:rsidP="00A345AA">
            <w:pPr>
              <w:jc w:val="center"/>
              <w:rPr>
                <w:rFonts w:ascii="Times New Roman" w:eastAsia="Times New Roman" w:hAnsi="Times New Roman" w:cs="Times New Roman"/>
                <w:sz w:val="24"/>
                <w:szCs w:val="24"/>
                <w:vertAlign w:val="superscript"/>
              </w:rPr>
            </w:pPr>
            <w:r w:rsidRPr="00B74863">
              <w:rPr>
                <w:rFonts w:ascii="Times New Roman" w:eastAsia="Times New Roman" w:hAnsi="Times New Roman" w:cs="Times New Roman"/>
                <w:sz w:val="24"/>
                <w:szCs w:val="24"/>
              </w:rPr>
              <w:t>1.81 X 10</w:t>
            </w:r>
            <w:r w:rsidRPr="00B74863">
              <w:rPr>
                <w:rFonts w:ascii="Times New Roman" w:eastAsia="Times New Roman" w:hAnsi="Times New Roman" w:cs="Times New Roman"/>
                <w:sz w:val="24"/>
                <w:szCs w:val="24"/>
                <w:vertAlign w:val="superscript"/>
              </w:rPr>
              <w:t>-7</w:t>
            </w:r>
          </w:p>
        </w:tc>
        <w:tc>
          <w:tcPr>
            <w:tcW w:w="1980" w:type="dxa"/>
            <w:noWrap/>
          </w:tcPr>
          <w:p w14:paraId="2BD4214C" w14:textId="77777777" w:rsidR="00D13C35" w:rsidRPr="00B74863" w:rsidRDefault="00D13C35" w:rsidP="00A345AA">
            <w:pPr>
              <w:jc w:val="center"/>
              <w:rPr>
                <w:rFonts w:ascii="Times New Roman" w:eastAsia="Times New Roman" w:hAnsi="Times New Roman" w:cs="Times New Roman"/>
                <w:sz w:val="24"/>
                <w:szCs w:val="24"/>
                <w:vertAlign w:val="superscript"/>
              </w:rPr>
            </w:pPr>
            <w:r w:rsidRPr="00B74863">
              <w:rPr>
                <w:rFonts w:ascii="Times New Roman" w:eastAsia="Times New Roman" w:hAnsi="Times New Roman" w:cs="Times New Roman"/>
                <w:sz w:val="24"/>
                <w:szCs w:val="24"/>
              </w:rPr>
              <w:t>4.32 X 10</w:t>
            </w:r>
            <w:r w:rsidRPr="00B74863">
              <w:rPr>
                <w:rFonts w:ascii="Times New Roman" w:eastAsia="Times New Roman" w:hAnsi="Times New Roman" w:cs="Times New Roman"/>
                <w:sz w:val="24"/>
                <w:szCs w:val="24"/>
                <w:vertAlign w:val="superscript"/>
              </w:rPr>
              <w:t>-10</w:t>
            </w:r>
          </w:p>
        </w:tc>
      </w:tr>
      <w:tr w:rsidR="00D13C35" w:rsidRPr="00B74863" w14:paraId="2BD2CB20" w14:textId="77777777" w:rsidTr="00A345AA">
        <w:trPr>
          <w:trHeight w:val="280"/>
        </w:trPr>
        <w:tc>
          <w:tcPr>
            <w:tcW w:w="2880" w:type="dxa"/>
            <w:noWrap/>
          </w:tcPr>
          <w:p w14:paraId="310A7DC5" w14:textId="77777777" w:rsidR="00D13C35" w:rsidRPr="00B74863" w:rsidRDefault="00D13C35" w:rsidP="00A345AA">
            <w:pPr>
              <w:rPr>
                <w:rFonts w:ascii="Times New Roman" w:eastAsia="Times New Roman" w:hAnsi="Times New Roman" w:cs="Times New Roman"/>
                <w:sz w:val="24"/>
                <w:szCs w:val="24"/>
              </w:rPr>
            </w:pPr>
          </w:p>
        </w:tc>
        <w:tc>
          <w:tcPr>
            <w:tcW w:w="2358" w:type="dxa"/>
            <w:noWrap/>
          </w:tcPr>
          <w:p w14:paraId="7A87B8B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(0.3384)</w:t>
            </w:r>
          </w:p>
        </w:tc>
        <w:tc>
          <w:tcPr>
            <w:tcW w:w="2098" w:type="dxa"/>
            <w:noWrap/>
          </w:tcPr>
          <w:p w14:paraId="43C74A7B"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(0.2869)</w:t>
            </w:r>
          </w:p>
        </w:tc>
        <w:tc>
          <w:tcPr>
            <w:tcW w:w="1980" w:type="dxa"/>
            <w:noWrap/>
          </w:tcPr>
          <w:p w14:paraId="4F813B7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(0.1717)</w:t>
            </w:r>
          </w:p>
        </w:tc>
      </w:tr>
      <w:tr w:rsidR="00D13C35" w:rsidRPr="00B74863" w14:paraId="69ECB23D" w14:textId="77777777" w:rsidTr="00A345AA">
        <w:trPr>
          <w:trHeight w:val="280"/>
        </w:trPr>
        <w:tc>
          <w:tcPr>
            <w:tcW w:w="2880" w:type="dxa"/>
            <w:noWrap/>
          </w:tcPr>
          <w:p w14:paraId="50C75960"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Log-Likelihood</w:t>
            </w:r>
          </w:p>
        </w:tc>
        <w:tc>
          <w:tcPr>
            <w:tcW w:w="2358" w:type="dxa"/>
            <w:noWrap/>
          </w:tcPr>
          <w:p w14:paraId="0ABC8E0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-132.85</w:t>
            </w:r>
          </w:p>
        </w:tc>
        <w:tc>
          <w:tcPr>
            <w:tcW w:w="2098" w:type="dxa"/>
            <w:noWrap/>
          </w:tcPr>
          <w:p w14:paraId="7EA2117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-119.48</w:t>
            </w:r>
          </w:p>
        </w:tc>
        <w:tc>
          <w:tcPr>
            <w:tcW w:w="1980" w:type="dxa"/>
            <w:noWrap/>
          </w:tcPr>
          <w:p w14:paraId="2A85CBEB"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-114.16</w:t>
            </w:r>
          </w:p>
        </w:tc>
      </w:tr>
      <w:tr w:rsidR="00D13C35" w:rsidRPr="00B74863" w14:paraId="37491720" w14:textId="77777777" w:rsidTr="00A345AA">
        <w:trPr>
          <w:trHeight w:val="280"/>
        </w:trPr>
        <w:tc>
          <w:tcPr>
            <w:tcW w:w="2880" w:type="dxa"/>
            <w:noWrap/>
          </w:tcPr>
          <w:p w14:paraId="387EAD05" w14:textId="77777777" w:rsidR="00D13C35" w:rsidRPr="00B74863" w:rsidRDefault="00D13C35" w:rsidP="00A345AA">
            <w:pPr>
              <w:rPr>
                <w:rFonts w:ascii="Times New Roman" w:eastAsia="Times New Roman" w:hAnsi="Times New Roman" w:cs="Times New Roman"/>
                <w:sz w:val="24"/>
                <w:szCs w:val="24"/>
                <w:vertAlign w:val="superscript"/>
              </w:rPr>
            </w:pPr>
            <w:r w:rsidRPr="00B74863">
              <w:rPr>
                <w:rFonts w:ascii="Times New Roman" w:eastAsia="Times New Roman" w:hAnsi="Times New Roman" w:cs="Times New Roman"/>
                <w:sz w:val="24"/>
                <w:szCs w:val="24"/>
              </w:rPr>
              <w:t xml:space="preserve">Wald </w:t>
            </w:r>
            <w:r w:rsidRPr="00B74863">
              <w:rPr>
                <w:rFonts w:ascii="Times New Roman" w:eastAsia="Times New Roman" w:hAnsi="Times New Roman" w:cs="Times New Roman"/>
                <w:i/>
                <w:sz w:val="24"/>
                <w:szCs w:val="24"/>
              </w:rPr>
              <w:t>X</w:t>
            </w:r>
            <w:r w:rsidRPr="00B74863">
              <w:rPr>
                <w:rFonts w:ascii="Times New Roman" w:eastAsia="Times New Roman" w:hAnsi="Times New Roman" w:cs="Times New Roman"/>
                <w:sz w:val="24"/>
                <w:szCs w:val="24"/>
                <w:vertAlign w:val="superscript"/>
              </w:rPr>
              <w:t>2</w:t>
            </w:r>
          </w:p>
        </w:tc>
        <w:tc>
          <w:tcPr>
            <w:tcW w:w="2358" w:type="dxa"/>
            <w:noWrap/>
          </w:tcPr>
          <w:p w14:paraId="6EC07101"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5.694</w:t>
            </w:r>
          </w:p>
          <w:p w14:paraId="67BC2B8C" w14:textId="77777777" w:rsidR="00D13C35" w:rsidRPr="00B74863" w:rsidRDefault="00D13C35" w:rsidP="00A345AA">
            <w:pPr>
              <w:jc w:val="center"/>
              <w:rPr>
                <w:rFonts w:ascii="Times New Roman" w:eastAsia="Times New Roman" w:hAnsi="Times New Roman" w:cs="Times New Roman"/>
                <w:sz w:val="24"/>
                <w:szCs w:val="24"/>
              </w:rPr>
            </w:pPr>
          </w:p>
        </w:tc>
        <w:tc>
          <w:tcPr>
            <w:tcW w:w="2098" w:type="dxa"/>
            <w:noWrap/>
          </w:tcPr>
          <w:p w14:paraId="38DF8130"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27.93***</w:t>
            </w:r>
          </w:p>
          <w:p w14:paraId="716BD46B" w14:textId="77777777" w:rsidR="00D13C35" w:rsidRPr="00B74863" w:rsidRDefault="00D13C35" w:rsidP="00A345AA">
            <w:pPr>
              <w:jc w:val="center"/>
              <w:rPr>
                <w:rFonts w:ascii="Times New Roman" w:eastAsia="Times New Roman" w:hAnsi="Times New Roman" w:cs="Times New Roman"/>
                <w:sz w:val="24"/>
                <w:szCs w:val="24"/>
              </w:rPr>
            </w:pPr>
          </w:p>
        </w:tc>
        <w:tc>
          <w:tcPr>
            <w:tcW w:w="1980" w:type="dxa"/>
            <w:noWrap/>
          </w:tcPr>
          <w:p w14:paraId="50C0FFB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20.20*</w:t>
            </w:r>
          </w:p>
          <w:p w14:paraId="171FBAAC" w14:textId="77777777" w:rsidR="00D13C35" w:rsidRPr="00B74863" w:rsidRDefault="00D13C35" w:rsidP="00A345AA">
            <w:pPr>
              <w:jc w:val="center"/>
              <w:rPr>
                <w:rFonts w:ascii="Times New Roman" w:eastAsia="Times New Roman" w:hAnsi="Times New Roman" w:cs="Times New Roman"/>
                <w:sz w:val="24"/>
                <w:szCs w:val="24"/>
              </w:rPr>
            </w:pPr>
          </w:p>
        </w:tc>
      </w:tr>
      <w:tr w:rsidR="00D13C35" w:rsidRPr="00B74863" w14:paraId="6B7DA0CE" w14:textId="77777777" w:rsidTr="00A345AA">
        <w:trPr>
          <w:trHeight w:val="280"/>
        </w:trPr>
        <w:tc>
          <w:tcPr>
            <w:tcW w:w="2880" w:type="dxa"/>
            <w:noWrap/>
            <w:hideMark/>
          </w:tcPr>
          <w:p w14:paraId="0A08FAC6"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Observations</w:t>
            </w:r>
          </w:p>
        </w:tc>
        <w:tc>
          <w:tcPr>
            <w:tcW w:w="2358" w:type="dxa"/>
            <w:noWrap/>
            <w:hideMark/>
          </w:tcPr>
          <w:p w14:paraId="158930BC"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225</w:t>
            </w:r>
          </w:p>
        </w:tc>
        <w:tc>
          <w:tcPr>
            <w:tcW w:w="2098" w:type="dxa"/>
            <w:noWrap/>
            <w:hideMark/>
          </w:tcPr>
          <w:p w14:paraId="4B1F559E"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225</w:t>
            </w:r>
          </w:p>
        </w:tc>
        <w:tc>
          <w:tcPr>
            <w:tcW w:w="1980" w:type="dxa"/>
            <w:noWrap/>
            <w:hideMark/>
          </w:tcPr>
          <w:p w14:paraId="0C246685" w14:textId="77777777" w:rsidR="00D13C35" w:rsidRPr="00B74863" w:rsidRDefault="00D13C35" w:rsidP="00A345AA">
            <w:pPr>
              <w:jc w:val="cente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225</w:t>
            </w:r>
          </w:p>
        </w:tc>
      </w:tr>
      <w:tr w:rsidR="00D13C35" w:rsidRPr="00B74863" w14:paraId="09701290" w14:textId="77777777" w:rsidTr="00A345AA">
        <w:trPr>
          <w:trHeight w:val="280"/>
        </w:trPr>
        <w:tc>
          <w:tcPr>
            <w:tcW w:w="5238" w:type="dxa"/>
            <w:gridSpan w:val="2"/>
            <w:noWrap/>
            <w:hideMark/>
          </w:tcPr>
          <w:p w14:paraId="4D8EEA48"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Standard errors in parentheses</w:t>
            </w:r>
          </w:p>
        </w:tc>
        <w:tc>
          <w:tcPr>
            <w:tcW w:w="2098" w:type="dxa"/>
            <w:noWrap/>
            <w:hideMark/>
          </w:tcPr>
          <w:p w14:paraId="7EBEB846" w14:textId="77777777" w:rsidR="00D13C35" w:rsidRPr="00B74863" w:rsidRDefault="00D13C35" w:rsidP="00A345AA">
            <w:pPr>
              <w:rPr>
                <w:rFonts w:ascii="Times New Roman" w:eastAsia="Times New Roman" w:hAnsi="Times New Roman" w:cs="Times New Roman"/>
                <w:sz w:val="24"/>
                <w:szCs w:val="24"/>
              </w:rPr>
            </w:pPr>
          </w:p>
        </w:tc>
        <w:tc>
          <w:tcPr>
            <w:tcW w:w="1980" w:type="dxa"/>
            <w:noWrap/>
            <w:hideMark/>
          </w:tcPr>
          <w:p w14:paraId="75B059C0" w14:textId="77777777" w:rsidR="00D13C35" w:rsidRPr="00B74863" w:rsidRDefault="00D13C35" w:rsidP="00A345AA">
            <w:pPr>
              <w:rPr>
                <w:rFonts w:ascii="Times New Roman" w:eastAsia="Times New Roman" w:hAnsi="Times New Roman" w:cs="Times New Roman"/>
                <w:sz w:val="24"/>
                <w:szCs w:val="24"/>
              </w:rPr>
            </w:pPr>
          </w:p>
        </w:tc>
      </w:tr>
      <w:tr w:rsidR="00D13C35" w:rsidRPr="00B74863" w14:paraId="452092C7" w14:textId="77777777" w:rsidTr="00A345AA">
        <w:trPr>
          <w:trHeight w:val="280"/>
        </w:trPr>
        <w:tc>
          <w:tcPr>
            <w:tcW w:w="5238" w:type="dxa"/>
            <w:gridSpan w:val="2"/>
            <w:noWrap/>
            <w:hideMark/>
          </w:tcPr>
          <w:p w14:paraId="2B84E2E0" w14:textId="77777777" w:rsidR="00D13C35" w:rsidRPr="00B74863" w:rsidRDefault="00D13C35" w:rsidP="00A345AA">
            <w:pPr>
              <w:rPr>
                <w:rFonts w:ascii="Times New Roman" w:eastAsia="Times New Roman" w:hAnsi="Times New Roman" w:cs="Times New Roman"/>
                <w:sz w:val="24"/>
                <w:szCs w:val="24"/>
              </w:rPr>
            </w:pPr>
            <w:r w:rsidRPr="00B74863">
              <w:rPr>
                <w:rFonts w:ascii="Times New Roman" w:eastAsia="Times New Roman" w:hAnsi="Times New Roman" w:cs="Times New Roman"/>
                <w:sz w:val="24"/>
                <w:szCs w:val="24"/>
              </w:rPr>
              <w:t>*** p&lt;0.01, ** p&lt;0.05, * p&lt;0.1</w:t>
            </w:r>
          </w:p>
        </w:tc>
        <w:tc>
          <w:tcPr>
            <w:tcW w:w="2098" w:type="dxa"/>
            <w:noWrap/>
            <w:hideMark/>
          </w:tcPr>
          <w:p w14:paraId="24006692" w14:textId="77777777" w:rsidR="00D13C35" w:rsidRPr="00B74863" w:rsidRDefault="00D13C35" w:rsidP="00A345AA">
            <w:pPr>
              <w:rPr>
                <w:rFonts w:ascii="Times New Roman" w:eastAsia="Times New Roman" w:hAnsi="Times New Roman" w:cs="Times New Roman"/>
                <w:sz w:val="24"/>
                <w:szCs w:val="24"/>
              </w:rPr>
            </w:pPr>
          </w:p>
        </w:tc>
        <w:tc>
          <w:tcPr>
            <w:tcW w:w="1980" w:type="dxa"/>
            <w:noWrap/>
            <w:hideMark/>
          </w:tcPr>
          <w:p w14:paraId="3E6BB58C" w14:textId="77777777" w:rsidR="00D13C35" w:rsidRPr="00B74863" w:rsidRDefault="00D13C35" w:rsidP="00A345AA">
            <w:pPr>
              <w:rPr>
                <w:rFonts w:ascii="Times New Roman" w:eastAsia="Times New Roman" w:hAnsi="Times New Roman" w:cs="Times New Roman"/>
                <w:sz w:val="24"/>
                <w:szCs w:val="24"/>
              </w:rPr>
            </w:pPr>
          </w:p>
        </w:tc>
      </w:tr>
    </w:tbl>
    <w:p w14:paraId="0DABAABF" w14:textId="77777777" w:rsidR="00D13C35" w:rsidRPr="00B74863" w:rsidRDefault="00D13C35" w:rsidP="00D13C35">
      <w:pPr>
        <w:spacing w:line="480" w:lineRule="auto"/>
        <w:ind w:firstLine="450"/>
        <w:rPr>
          <w:rFonts w:ascii="Times New Roman" w:hAnsi="Times New Roman" w:cs="Times New Roman"/>
        </w:rPr>
      </w:pPr>
      <w:r w:rsidRPr="00B74863">
        <w:rPr>
          <w:rFonts w:ascii="Times New Roman" w:hAnsi="Times New Roman" w:cs="Times New Roman"/>
        </w:rPr>
        <w:lastRenderedPageBreak/>
        <w:t>Figure 1.</w:t>
      </w:r>
    </w:p>
    <w:p w14:paraId="0DC21BAF" w14:textId="77777777" w:rsidR="00D13C35" w:rsidRPr="00B74863" w:rsidRDefault="00D13C35" w:rsidP="00D13C35">
      <w:pPr>
        <w:spacing w:line="480" w:lineRule="auto"/>
        <w:ind w:firstLine="450"/>
        <w:rPr>
          <w:rFonts w:ascii="Times New Roman" w:hAnsi="Times New Roman" w:cs="Times New Roman"/>
        </w:rPr>
      </w:pPr>
      <w:r w:rsidRPr="00B74863">
        <w:rPr>
          <w:rFonts w:ascii="Times New Roman" w:hAnsi="Times New Roman" w:cs="Times New Roman"/>
          <w:noProof/>
        </w:rPr>
        <w:drawing>
          <wp:inline distT="0" distB="0" distL="0" distR="0" wp14:anchorId="758BCE5E" wp14:editId="0F78D0B5">
            <wp:extent cx="4351341" cy="3164612"/>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2.Intensity.Preferences.jpg"/>
                    <pic:cNvPicPr/>
                  </pic:nvPicPr>
                  <pic:blipFill>
                    <a:blip r:embed="rId8">
                      <a:extLst>
                        <a:ext uri="{28A0092B-C50C-407E-A947-70E740481C1C}">
                          <a14:useLocalDpi xmlns:a14="http://schemas.microsoft.com/office/drawing/2010/main" val="0"/>
                        </a:ext>
                      </a:extLst>
                    </a:blip>
                    <a:stretch>
                      <a:fillRect/>
                    </a:stretch>
                  </pic:blipFill>
                  <pic:spPr>
                    <a:xfrm>
                      <a:off x="0" y="0"/>
                      <a:ext cx="4351341" cy="3164612"/>
                    </a:xfrm>
                    <a:prstGeom prst="rect">
                      <a:avLst/>
                    </a:prstGeom>
                  </pic:spPr>
                </pic:pic>
              </a:graphicData>
            </a:graphic>
          </wp:inline>
        </w:drawing>
      </w:r>
    </w:p>
    <w:p w14:paraId="6AACC830" w14:textId="77777777" w:rsidR="00D13C35" w:rsidRPr="00B74863" w:rsidRDefault="00D13C35" w:rsidP="00D13C35">
      <w:pPr>
        <w:spacing w:line="480" w:lineRule="auto"/>
        <w:ind w:firstLine="450"/>
        <w:rPr>
          <w:rFonts w:ascii="Times New Roman" w:hAnsi="Times New Roman" w:cs="Times New Roman"/>
        </w:rPr>
      </w:pPr>
      <w:r w:rsidRPr="00B74863">
        <w:rPr>
          <w:rFonts w:ascii="Times New Roman" w:hAnsi="Times New Roman" w:cs="Times New Roman"/>
        </w:rPr>
        <w:t xml:space="preserve">Figure </w:t>
      </w:r>
      <w:r>
        <w:rPr>
          <w:rFonts w:ascii="Times New Roman" w:hAnsi="Times New Roman" w:cs="Times New Roman"/>
        </w:rPr>
        <w:t>2</w:t>
      </w:r>
      <w:r w:rsidRPr="00B74863">
        <w:rPr>
          <w:rFonts w:ascii="Times New Roman" w:hAnsi="Times New Roman" w:cs="Times New Roman"/>
        </w:rPr>
        <w:t>.</w:t>
      </w:r>
    </w:p>
    <w:p w14:paraId="0188BB73" w14:textId="77777777" w:rsidR="00D13C35" w:rsidRDefault="00D13C35" w:rsidP="00D13C35">
      <w:pPr>
        <w:spacing w:line="480" w:lineRule="auto"/>
        <w:ind w:firstLine="450"/>
        <w:rPr>
          <w:rFonts w:ascii="Times New Roman" w:hAnsi="Times New Roman" w:cs="Times New Roman"/>
        </w:rPr>
      </w:pPr>
      <w:r w:rsidRPr="00B74863">
        <w:rPr>
          <w:rFonts w:ascii="Times New Roman" w:hAnsi="Times New Roman" w:cs="Times New Roman"/>
          <w:noProof/>
        </w:rPr>
        <w:drawing>
          <wp:inline distT="0" distB="0" distL="0" distR="0" wp14:anchorId="28EB65A1" wp14:editId="69A69BF7">
            <wp:extent cx="4567420" cy="365976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ginal Effects.jpg"/>
                    <pic:cNvPicPr/>
                  </pic:nvPicPr>
                  <pic:blipFill>
                    <a:blip r:embed="rId9">
                      <a:extLst>
                        <a:ext uri="{28A0092B-C50C-407E-A947-70E740481C1C}">
                          <a14:useLocalDpi xmlns:a14="http://schemas.microsoft.com/office/drawing/2010/main" val="0"/>
                        </a:ext>
                      </a:extLst>
                    </a:blip>
                    <a:stretch>
                      <a:fillRect/>
                    </a:stretch>
                  </pic:blipFill>
                  <pic:spPr>
                    <a:xfrm>
                      <a:off x="0" y="0"/>
                      <a:ext cx="4582051" cy="3671486"/>
                    </a:xfrm>
                    <a:prstGeom prst="rect">
                      <a:avLst/>
                    </a:prstGeom>
                  </pic:spPr>
                </pic:pic>
              </a:graphicData>
            </a:graphic>
          </wp:inline>
        </w:drawing>
      </w:r>
    </w:p>
    <w:p w14:paraId="37BA41B3" w14:textId="77777777" w:rsidR="00D13C35" w:rsidRDefault="00D13C35" w:rsidP="00464476">
      <w:pPr>
        <w:spacing w:line="480" w:lineRule="auto"/>
        <w:rPr>
          <w:rFonts w:ascii="Times New Roman" w:hAnsi="Times New Roman" w:cs="Times New Roman"/>
          <w:i/>
        </w:rPr>
      </w:pPr>
    </w:p>
    <w:p w14:paraId="6DBE8688" w14:textId="51F5CA2F" w:rsidR="00464476" w:rsidRPr="00464476" w:rsidRDefault="00D03346" w:rsidP="00464476">
      <w:pPr>
        <w:spacing w:line="480" w:lineRule="auto"/>
        <w:rPr>
          <w:rFonts w:ascii="Times New Roman" w:hAnsi="Times New Roman" w:cs="Times New Roman"/>
          <w:i/>
        </w:rPr>
      </w:pPr>
      <w:r>
        <w:rPr>
          <w:rFonts w:ascii="Times New Roman" w:hAnsi="Times New Roman" w:cs="Times New Roman"/>
          <w:i/>
        </w:rPr>
        <w:lastRenderedPageBreak/>
        <w:t>Bibliography</w:t>
      </w:r>
    </w:p>
    <w:p w14:paraId="2829E716" w14:textId="77777777" w:rsidR="00B45488" w:rsidRPr="00B45488" w:rsidRDefault="00464476" w:rsidP="00B45488">
      <w:pPr>
        <w:pStyle w:val="Bibliography"/>
        <w:rPr>
          <w:rFonts w:ascii="Times New Roman" w:hAnsi="Times New Roman" w:cs="Times New Roman"/>
        </w:rPr>
      </w:pPr>
      <w:r>
        <w:fldChar w:fldCharType="begin"/>
      </w:r>
      <w:r w:rsidR="00B45488">
        <w:instrText xml:space="preserve"> ADDIN ZOTERO_BIBL {"custom":[]} CSL_BIBLIOGRAPHY </w:instrText>
      </w:r>
      <w:r>
        <w:fldChar w:fldCharType="separate"/>
      </w:r>
      <w:r w:rsidR="00B45488" w:rsidRPr="00B45488">
        <w:rPr>
          <w:rFonts w:ascii="Times New Roman" w:hAnsi="Times New Roman" w:cs="Times New Roman"/>
        </w:rPr>
        <w:t xml:space="preserve">Ahdar, Rex, and Ian Leigh. 2015. </w:t>
      </w:r>
      <w:r w:rsidR="00B45488" w:rsidRPr="00B45488">
        <w:rPr>
          <w:rFonts w:ascii="Times New Roman" w:hAnsi="Times New Roman" w:cs="Times New Roman"/>
          <w:i/>
          <w:iCs/>
        </w:rPr>
        <w:t>Religious Freedom in the Liberal State</w:t>
      </w:r>
      <w:r w:rsidR="00B45488" w:rsidRPr="00B45488">
        <w:rPr>
          <w:rFonts w:ascii="Times New Roman" w:hAnsi="Times New Roman" w:cs="Times New Roman"/>
        </w:rPr>
        <w:t>. 2 edition. New York, NY: Oxford University Press.</w:t>
      </w:r>
    </w:p>
    <w:p w14:paraId="6A92F794"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Andersen, Robert, and Tina Fetner. 2008. “Economic Inequality and Intolerance: Attitudes toward Homosexuality in 35 Democracies.” </w:t>
      </w:r>
      <w:r w:rsidRPr="00B45488">
        <w:rPr>
          <w:rFonts w:ascii="Times New Roman" w:hAnsi="Times New Roman" w:cs="Times New Roman"/>
          <w:i/>
          <w:iCs/>
        </w:rPr>
        <w:t>American Journal of Political Science</w:t>
      </w:r>
      <w:r w:rsidRPr="00B45488">
        <w:rPr>
          <w:rFonts w:ascii="Times New Roman" w:hAnsi="Times New Roman" w:cs="Times New Roman"/>
        </w:rPr>
        <w:t xml:space="preserve"> 52 (4): 942–958.</w:t>
      </w:r>
    </w:p>
    <w:p w14:paraId="2330D8A3"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Ayoub, Phillip M. 2016. </w:t>
      </w:r>
      <w:r w:rsidRPr="00B45488">
        <w:rPr>
          <w:rFonts w:ascii="Times New Roman" w:hAnsi="Times New Roman" w:cs="Times New Roman"/>
          <w:i/>
          <w:iCs/>
        </w:rPr>
        <w:t>When States Come Out: Europe’s Sexual Minorities and the Politics of Visibility</w:t>
      </w:r>
      <w:r w:rsidRPr="00B45488">
        <w:rPr>
          <w:rFonts w:ascii="Times New Roman" w:hAnsi="Times New Roman" w:cs="Times New Roman"/>
        </w:rPr>
        <w:t>. Cambridge University Press.</w:t>
      </w:r>
    </w:p>
    <w:p w14:paraId="23F39FF6"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Bell, Mark. 2002. </w:t>
      </w:r>
      <w:r w:rsidRPr="00B45488">
        <w:rPr>
          <w:rFonts w:ascii="Times New Roman" w:hAnsi="Times New Roman" w:cs="Times New Roman"/>
          <w:i/>
          <w:iCs/>
        </w:rPr>
        <w:t>Anti-Discrimination Law and the European Union</w:t>
      </w:r>
      <w:r w:rsidRPr="00B45488">
        <w:rPr>
          <w:rFonts w:ascii="Times New Roman" w:hAnsi="Times New Roman" w:cs="Times New Roman"/>
        </w:rPr>
        <w:t>. Oxford University Press.</w:t>
      </w:r>
    </w:p>
    <w:p w14:paraId="544C636D"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 2008. “The Implementation of European Anti-Discrimination Directives: Converging towards a Common Model?” </w:t>
      </w:r>
      <w:r w:rsidRPr="00B45488">
        <w:rPr>
          <w:rFonts w:ascii="Times New Roman" w:hAnsi="Times New Roman" w:cs="Times New Roman"/>
          <w:i/>
          <w:iCs/>
        </w:rPr>
        <w:t>The Political Quarterly</w:t>
      </w:r>
      <w:r w:rsidRPr="00B45488">
        <w:rPr>
          <w:rFonts w:ascii="Times New Roman" w:hAnsi="Times New Roman" w:cs="Times New Roman"/>
        </w:rPr>
        <w:t xml:space="preserve"> 79 (1): 36–44.</w:t>
      </w:r>
    </w:p>
    <w:p w14:paraId="118F3C3E"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Breen, Michael J., and Caillin Reynolds. 2011. “The Rise of Secularism and the Decline of Religiosity in Ireland: The Pattern of Religious Change in Europe.” https://dspace.mic.ul.ie/xmlui/handle/10395/1800.</w:t>
      </w:r>
    </w:p>
    <w:p w14:paraId="3F06E2BA"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Byrnes, Timothy A. 2006. “Transnational Religion and Europeanization.” In </w:t>
      </w:r>
      <w:r w:rsidRPr="00B45488">
        <w:rPr>
          <w:rFonts w:ascii="Times New Roman" w:hAnsi="Times New Roman" w:cs="Times New Roman"/>
          <w:i/>
          <w:iCs/>
        </w:rPr>
        <w:t>Religion in an Expanding Europe</w:t>
      </w:r>
      <w:r w:rsidRPr="00B45488">
        <w:rPr>
          <w:rFonts w:ascii="Times New Roman" w:hAnsi="Times New Roman" w:cs="Times New Roman"/>
        </w:rPr>
        <w:t>, edited by Byrnes, Timothy A. and Peter J. Katzenstein, 283–305. Cambridge, UK ; New York: Cambridge University Press.</w:t>
      </w:r>
    </w:p>
    <w:p w14:paraId="0634C900"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Carmody, D, and J Carmody. 1993. “Homosexuality and Roman Catholicism.” In </w:t>
      </w:r>
      <w:r w:rsidRPr="00B45488">
        <w:rPr>
          <w:rFonts w:ascii="Times New Roman" w:hAnsi="Times New Roman" w:cs="Times New Roman"/>
          <w:i/>
          <w:iCs/>
        </w:rPr>
        <w:t>Homosexuality and World Religions.</w:t>
      </w:r>
      <w:r w:rsidRPr="00B45488">
        <w:rPr>
          <w:rFonts w:ascii="Times New Roman" w:hAnsi="Times New Roman" w:cs="Times New Roman"/>
        </w:rPr>
        <w:t>, 135–49. Valley Forge: Trinity Press International.</w:t>
      </w:r>
    </w:p>
    <w:p w14:paraId="320FA6CB"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Commission, European. 2002. “Eurobarometer 58.” GESIS Data Archive.</w:t>
      </w:r>
    </w:p>
    <w:p w14:paraId="1D7E9084"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Doe, Norman. 2011. </w:t>
      </w:r>
      <w:r w:rsidRPr="00B45488">
        <w:rPr>
          <w:rFonts w:ascii="Times New Roman" w:hAnsi="Times New Roman" w:cs="Times New Roman"/>
          <w:i/>
          <w:iCs/>
        </w:rPr>
        <w:t>Law and Religion in Europe: A Comparative Introduction</w:t>
      </w:r>
      <w:r w:rsidRPr="00B45488">
        <w:rPr>
          <w:rFonts w:ascii="Times New Roman" w:hAnsi="Times New Roman" w:cs="Times New Roman"/>
        </w:rPr>
        <w:t>. Oxford University Press.</w:t>
      </w:r>
    </w:p>
    <w:p w14:paraId="1B7AD878"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Döring, Holger, and Philip Manow. 2016. </w:t>
      </w:r>
      <w:r w:rsidRPr="00B45488">
        <w:rPr>
          <w:rFonts w:ascii="Times New Roman" w:hAnsi="Times New Roman" w:cs="Times New Roman"/>
          <w:i/>
          <w:iCs/>
        </w:rPr>
        <w:t>ParlGov Database</w:t>
      </w:r>
      <w:r w:rsidRPr="00B45488">
        <w:rPr>
          <w:rFonts w:ascii="Times New Roman" w:hAnsi="Times New Roman" w:cs="Times New Roman"/>
        </w:rPr>
        <w:t>. http://www.parlgov.org.</w:t>
      </w:r>
    </w:p>
    <w:p w14:paraId="52CF3621"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Fox, Jonathan. 2011. “Separation of Religion and State and Secularism in Theory and in Practice.” </w:t>
      </w:r>
      <w:r w:rsidRPr="00B45488">
        <w:rPr>
          <w:rFonts w:ascii="Times New Roman" w:hAnsi="Times New Roman" w:cs="Times New Roman"/>
          <w:i/>
          <w:iCs/>
        </w:rPr>
        <w:t>Religion, State and Society</w:t>
      </w:r>
      <w:r w:rsidRPr="00B45488">
        <w:rPr>
          <w:rFonts w:ascii="Times New Roman" w:hAnsi="Times New Roman" w:cs="Times New Roman"/>
        </w:rPr>
        <w:t xml:space="preserve"> 39 (4): 384–401. doi:10.1080/09637494.2011.621675.</w:t>
      </w:r>
    </w:p>
    <w:p w14:paraId="725C7537"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 2015. </w:t>
      </w:r>
      <w:r w:rsidRPr="00B45488">
        <w:rPr>
          <w:rFonts w:ascii="Times New Roman" w:hAnsi="Times New Roman" w:cs="Times New Roman"/>
          <w:i/>
          <w:iCs/>
        </w:rPr>
        <w:t>Political Secularism, Religion, and the State</w:t>
      </w:r>
      <w:r w:rsidRPr="00B45488">
        <w:rPr>
          <w:rFonts w:ascii="Times New Roman" w:hAnsi="Times New Roman" w:cs="Times New Roman"/>
        </w:rPr>
        <w:t>. Cambridge University Press.</w:t>
      </w:r>
    </w:p>
    <w:p w14:paraId="6009A807"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Gerhards, J. 2010. “Non-Discrimination towards Homosexuality: The European Union’s Policy and Citizens’ Attitudes towards Homosexuality in 27 European Countries.” </w:t>
      </w:r>
      <w:r w:rsidRPr="00B45488">
        <w:rPr>
          <w:rFonts w:ascii="Times New Roman" w:hAnsi="Times New Roman" w:cs="Times New Roman"/>
          <w:i/>
          <w:iCs/>
        </w:rPr>
        <w:t>International Sociology</w:t>
      </w:r>
      <w:r w:rsidRPr="00B45488">
        <w:rPr>
          <w:rFonts w:ascii="Times New Roman" w:hAnsi="Times New Roman" w:cs="Times New Roman"/>
        </w:rPr>
        <w:t xml:space="preserve"> 25 (1): 5–28. doi:10.1177/0268580909346704.</w:t>
      </w:r>
    </w:p>
    <w:p w14:paraId="6D8007DB"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Gill, Anthony. 2007. </w:t>
      </w:r>
      <w:r w:rsidRPr="00B45488">
        <w:rPr>
          <w:rFonts w:ascii="Times New Roman" w:hAnsi="Times New Roman" w:cs="Times New Roman"/>
          <w:i/>
          <w:iCs/>
        </w:rPr>
        <w:t>The Political Origins of Religious Liberty</w:t>
      </w:r>
      <w:r w:rsidRPr="00B45488">
        <w:rPr>
          <w:rFonts w:ascii="Times New Roman" w:hAnsi="Times New Roman" w:cs="Times New Roman"/>
        </w:rPr>
        <w:t>. Cambridge University Press.</w:t>
      </w:r>
    </w:p>
    <w:p w14:paraId="63BA4B4D"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Grim, Brian J., and Roger Finke. 2006. “International Religion Indexes: Government Regulation, Government Favoritism, and Social Regulation of Religion.” </w:t>
      </w:r>
      <w:r w:rsidRPr="00B45488">
        <w:rPr>
          <w:rFonts w:ascii="Times New Roman" w:hAnsi="Times New Roman" w:cs="Times New Roman"/>
          <w:i/>
          <w:iCs/>
        </w:rPr>
        <w:t>Interdisciplinary Journal of Research on Religion</w:t>
      </w:r>
      <w:r w:rsidRPr="00B45488">
        <w:rPr>
          <w:rFonts w:ascii="Times New Roman" w:hAnsi="Times New Roman" w:cs="Times New Roman"/>
        </w:rPr>
        <w:t xml:space="preserve"> 2 (1): 1–40.</w:t>
      </w:r>
    </w:p>
    <w:p w14:paraId="7CE7B4CB"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Grzymala-Busse, Anna. 2015. </w:t>
      </w:r>
      <w:r w:rsidRPr="00B45488">
        <w:rPr>
          <w:rFonts w:ascii="Times New Roman" w:hAnsi="Times New Roman" w:cs="Times New Roman"/>
          <w:i/>
          <w:iCs/>
        </w:rPr>
        <w:t>Nations under God: How Churches Use Moral Authority to Influence Policy</w:t>
      </w:r>
      <w:r w:rsidRPr="00B45488">
        <w:rPr>
          <w:rFonts w:ascii="Times New Roman" w:hAnsi="Times New Roman" w:cs="Times New Roman"/>
        </w:rPr>
        <w:t>. Princeton: Princeton University Press.</w:t>
      </w:r>
    </w:p>
    <w:p w14:paraId="600FB832"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Kaiser, Wolfram. 2007. </w:t>
      </w:r>
      <w:r w:rsidRPr="00B45488">
        <w:rPr>
          <w:rFonts w:ascii="Times New Roman" w:hAnsi="Times New Roman" w:cs="Times New Roman"/>
          <w:i/>
          <w:iCs/>
        </w:rPr>
        <w:t>Christian Democracy and the Origins of European Union</w:t>
      </w:r>
      <w:r w:rsidRPr="00B45488">
        <w:rPr>
          <w:rFonts w:ascii="Times New Roman" w:hAnsi="Times New Roman" w:cs="Times New Roman"/>
        </w:rPr>
        <w:t>. Cambridge University Press.</w:t>
      </w:r>
    </w:p>
    <w:p w14:paraId="561A3818"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Kalyvas, Stathis N. 1996. </w:t>
      </w:r>
      <w:r w:rsidRPr="00B45488">
        <w:rPr>
          <w:rFonts w:ascii="Times New Roman" w:hAnsi="Times New Roman" w:cs="Times New Roman"/>
          <w:i/>
          <w:iCs/>
        </w:rPr>
        <w:t>The Rise of Christian Democracy in Europe</w:t>
      </w:r>
      <w:r w:rsidRPr="00B45488">
        <w:rPr>
          <w:rFonts w:ascii="Times New Roman" w:hAnsi="Times New Roman" w:cs="Times New Roman"/>
        </w:rPr>
        <w:t>. The Wilder House Series in Politics, History and Culture. Ithaca, NY: Cornell University Press.</w:t>
      </w:r>
    </w:p>
    <w:p w14:paraId="46E6DA11"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Kersbergen, Kees van, and Philip Manow, eds. 2009. </w:t>
      </w:r>
      <w:r w:rsidRPr="00B45488">
        <w:rPr>
          <w:rFonts w:ascii="Times New Roman" w:hAnsi="Times New Roman" w:cs="Times New Roman"/>
          <w:i/>
          <w:iCs/>
        </w:rPr>
        <w:t>Religion, Class Coalitions, and Welfare States</w:t>
      </w:r>
      <w:r w:rsidRPr="00B45488">
        <w:rPr>
          <w:rFonts w:ascii="Times New Roman" w:hAnsi="Times New Roman" w:cs="Times New Roman"/>
        </w:rPr>
        <w:t>. 1 edition. Cambridge University Press.</w:t>
      </w:r>
    </w:p>
    <w:p w14:paraId="2148A6DA"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McCrea, Ronan. 2010. </w:t>
      </w:r>
      <w:r w:rsidRPr="00B45488">
        <w:rPr>
          <w:rFonts w:ascii="Times New Roman" w:hAnsi="Times New Roman" w:cs="Times New Roman"/>
          <w:i/>
          <w:iCs/>
        </w:rPr>
        <w:t>Religion and the Public Order of the European Union</w:t>
      </w:r>
      <w:r w:rsidRPr="00B45488">
        <w:rPr>
          <w:rFonts w:ascii="Times New Roman" w:hAnsi="Times New Roman" w:cs="Times New Roman"/>
        </w:rPr>
        <w:t>. OUP Oxford.</w:t>
      </w:r>
    </w:p>
    <w:p w14:paraId="7B35C984"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lastRenderedPageBreak/>
        <w:t xml:space="preserve">Morgan, Kimberly. 2009. “The Religious Foundations of Work-Family Policies in Western Europe.” In </w:t>
      </w:r>
      <w:r w:rsidRPr="00B45488">
        <w:rPr>
          <w:rFonts w:ascii="Times New Roman" w:hAnsi="Times New Roman" w:cs="Times New Roman"/>
          <w:i/>
          <w:iCs/>
        </w:rPr>
        <w:t>Religion, Class Coalitions, and Welfare States</w:t>
      </w:r>
      <w:r w:rsidRPr="00B45488">
        <w:rPr>
          <w:rFonts w:ascii="Times New Roman" w:hAnsi="Times New Roman" w:cs="Times New Roman"/>
        </w:rPr>
        <w:t>, edited by Kees Van Kersbergen and Philip Manow, 56–90. Cambridge, UK: Cambridge University Press.</w:t>
      </w:r>
    </w:p>
    <w:p w14:paraId="5980C25D"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Mos, Martijn. 2014. “Of Gay Rights and Christmas Ornaments: The Political History of Sexual Orientation Non-Discrimination in the Treaty of Amsterdam.” </w:t>
      </w:r>
      <w:r w:rsidRPr="00B45488">
        <w:rPr>
          <w:rFonts w:ascii="Times New Roman" w:hAnsi="Times New Roman" w:cs="Times New Roman"/>
          <w:i/>
          <w:iCs/>
        </w:rPr>
        <w:t>JCMS: Journal of Common Market Studies</w:t>
      </w:r>
      <w:r w:rsidRPr="00B45488">
        <w:rPr>
          <w:rFonts w:ascii="Times New Roman" w:hAnsi="Times New Roman" w:cs="Times New Roman"/>
        </w:rPr>
        <w:t xml:space="preserve"> 52 (3): 632–49. doi:10.1111/jcms.12094.</w:t>
      </w:r>
    </w:p>
    <w:p w14:paraId="3BAD5BE7"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Philpott, Daniel. 2009. “Has the Study of Global Politics Found Religion?” </w:t>
      </w:r>
      <w:r w:rsidRPr="00B45488">
        <w:rPr>
          <w:rFonts w:ascii="Times New Roman" w:hAnsi="Times New Roman" w:cs="Times New Roman"/>
          <w:i/>
          <w:iCs/>
        </w:rPr>
        <w:t>Annual Review of Political Science</w:t>
      </w:r>
      <w:r w:rsidRPr="00B45488">
        <w:rPr>
          <w:rFonts w:ascii="Times New Roman" w:hAnsi="Times New Roman" w:cs="Times New Roman"/>
        </w:rPr>
        <w:t xml:space="preserve"> 12 (1): 183–202. doi:10.1146/annurev.polisci.12.053006.125448.</w:t>
      </w:r>
    </w:p>
    <w:p w14:paraId="04AB78E6"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Philpott, Daniel, and Timothy Samuel Shah. 2006. “Faith, Freedom, and Federation: The Role of Religious Ideas and Institutions in European Political Convergence.” In </w:t>
      </w:r>
      <w:r w:rsidRPr="00B45488">
        <w:rPr>
          <w:rFonts w:ascii="Times New Roman" w:hAnsi="Times New Roman" w:cs="Times New Roman"/>
          <w:i/>
          <w:iCs/>
        </w:rPr>
        <w:t>Religion in an Expanding Europe</w:t>
      </w:r>
      <w:r w:rsidRPr="00B45488">
        <w:rPr>
          <w:rFonts w:ascii="Times New Roman" w:hAnsi="Times New Roman" w:cs="Times New Roman"/>
        </w:rPr>
        <w:t>, edited by Byrnes, Timothy A. and Peter Katzenstein, 34–64. Cambridge, UK: Cambridge University Press.</w:t>
      </w:r>
    </w:p>
    <w:p w14:paraId="4149CA13"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Raudenbush, Stephen W., and Anthony S. Bryk. 2002. </w:t>
      </w:r>
      <w:r w:rsidRPr="00B45488">
        <w:rPr>
          <w:rFonts w:ascii="Times New Roman" w:hAnsi="Times New Roman" w:cs="Times New Roman"/>
          <w:i/>
          <w:iCs/>
        </w:rPr>
        <w:t>Hierarchical Linear Models: Applications and Data Analysis Methods</w:t>
      </w:r>
      <w:r w:rsidRPr="00B45488">
        <w:rPr>
          <w:rFonts w:ascii="Times New Roman" w:hAnsi="Times New Roman" w:cs="Times New Roman"/>
        </w:rPr>
        <w:t>. SAGE.</w:t>
      </w:r>
    </w:p>
    <w:p w14:paraId="46DA0F6C"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Steven, Martin. 2010. “Religious Bodies in the European Union: From Dominant Church to Gath-Based Organisation?” In </w:t>
      </w:r>
      <w:r w:rsidRPr="00B45488">
        <w:rPr>
          <w:rFonts w:ascii="Times New Roman" w:hAnsi="Times New Roman" w:cs="Times New Roman"/>
          <w:i/>
          <w:iCs/>
        </w:rPr>
        <w:t>Religion, Politics and Law in the European Union</w:t>
      </w:r>
      <w:r w:rsidRPr="00B45488">
        <w:rPr>
          <w:rFonts w:ascii="Times New Roman" w:hAnsi="Times New Roman" w:cs="Times New Roman"/>
        </w:rPr>
        <w:t>, edited by Lucian Leusten and John T. S. Madeley, 175–86. New York, NY: Routledge.</w:t>
      </w:r>
    </w:p>
    <w:p w14:paraId="368E77E1"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Thiel, Markus. 2015. “Sexualities in World Politics.” In </w:t>
      </w:r>
      <w:r w:rsidRPr="00B45488">
        <w:rPr>
          <w:rFonts w:ascii="Times New Roman" w:hAnsi="Times New Roman" w:cs="Times New Roman"/>
          <w:i/>
          <w:iCs/>
        </w:rPr>
        <w:t>Sexualities in World Politics: How LGBTQ Claims Shape International Relations</w:t>
      </w:r>
      <w:r w:rsidRPr="00B45488">
        <w:rPr>
          <w:rFonts w:ascii="Times New Roman" w:hAnsi="Times New Roman" w:cs="Times New Roman"/>
        </w:rPr>
        <w:t>, edited by Manuela Lavinas Picq and Markus Thiel. New York, NY: Routledge.</w:t>
      </w:r>
    </w:p>
    <w:p w14:paraId="1299BDD2"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Thomson, Robert. 2010. “Opposition through the Back Door in the Transposition of EU Directives.” </w:t>
      </w:r>
      <w:r w:rsidRPr="00B45488">
        <w:rPr>
          <w:rFonts w:ascii="Times New Roman" w:hAnsi="Times New Roman" w:cs="Times New Roman"/>
          <w:i/>
          <w:iCs/>
        </w:rPr>
        <w:t>European Union Politics</w:t>
      </w:r>
      <w:r w:rsidRPr="00B45488">
        <w:rPr>
          <w:rFonts w:ascii="Times New Roman" w:hAnsi="Times New Roman" w:cs="Times New Roman"/>
        </w:rPr>
        <w:t xml:space="preserve"> 11 (4): 577–96. doi:10.1177/1465116510380283.</w:t>
      </w:r>
    </w:p>
    <w:p w14:paraId="2F13D4EB"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Thomson, Robert, Javier Arregui, Dirk Leuffen, Rory Costello, James Cross, Robin Hertz, and Thomas Jensen. 2012. “A New Dataset on Decision-Making in the European Union before and after the 2004 and 2007 Enlargements (DEUII).” </w:t>
      </w:r>
      <w:r w:rsidRPr="00B45488">
        <w:rPr>
          <w:rFonts w:ascii="Times New Roman" w:hAnsi="Times New Roman" w:cs="Times New Roman"/>
          <w:i/>
          <w:iCs/>
        </w:rPr>
        <w:t>Journal of European Public Policy</w:t>
      </w:r>
      <w:r w:rsidRPr="00B45488">
        <w:rPr>
          <w:rFonts w:ascii="Times New Roman" w:hAnsi="Times New Roman" w:cs="Times New Roman"/>
        </w:rPr>
        <w:t xml:space="preserve"> 19 (4): 604–22. doi:10.1080/13501763.2012.662028.</w:t>
      </w:r>
    </w:p>
    <w:p w14:paraId="26DBF49E"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Thomson, Robert, René Torenvlied, and Javier Arregui. 2007. “The Paradox of Compliance: Infringements and Delays in Transposing European Union Directives.” </w:t>
      </w:r>
      <w:r w:rsidRPr="00B45488">
        <w:rPr>
          <w:rFonts w:ascii="Times New Roman" w:hAnsi="Times New Roman" w:cs="Times New Roman"/>
          <w:i/>
          <w:iCs/>
        </w:rPr>
        <w:t>British Journal of Political Science</w:t>
      </w:r>
      <w:r w:rsidRPr="00B45488">
        <w:rPr>
          <w:rFonts w:ascii="Times New Roman" w:hAnsi="Times New Roman" w:cs="Times New Roman"/>
        </w:rPr>
        <w:t xml:space="preserve"> 37 (4): 685–709. doi:10.2307/4497318.</w:t>
      </w:r>
    </w:p>
    <w:p w14:paraId="5F44228B"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Treib, Oliver. 2003. “EU Governance, Misfit, and the Partisan Logic of Domestic Adaptation.” In .</w:t>
      </w:r>
    </w:p>
    <w:p w14:paraId="53EE23D5"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Waaldijk, C., and Matteo Bonini-Baraldi. 2006. </w:t>
      </w:r>
      <w:r w:rsidRPr="00B45488">
        <w:rPr>
          <w:rFonts w:ascii="Times New Roman" w:hAnsi="Times New Roman" w:cs="Times New Roman"/>
          <w:i/>
          <w:iCs/>
        </w:rPr>
        <w:t>Sexual Orientation Discrimination in the European Union: National Laws and the Employment Equality Directive</w:t>
      </w:r>
      <w:r w:rsidRPr="00B45488">
        <w:rPr>
          <w:rFonts w:ascii="Times New Roman" w:hAnsi="Times New Roman" w:cs="Times New Roman"/>
        </w:rPr>
        <w:t>. Cambridge University Press.</w:t>
      </w:r>
    </w:p>
    <w:p w14:paraId="71E18D73"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Warner, Carolyn M. 2000. </w:t>
      </w:r>
      <w:r w:rsidRPr="00B45488">
        <w:rPr>
          <w:rFonts w:ascii="Times New Roman" w:hAnsi="Times New Roman" w:cs="Times New Roman"/>
          <w:i/>
          <w:iCs/>
        </w:rPr>
        <w:t>Confessions of an Interest Group: The Catholic Church and Political Parties in Europe</w:t>
      </w:r>
      <w:r w:rsidRPr="00B45488">
        <w:rPr>
          <w:rFonts w:ascii="Times New Roman" w:hAnsi="Times New Roman" w:cs="Times New Roman"/>
        </w:rPr>
        <w:t>. Princeton University Press.</w:t>
      </w:r>
    </w:p>
    <w:p w14:paraId="74FC6445"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Wilson, Angelia R. 2014. </w:t>
      </w:r>
      <w:r w:rsidRPr="00B45488">
        <w:rPr>
          <w:rFonts w:ascii="Times New Roman" w:hAnsi="Times New Roman" w:cs="Times New Roman"/>
          <w:i/>
          <w:iCs/>
        </w:rPr>
        <w:t>Why Europe Is Lesbian and Gay Friendly</w:t>
      </w:r>
      <w:r w:rsidRPr="00B45488">
        <w:rPr>
          <w:rFonts w:ascii="Times New Roman" w:hAnsi="Times New Roman" w:cs="Times New Roman"/>
        </w:rPr>
        <w:t>. Albany: State University of New York Press.</w:t>
      </w:r>
    </w:p>
    <w:p w14:paraId="119F8FB3" w14:textId="77777777" w:rsidR="00B45488" w:rsidRPr="00B45488" w:rsidRDefault="00B45488" w:rsidP="00B45488">
      <w:pPr>
        <w:pStyle w:val="Bibliography"/>
        <w:rPr>
          <w:rFonts w:ascii="Times New Roman" w:hAnsi="Times New Roman" w:cs="Times New Roman"/>
        </w:rPr>
      </w:pPr>
      <w:r w:rsidRPr="00B45488">
        <w:rPr>
          <w:rFonts w:ascii="Times New Roman" w:hAnsi="Times New Roman" w:cs="Times New Roman"/>
        </w:rPr>
        <w:t xml:space="preserve">Zhelyazkova, Asya, and René Torenvlied. 2011. “The Successful Transposition of European Provisions by Member States: Application to the Framework Equality Directive.” </w:t>
      </w:r>
      <w:r w:rsidRPr="00B45488">
        <w:rPr>
          <w:rFonts w:ascii="Times New Roman" w:hAnsi="Times New Roman" w:cs="Times New Roman"/>
          <w:i/>
          <w:iCs/>
        </w:rPr>
        <w:t>Journal of European Public Policy</w:t>
      </w:r>
      <w:r w:rsidRPr="00B45488">
        <w:rPr>
          <w:rFonts w:ascii="Times New Roman" w:hAnsi="Times New Roman" w:cs="Times New Roman"/>
        </w:rPr>
        <w:t xml:space="preserve"> 18 (5): 690–708. doi:10.1080/13501763.2011.586799.</w:t>
      </w:r>
    </w:p>
    <w:p w14:paraId="413BF5C2" w14:textId="69831E86" w:rsidR="00464476" w:rsidRPr="00B74863" w:rsidRDefault="00464476" w:rsidP="007B21C1">
      <w:pPr>
        <w:spacing w:line="480" w:lineRule="auto"/>
        <w:ind w:firstLine="450"/>
        <w:rPr>
          <w:rFonts w:ascii="Times New Roman" w:hAnsi="Times New Roman" w:cs="Times New Roman"/>
        </w:rPr>
      </w:pPr>
      <w:r>
        <w:rPr>
          <w:rFonts w:ascii="Times New Roman" w:hAnsi="Times New Roman" w:cs="Times New Roman"/>
        </w:rPr>
        <w:fldChar w:fldCharType="end"/>
      </w:r>
    </w:p>
    <w:p w14:paraId="1A68DEC3" w14:textId="0CB96683" w:rsidR="00FD640B" w:rsidRPr="00B74863" w:rsidRDefault="00FD640B">
      <w:pPr>
        <w:rPr>
          <w:rFonts w:ascii="Times New Roman" w:hAnsi="Times New Roman" w:cs="Times New Roman"/>
        </w:rPr>
      </w:pPr>
    </w:p>
    <w:sectPr w:rsidR="00FD640B" w:rsidRPr="00B74863" w:rsidSect="00207ADF">
      <w:footerReference w:type="even" r:id="rId10"/>
      <w:footerReference w:type="default" r:id="rId11"/>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B635" w14:textId="77777777" w:rsidR="00EF6FF5" w:rsidRDefault="00EF6FF5" w:rsidP="008A1E28">
      <w:r>
        <w:separator/>
      </w:r>
    </w:p>
  </w:endnote>
  <w:endnote w:type="continuationSeparator" w:id="0">
    <w:p w14:paraId="1CB46D99" w14:textId="77777777" w:rsidR="00EF6FF5" w:rsidRDefault="00EF6FF5" w:rsidP="008A1E28">
      <w:r>
        <w:continuationSeparator/>
      </w:r>
    </w:p>
  </w:endnote>
  <w:endnote w:id="1">
    <w:p w14:paraId="03D61E85" w14:textId="0F560440" w:rsidR="00707635" w:rsidRPr="00707635" w:rsidRDefault="00707635" w:rsidP="00707635">
      <w:pPr>
        <w:rPr>
          <w:rFonts w:ascii="Times New Roman" w:eastAsia="Times New Roman" w:hAnsi="Times New Roman" w:cs="Times New Roman"/>
          <w:sz w:val="20"/>
          <w:szCs w:val="20"/>
        </w:rPr>
      </w:pPr>
      <w:r w:rsidRPr="00707635">
        <w:rPr>
          <w:rStyle w:val="EndnoteReference"/>
          <w:rFonts w:ascii="Times New Roman" w:hAnsi="Times New Roman" w:cs="Times New Roman"/>
          <w:color w:val="000000" w:themeColor="text1"/>
          <w:sz w:val="20"/>
          <w:szCs w:val="20"/>
        </w:rPr>
        <w:endnoteRef/>
      </w:r>
      <w:r w:rsidRPr="00707635">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Address of His Holiness Benedict XVI to the Members of the European People’s Party on the Occasion of the Study Days on Europe, May 20, 2006. Available at </w:t>
      </w:r>
      <w:hyperlink r:id="rId1" w:history="1">
        <w:r w:rsidRPr="00671AA0">
          <w:rPr>
            <w:rStyle w:val="Hyperlink"/>
            <w:rFonts w:ascii="Times New Roman" w:hAnsi="Times New Roman" w:cs="Times New Roman"/>
            <w:sz w:val="20"/>
            <w:szCs w:val="20"/>
          </w:rPr>
          <w:t>https://w2.vatican.va/content/benedict-xvi/en/speeches/2006/march/documents/hf_ben-xvi_spe_20060330_eu-parliamentarians.html</w:t>
        </w:r>
      </w:hyperlink>
      <w:r>
        <w:rPr>
          <w:rFonts w:ascii="Times New Roman" w:hAnsi="Times New Roman" w:cs="Times New Roman"/>
          <w:color w:val="000000" w:themeColor="text1"/>
          <w:sz w:val="20"/>
          <w:szCs w:val="20"/>
        </w:rPr>
        <w:t xml:space="preserve"> (accessed April 24, 2017).</w:t>
      </w:r>
    </w:p>
  </w:endnote>
  <w:endnote w:id="2">
    <w:p w14:paraId="2374CDAD" w14:textId="77777777" w:rsidR="00C363D3" w:rsidRPr="00B03BE7" w:rsidRDefault="00C363D3" w:rsidP="0093094E">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European Parliament, “Report for the Committee on Social Affairs and Employment on sexual discrimination at the workplace,” [Squarcialupi] A1-1358/83.</w:t>
      </w:r>
    </w:p>
  </w:endnote>
  <w:endnote w:id="3">
    <w:p w14:paraId="0E6B6B05" w14:textId="77777777" w:rsidR="00C363D3" w:rsidRPr="00B03BE7" w:rsidRDefault="00C363D3" w:rsidP="000E657E">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Ryan, Debates of the European Parliament No I-311/71, March 13, 1984.</w:t>
      </w:r>
    </w:p>
  </w:endnote>
  <w:endnote w:id="4">
    <w:p w14:paraId="49F54986" w14:textId="77777777" w:rsidR="00C363D3" w:rsidRPr="00B03BE7" w:rsidRDefault="00C363D3" w:rsidP="00AD38ED">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European Parliament, “Report for the Committee on Internal Affairs and Citizens Rights on Equal Rights for Homosexuals and Lesbians in the European Community,” [Roth] A3-28/94. Art. 14.</w:t>
      </w:r>
    </w:p>
  </w:endnote>
  <w:endnote w:id="5">
    <w:p w14:paraId="37AB9223" w14:textId="001A7A46" w:rsidR="00C363D3" w:rsidRPr="00B03BE7" w:rsidRDefault="00C363D3">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The European Court of Justice, in a series of case decisions, also refused to interfere in national morality policies because of the similar concerns that doing so would generate a backlash it and further European market integration would be stymied.</w:t>
      </w:r>
    </w:p>
  </w:endnote>
  <w:endnote w:id="6">
    <w:p w14:paraId="0AF29AB4" w14:textId="77777777" w:rsidR="00C363D3" w:rsidRPr="00B03BE7" w:rsidRDefault="00C363D3" w:rsidP="00297F11">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The Equal Treatment Directives refer to the 8 EU directives that address discrimination in employment and, in some cases, elsewhere. Six cover anti-discrimination based on gender: Equal Treatment in Social Security Directive (79/7/EC) Equal Treatment in Access to Goods and Services According to Gender (2004/113/EEC), the “Recast” Directive (2006/54/EC), the Parental Leave Directive (2010/18/EC), and Equal Treatment in Self-Employment Directive (2010/41/EC). The Racial Equality Directive (2000/43/EC) protects people from discrimination based on race or ethnicity in both public and private settings. The Equality in Employment Directive (2000/78/EC) only addresses discrimination in the private sphere.</w:t>
      </w:r>
    </w:p>
  </w:endnote>
  <w:endnote w:id="7">
    <w:p w14:paraId="19872EE8" w14:textId="77777777" w:rsidR="00C363D3" w:rsidRPr="00B03BE7" w:rsidRDefault="00C363D3" w:rsidP="00FF64A8">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The other issue of conflict in the Council was accommodating disabled workers, between those members that faced few costs of adjusting public services for the disabled and those, such as Italy and Ireland, who would have to invest a large number of funds to accommodate disabled workers.</w:t>
      </w:r>
    </w:p>
  </w:endnote>
  <w:endnote w:id="8">
    <w:p w14:paraId="721F45E2" w14:textId="77777777" w:rsidR="00C363D3" w:rsidRPr="00B03BE7" w:rsidRDefault="00C363D3" w:rsidP="00B96A92">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Sean Flynn and Alison O’Connor, “Churches lobbied on EU directive,” </w:t>
      </w:r>
      <w:r w:rsidRPr="00B03BE7">
        <w:rPr>
          <w:rFonts w:ascii="Times New Roman" w:hAnsi="Times New Roman" w:cs="Times New Roman"/>
          <w:i/>
          <w:sz w:val="20"/>
          <w:szCs w:val="20"/>
        </w:rPr>
        <w:t>Irish Times</w:t>
      </w:r>
      <w:r w:rsidRPr="00B03BE7">
        <w:rPr>
          <w:rFonts w:ascii="Times New Roman" w:hAnsi="Times New Roman" w:cs="Times New Roman"/>
          <w:sz w:val="20"/>
          <w:szCs w:val="20"/>
        </w:rPr>
        <w:t>, October 19, 2000.</w:t>
      </w:r>
    </w:p>
  </w:endnote>
  <w:endnote w:id="9">
    <w:p w14:paraId="34C8D382" w14:textId="77777777" w:rsidR="00C363D3" w:rsidRPr="00B03BE7" w:rsidRDefault="00C363D3" w:rsidP="008C32D9">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Mark Brennock, “Minister May Block Equality Directive,” </w:t>
      </w:r>
      <w:r w:rsidRPr="00B03BE7">
        <w:rPr>
          <w:rFonts w:ascii="Times New Roman" w:hAnsi="Times New Roman" w:cs="Times New Roman"/>
          <w:i/>
          <w:sz w:val="20"/>
          <w:szCs w:val="20"/>
        </w:rPr>
        <w:t>Irish Time</w:t>
      </w:r>
      <w:r w:rsidRPr="00B03BE7">
        <w:rPr>
          <w:rFonts w:ascii="Times New Roman" w:hAnsi="Times New Roman" w:cs="Times New Roman"/>
          <w:sz w:val="20"/>
          <w:szCs w:val="20"/>
        </w:rPr>
        <w:t>s</w:t>
      </w:r>
      <w:r w:rsidRPr="00B03BE7">
        <w:rPr>
          <w:rFonts w:ascii="Times New Roman" w:hAnsi="Times New Roman" w:cs="Times New Roman"/>
          <w:i/>
          <w:sz w:val="20"/>
          <w:szCs w:val="20"/>
        </w:rPr>
        <w:t xml:space="preserve">, </w:t>
      </w:r>
      <w:r w:rsidRPr="00B03BE7">
        <w:rPr>
          <w:rFonts w:ascii="Times New Roman" w:hAnsi="Times New Roman" w:cs="Times New Roman"/>
          <w:sz w:val="20"/>
          <w:szCs w:val="20"/>
        </w:rPr>
        <w:t>October 17, 2000.</w:t>
      </w:r>
    </w:p>
  </w:endnote>
  <w:endnote w:id="10">
    <w:p w14:paraId="1766E4FE" w14:textId="77777777" w:rsidR="00C363D3" w:rsidRPr="00B03BE7" w:rsidRDefault="00C363D3" w:rsidP="00B96A92">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Cahal Milmo, “Churches to Protest Over EU Rules,” </w:t>
      </w:r>
      <w:r w:rsidRPr="00B03BE7">
        <w:rPr>
          <w:rFonts w:ascii="Times New Roman" w:hAnsi="Times New Roman" w:cs="Times New Roman"/>
          <w:i/>
          <w:sz w:val="20"/>
          <w:szCs w:val="20"/>
        </w:rPr>
        <w:t>The Independent (London)</w:t>
      </w:r>
      <w:r w:rsidRPr="00B03BE7">
        <w:rPr>
          <w:rFonts w:ascii="Times New Roman" w:hAnsi="Times New Roman" w:cs="Times New Roman"/>
          <w:sz w:val="20"/>
          <w:szCs w:val="20"/>
        </w:rPr>
        <w:t>, June 30, 2000.</w:t>
      </w:r>
    </w:p>
  </w:endnote>
  <w:endnote w:id="11">
    <w:p w14:paraId="616B91AE" w14:textId="77777777" w:rsidR="00C363D3" w:rsidRPr="00B03BE7" w:rsidRDefault="00C363D3" w:rsidP="00B96A92">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Stephen Bates, “Work of the Devil,” </w:t>
      </w:r>
      <w:r w:rsidRPr="00B03BE7">
        <w:rPr>
          <w:rFonts w:ascii="Times New Roman" w:hAnsi="Times New Roman" w:cs="Times New Roman"/>
          <w:i/>
          <w:sz w:val="20"/>
          <w:szCs w:val="20"/>
        </w:rPr>
        <w:t>The Guardian</w:t>
      </w:r>
      <w:r w:rsidRPr="00B03BE7">
        <w:rPr>
          <w:rFonts w:ascii="Times New Roman" w:hAnsi="Times New Roman" w:cs="Times New Roman"/>
          <w:sz w:val="20"/>
          <w:szCs w:val="20"/>
        </w:rPr>
        <w:t>, July 26, 2000.</w:t>
      </w:r>
    </w:p>
  </w:endnote>
  <w:endnote w:id="12">
    <w:p w14:paraId="76C09CE5" w14:textId="77777777" w:rsidR="00C363D3" w:rsidRPr="00B03BE7" w:rsidRDefault="00C363D3" w:rsidP="00B96A92">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Denis Staunton, “O’Donoghue Happy with Equality Talks Despite EU Doubts,” </w:t>
      </w:r>
      <w:r w:rsidRPr="00B03BE7">
        <w:rPr>
          <w:rFonts w:ascii="Times New Roman" w:hAnsi="Times New Roman" w:cs="Times New Roman"/>
          <w:i/>
          <w:sz w:val="20"/>
          <w:szCs w:val="20"/>
        </w:rPr>
        <w:t>Irish Times</w:t>
      </w:r>
      <w:r w:rsidRPr="00B03BE7">
        <w:rPr>
          <w:rFonts w:ascii="Times New Roman" w:hAnsi="Times New Roman" w:cs="Times New Roman"/>
          <w:sz w:val="20"/>
          <w:szCs w:val="20"/>
        </w:rPr>
        <w:t>, October 18, 2000.</w:t>
      </w:r>
    </w:p>
  </w:endnote>
  <w:endnote w:id="13">
    <w:p w14:paraId="7FD00D7B" w14:textId="77777777" w:rsidR="00C363D3" w:rsidRPr="00B03BE7" w:rsidRDefault="00C363D3" w:rsidP="00704DB7">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Countries that actively support religion are not only Protestant. The Catholic Church is the official church of Argentina, and receive a significant amount of state subsidies to carry out social services (Fox 2015: 49).</w:t>
      </w:r>
    </w:p>
  </w:endnote>
  <w:endnote w:id="14">
    <w:p w14:paraId="53D9E8D9" w14:textId="77777777" w:rsidR="00C363D3" w:rsidRPr="00B03BE7" w:rsidRDefault="00C363D3">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BAG decision of 30.06.83 case 2 AZR 52/81 NJW 1984, 1917.</w:t>
      </w:r>
    </w:p>
  </w:endnote>
  <w:endnote w:id="15">
    <w:p w14:paraId="69C6C17E" w14:textId="77777777" w:rsidR="00C363D3" w:rsidRPr="00B03BE7" w:rsidRDefault="00C363D3">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Education Staff, “O’Toole Anger on Equality Line,” </w:t>
      </w:r>
      <w:r w:rsidRPr="00B03BE7">
        <w:rPr>
          <w:rFonts w:ascii="Times New Roman" w:hAnsi="Times New Roman" w:cs="Times New Roman"/>
          <w:i/>
          <w:sz w:val="20"/>
          <w:szCs w:val="20"/>
        </w:rPr>
        <w:t>Irish Times</w:t>
      </w:r>
      <w:r w:rsidRPr="00B03BE7">
        <w:rPr>
          <w:rFonts w:ascii="Times New Roman" w:hAnsi="Times New Roman" w:cs="Times New Roman"/>
          <w:sz w:val="20"/>
          <w:szCs w:val="20"/>
        </w:rPr>
        <w:t>, October 24, 2000.</w:t>
      </w:r>
    </w:p>
  </w:endnote>
  <w:endnote w:id="16">
    <w:p w14:paraId="1A922CE5" w14:textId="77777777" w:rsidR="00B45488" w:rsidRPr="00B03BE7" w:rsidRDefault="00B45488" w:rsidP="00B45488">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Data accessed through “The Religion and State Project, Round 2,” hosted on ARDA (Association of Religion Data Archives), available at http://www.thearda.com/Archive/Files/Descriptions/RAS2012.asp. </w:t>
      </w:r>
    </w:p>
  </w:endnote>
  <w:endnote w:id="17">
    <w:p w14:paraId="6D568FD3" w14:textId="6CE7646E" w:rsidR="00C363D3" w:rsidRPr="00B03BE7" w:rsidRDefault="00C363D3" w:rsidP="00065AE4">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According to Thomson et al. (2012), position scores vary from 0 to 100. 0 means a member state wanted legislation in this area, while 100 (France and Belgium) implies very few exceptions to the principle were desired. 60 implies a government wanted some exceptions with a narrow definition (most EU member states and the Commission), while 40 (Germany, Ireland, and the UK) implies some exceptions with a broad definition. Salience scores vary from 0 to 100 </w:t>
      </w:r>
      <w:r w:rsidRPr="00B03BE7">
        <w:rPr>
          <w:rFonts w:ascii="Times New Roman" w:hAnsi="Times New Roman" w:cs="Times New Roman"/>
          <w:sz w:val="20"/>
          <w:szCs w:val="20"/>
        </w:rPr>
        <w:fldChar w:fldCharType="begin"/>
      </w:r>
      <w:r w:rsidRPr="00B03BE7">
        <w:rPr>
          <w:rFonts w:ascii="Times New Roman" w:hAnsi="Times New Roman" w:cs="Times New Roman"/>
          <w:sz w:val="20"/>
          <w:szCs w:val="20"/>
        </w:rPr>
        <w:instrText xml:space="preserve"> ADDIN ZOTERO_ITEM CSL_CITATION {"citationID":"DLPhXdRk","properties":{"formattedCitation":"(Thomson et al. 2012)","plainCitation":"(Thomson et al. 2012)"},"citationItems":[{"id":52,"uris":["http://zotero.org/users/local/jz89q5UV/items/I3G8NWEX"],"uri":["http://zotero.org/users/local/jz89q5UV/items/I3G8NWEX"],"itemData":{"id":52,"type":"article-journal","title":"A new dataset on decision-making in the European Union before and after the 2004 and 2007 enlargements (DEUII)","container-title":"Journal of European Public Policy","page":"604-622","volume":"19","issue":"4","source":"CrossRef","DOI":"10.1080/13501763.2012.662028","ISSN":"1350-1763, 1466-4429","language":"en","author":[{"family":"Thomson","given":"Robert"},{"family":"Arregui","given":"Javier"},{"family":"Leuffen","given":"Dirk"},{"family":"Costello","given":"Rory"},{"family":"Cross","given":"James"},{"family":"Hertz","given":"Robin"},{"family":"Jensen","given":"Thomas"}],"issued":{"date-parts":[["2012",5]]}}}],"schema":"https://github.com/citation-style-language/schema/raw/master/csl-citation.json"} </w:instrText>
      </w:r>
      <w:r w:rsidRPr="00B03BE7">
        <w:rPr>
          <w:rFonts w:ascii="Times New Roman" w:hAnsi="Times New Roman" w:cs="Times New Roman"/>
          <w:sz w:val="20"/>
          <w:szCs w:val="20"/>
        </w:rPr>
        <w:fldChar w:fldCharType="separate"/>
      </w:r>
      <w:r w:rsidRPr="00B03BE7">
        <w:rPr>
          <w:rFonts w:ascii="Times New Roman" w:hAnsi="Times New Roman" w:cs="Times New Roman"/>
          <w:sz w:val="20"/>
          <w:szCs w:val="20"/>
        </w:rPr>
        <w:t>(Thomson et al. 2012)</w:t>
      </w:r>
      <w:r w:rsidRPr="00B03BE7">
        <w:rPr>
          <w:rFonts w:ascii="Times New Roman" w:hAnsi="Times New Roman" w:cs="Times New Roman"/>
          <w:sz w:val="20"/>
          <w:szCs w:val="20"/>
        </w:rPr>
        <w:fldChar w:fldCharType="end"/>
      </w:r>
      <w:r w:rsidRPr="00B03BE7">
        <w:rPr>
          <w:rFonts w:ascii="Times New Roman" w:hAnsi="Times New Roman" w:cs="Times New Roman"/>
          <w:sz w:val="20"/>
          <w:szCs w:val="20"/>
        </w:rPr>
        <w:t>.</w:t>
      </w:r>
    </w:p>
  </w:endnote>
  <w:endnote w:id="18">
    <w:p w14:paraId="3CFF29AE" w14:textId="77777777" w:rsidR="00C363D3" w:rsidRPr="00B03BE7" w:rsidRDefault="00C363D3" w:rsidP="008F19F4">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Legal experts qualitatively assess whether the implementing legislation meets the objectives the EED’s provisions. Any reservations about the quality of its transposition I count as incorrect. This can create higher levels of noncompliance then if a more conservative estimate is used. However, since there is no selection bias based on country, this does not hinder cross-national analysis.</w:t>
      </w:r>
    </w:p>
  </w:endnote>
  <w:endnote w:id="19">
    <w:p w14:paraId="01F9B713" w14:textId="77777777" w:rsidR="00C363D3" w:rsidRPr="00B03BE7" w:rsidRDefault="00C363D3">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w:t>
      </w:r>
      <w:r w:rsidRPr="00B03BE7">
        <w:rPr>
          <w:rFonts w:ascii="Times New Roman" w:hAnsi="Times New Roman" w:cs="Times New Roman"/>
          <w:color w:val="262626"/>
          <w:sz w:val="20"/>
          <w:szCs w:val="20"/>
        </w:rPr>
        <w:t xml:space="preserve">Jonathan Fox, Religion and State dataset, </w:t>
      </w:r>
      <w:hyperlink r:id="rId2" w:history="1">
        <w:r w:rsidRPr="00B03BE7">
          <w:rPr>
            <w:rFonts w:ascii="Times New Roman" w:hAnsi="Times New Roman" w:cs="Times New Roman"/>
            <w:color w:val="285287"/>
            <w:sz w:val="20"/>
            <w:szCs w:val="20"/>
            <w:u w:val="single" w:color="285287"/>
          </w:rPr>
          <w:t>http://www.religionandstate.org</w:t>
        </w:r>
      </w:hyperlink>
      <w:r w:rsidRPr="00B03BE7">
        <w:rPr>
          <w:rFonts w:ascii="Times New Roman" w:hAnsi="Times New Roman" w:cs="Times New Roman"/>
          <w:color w:val="285287"/>
          <w:sz w:val="20"/>
          <w:szCs w:val="20"/>
          <w:u w:val="single" w:color="285287"/>
        </w:rPr>
        <w:t>.</w:t>
      </w:r>
    </w:p>
  </w:endnote>
  <w:endnote w:id="20">
    <w:p w14:paraId="6EE59E67" w14:textId="31A6793C" w:rsidR="00C363D3" w:rsidRPr="00B03BE7" w:rsidRDefault="00C363D3" w:rsidP="005068CB">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The authors rely on extensive reports published by the European Trade Union Institute to assess levels of compliance. The limits are that these studies do not include experts on sexual orientation law and end in the year 2004. Many pieces of national EU legislation covering sexual orientation discrimination had yet to be implemented. It is also unclear which national legislation the studies are referring to since multiple pieces of legislation are required to address all four types of discrimination.</w:t>
      </w:r>
    </w:p>
  </w:endnote>
  <w:endnote w:id="21">
    <w:p w14:paraId="3DFF42D6" w14:textId="5C7F3857" w:rsidR="00C363D3" w:rsidRPr="00B03BE7" w:rsidRDefault="00C363D3">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w:t>
      </w:r>
      <w:r w:rsidRPr="00B03BE7">
        <w:rPr>
          <w:rFonts w:ascii="Times New Roman" w:hAnsi="Times New Roman" w:cs="Times New Roman"/>
          <w:sz w:val="20"/>
          <w:szCs w:val="20"/>
        </w:rPr>
        <w:fldChar w:fldCharType="begin"/>
      </w:r>
      <w:r w:rsidRPr="00B03BE7">
        <w:rPr>
          <w:rFonts w:ascii="Times New Roman" w:hAnsi="Times New Roman" w:cs="Times New Roman"/>
          <w:sz w:val="20"/>
          <w:szCs w:val="20"/>
        </w:rPr>
        <w:instrText xml:space="preserve"> ADDIN ZOTERO_ITEM CSL_CITATION {"citationID":"4cSohGC5","properties":{"formattedCitation":"{\\rtf (D\\uc0\\u246{}ring and Manow 2016)}","plainCitation":"(Döring and Manow 2016)"},"citationItems":[{"id":1231,"uris":["http://zotero.org/users/local/jz89q5UV/items/678STEC5"],"uri":["http://zotero.org/users/local/jz89q5UV/items/678STEC5"],"itemData":{"id":1231,"type":"book","title":"ParlGov Database","abstract":"Parliaments and governments database (ParlGov): Information on parties, elections and cabinets in modern democracies.","URL":"http://www.parlgov.org","author":[{"family":"Döring","given":"Holger"},{"family":"Manow","given":"Philip"}],"issued":{"date-parts":[["2016",6]]}}}],"schema":"https://github.com/citation-style-language/schema/raw/master/csl-citation.json"} </w:instrText>
      </w:r>
      <w:r w:rsidRPr="00B03BE7">
        <w:rPr>
          <w:rFonts w:ascii="Times New Roman" w:hAnsi="Times New Roman" w:cs="Times New Roman"/>
          <w:sz w:val="20"/>
          <w:szCs w:val="20"/>
        </w:rPr>
        <w:fldChar w:fldCharType="separate"/>
      </w:r>
      <w:r w:rsidRPr="00B03BE7">
        <w:rPr>
          <w:rFonts w:ascii="Times New Roman" w:eastAsia="Times New Roman" w:hAnsi="Times New Roman" w:cs="Times New Roman"/>
          <w:sz w:val="20"/>
          <w:szCs w:val="20"/>
        </w:rPr>
        <w:t>(Döring and Manow 2016)</w:t>
      </w:r>
      <w:r w:rsidRPr="00B03BE7">
        <w:rPr>
          <w:rFonts w:ascii="Times New Roman" w:hAnsi="Times New Roman" w:cs="Times New Roman"/>
          <w:sz w:val="20"/>
          <w:szCs w:val="20"/>
        </w:rPr>
        <w:fldChar w:fldCharType="end"/>
      </w:r>
      <w:r w:rsidRPr="00B03BE7">
        <w:rPr>
          <w:rFonts w:ascii="Times New Roman" w:hAnsi="Times New Roman" w:cs="Times New Roman"/>
          <w:sz w:val="20"/>
          <w:szCs w:val="20"/>
        </w:rPr>
        <w:t xml:space="preserve"> (accessed January 23, 2017).</w:t>
      </w:r>
    </w:p>
  </w:endnote>
  <w:endnote w:id="22">
    <w:p w14:paraId="68BFD630" w14:textId="71336119" w:rsidR="00C363D3" w:rsidRDefault="00C363D3" w:rsidP="003905EA">
      <w:pPr>
        <w:pStyle w:val="EndnoteText"/>
        <w:rPr>
          <w:rFonts w:ascii="Times New Roman" w:hAnsi="Times New Roman" w:cs="Times New Roman"/>
          <w:sz w:val="20"/>
          <w:szCs w:val="20"/>
        </w:rPr>
      </w:pPr>
      <w:r w:rsidRPr="00B03BE7">
        <w:rPr>
          <w:rStyle w:val="EndnoteReference"/>
          <w:rFonts w:ascii="Times New Roman" w:hAnsi="Times New Roman" w:cs="Times New Roman"/>
          <w:sz w:val="20"/>
          <w:szCs w:val="20"/>
        </w:rPr>
        <w:endnoteRef/>
      </w:r>
      <w:r w:rsidRPr="00B03BE7">
        <w:rPr>
          <w:rFonts w:ascii="Times New Roman" w:hAnsi="Times New Roman" w:cs="Times New Roman"/>
          <w:sz w:val="20"/>
          <w:szCs w:val="20"/>
        </w:rPr>
        <w:t xml:space="preserve"> A country is categorized as Catholic if 70% or more of the population reports as Catholic according to the World Factbook, following the practice </w:t>
      </w:r>
      <w:r w:rsidRPr="00B03BE7">
        <w:rPr>
          <w:rFonts w:ascii="Times New Roman" w:hAnsi="Times New Roman" w:cs="Times New Roman"/>
          <w:sz w:val="20"/>
          <w:szCs w:val="20"/>
        </w:rPr>
        <w:fldChar w:fldCharType="begin"/>
      </w:r>
      <w:r w:rsidRPr="00B03BE7">
        <w:rPr>
          <w:rFonts w:ascii="Times New Roman" w:hAnsi="Times New Roman" w:cs="Times New Roman"/>
          <w:sz w:val="20"/>
          <w:szCs w:val="20"/>
        </w:rPr>
        <w:instrText xml:space="preserve"> ADDIN ZOTERO_ITEM CSL_CITATION {"citationID":"MuJpL7rD","properties":{"formattedCitation":"(Andersen and Fetner 2008)","plainCitation":"(Andersen and Fetner 2008)"},"citationItems":[{"id":15,"uris":["http://zotero.org/users/local/jz89q5UV/items/JB3293T3"],"uri":["http://zotero.org/users/local/jz89q5UV/items/JB3293T3"],"itemData":{"id":15,"type":"article-journal","title":"Economic inequality and intolerance: attitudes toward homosexuality in 35 democracies","container-title":"American Journal of Political Science","page":"942–958","volume":"52","issue":"4","source":"Google Scholar","shortTitle":"Economic inequality and intolerance","author":[{"family":"Andersen","given":"Robert"},{"family":"Fetner","given":"Tina"}],"issued":{"date-parts":[["2008"]]}}}],"schema":"https://github.com/citation-style-language/schema/raw/master/csl-citation.json"} </w:instrText>
      </w:r>
      <w:r w:rsidRPr="00B03BE7">
        <w:rPr>
          <w:rFonts w:ascii="Times New Roman" w:hAnsi="Times New Roman" w:cs="Times New Roman"/>
          <w:sz w:val="20"/>
          <w:szCs w:val="20"/>
        </w:rPr>
        <w:fldChar w:fldCharType="separate"/>
      </w:r>
      <w:r w:rsidRPr="00B03BE7">
        <w:rPr>
          <w:rFonts w:ascii="Times New Roman" w:eastAsia="Times New Roman" w:hAnsi="Times New Roman" w:cs="Times New Roman"/>
          <w:sz w:val="20"/>
          <w:szCs w:val="20"/>
        </w:rPr>
        <w:t>(Andersen and Fetner 2008)</w:t>
      </w:r>
      <w:r w:rsidRPr="00B03BE7">
        <w:rPr>
          <w:rFonts w:ascii="Times New Roman" w:hAnsi="Times New Roman" w:cs="Times New Roman"/>
          <w:sz w:val="20"/>
          <w:szCs w:val="20"/>
        </w:rPr>
        <w:fldChar w:fldCharType="end"/>
      </w:r>
      <w:r>
        <w:rPr>
          <w:rFonts w:ascii="Times New Roman" w:hAnsi="Times New Roman" w:cs="Times New Roman"/>
          <w:sz w:val="20"/>
          <w:szCs w:val="20"/>
        </w:rPr>
        <w:t>.</w:t>
      </w:r>
    </w:p>
    <w:p w14:paraId="20F1FC83" w14:textId="77777777" w:rsidR="00C363D3" w:rsidRDefault="00C363D3" w:rsidP="003905EA">
      <w:pPr>
        <w:pStyle w:val="EndnoteText"/>
        <w:rPr>
          <w:rFonts w:ascii="Times New Roman" w:hAnsi="Times New Roman" w:cs="Times New Roman"/>
          <w:sz w:val="20"/>
          <w:szCs w:val="20"/>
        </w:rPr>
      </w:pPr>
    </w:p>
    <w:p w14:paraId="7E70E2EF" w14:textId="77777777" w:rsidR="00C363D3" w:rsidRDefault="00C363D3" w:rsidP="003905EA">
      <w:pPr>
        <w:pStyle w:val="EndnoteText"/>
        <w:rPr>
          <w:rFonts w:ascii="Times New Roman" w:hAnsi="Times New Roman" w:cs="Times New Roman"/>
          <w:sz w:val="20"/>
          <w:szCs w:val="20"/>
        </w:rPr>
      </w:pPr>
    </w:p>
    <w:p w14:paraId="4BBEF79D" w14:textId="77777777" w:rsidR="00C363D3" w:rsidRPr="00F13166" w:rsidRDefault="00C363D3" w:rsidP="003905EA">
      <w:pPr>
        <w:pStyle w:val="EndnoteText"/>
        <w:rPr>
          <w:rFonts w:ascii="Times New Roman" w:hAnsi="Times New Roman" w:cs="Times New Roman"/>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AD320" w14:textId="77777777" w:rsidR="00C363D3" w:rsidRDefault="00C363D3" w:rsidP="00207A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52273A" w14:textId="77777777" w:rsidR="00C363D3" w:rsidRDefault="00C363D3" w:rsidP="00A779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DDA6" w14:textId="77777777" w:rsidR="00C363D3" w:rsidRDefault="00C363D3" w:rsidP="00207A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196A">
      <w:rPr>
        <w:rStyle w:val="PageNumber"/>
        <w:noProof/>
      </w:rPr>
      <w:t>1</w:t>
    </w:r>
    <w:r>
      <w:rPr>
        <w:rStyle w:val="PageNumber"/>
      </w:rPr>
      <w:fldChar w:fldCharType="end"/>
    </w:r>
  </w:p>
  <w:p w14:paraId="0072FD27" w14:textId="77777777" w:rsidR="00C363D3" w:rsidRDefault="00C363D3" w:rsidP="00A779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7D43D" w14:textId="77777777" w:rsidR="00EF6FF5" w:rsidRDefault="00EF6FF5" w:rsidP="008A1E28">
      <w:r>
        <w:separator/>
      </w:r>
    </w:p>
  </w:footnote>
  <w:footnote w:type="continuationSeparator" w:id="0">
    <w:p w14:paraId="718FDEBD" w14:textId="77777777" w:rsidR="00EF6FF5" w:rsidRDefault="00EF6FF5" w:rsidP="008A1E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9D4"/>
    <w:multiLevelType w:val="hybridMultilevel"/>
    <w:tmpl w:val="CCC2E8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A17CFF"/>
    <w:multiLevelType w:val="hybridMultilevel"/>
    <w:tmpl w:val="3C12D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8A65D7"/>
    <w:multiLevelType w:val="hybridMultilevel"/>
    <w:tmpl w:val="7AE8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52D3C"/>
    <w:multiLevelType w:val="hybridMultilevel"/>
    <w:tmpl w:val="333CDFA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548079F"/>
    <w:multiLevelType w:val="hybridMultilevel"/>
    <w:tmpl w:val="0A3E406A"/>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5">
    <w:nsid w:val="262E6445"/>
    <w:multiLevelType w:val="hybridMultilevel"/>
    <w:tmpl w:val="1016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915BC7"/>
    <w:multiLevelType w:val="hybridMultilevel"/>
    <w:tmpl w:val="874273B2"/>
    <w:lvl w:ilvl="0" w:tplc="88A83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C1260"/>
    <w:multiLevelType w:val="hybridMultilevel"/>
    <w:tmpl w:val="4000A0C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7184308"/>
    <w:multiLevelType w:val="hybridMultilevel"/>
    <w:tmpl w:val="3DAEB0BE"/>
    <w:lvl w:ilvl="0" w:tplc="905217D8">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5C753A"/>
    <w:multiLevelType w:val="hybridMultilevel"/>
    <w:tmpl w:val="5502A5F2"/>
    <w:lvl w:ilvl="0" w:tplc="968631C2">
      <w:start w:val="2"/>
      <w:numFmt w:val="decimal"/>
      <w:lvlText w:val="%1o"/>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747F0"/>
    <w:multiLevelType w:val="hybridMultilevel"/>
    <w:tmpl w:val="05B8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E0FF7"/>
    <w:multiLevelType w:val="hybridMultilevel"/>
    <w:tmpl w:val="4D680432"/>
    <w:lvl w:ilvl="0" w:tplc="7BC0E5D2">
      <w:start w:val="3"/>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D64801"/>
    <w:multiLevelType w:val="hybridMultilevel"/>
    <w:tmpl w:val="F7C61F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E5B59"/>
    <w:multiLevelType w:val="hybridMultilevel"/>
    <w:tmpl w:val="13D2AD8E"/>
    <w:lvl w:ilvl="0" w:tplc="246ED6A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83793"/>
    <w:multiLevelType w:val="hybridMultilevel"/>
    <w:tmpl w:val="604E0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EC06955"/>
    <w:multiLevelType w:val="hybridMultilevel"/>
    <w:tmpl w:val="13D2AD8E"/>
    <w:lvl w:ilvl="0" w:tplc="246ED6A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
  </w:num>
  <w:num w:numId="4">
    <w:abstractNumId w:val="10"/>
  </w:num>
  <w:num w:numId="5">
    <w:abstractNumId w:val="15"/>
  </w:num>
  <w:num w:numId="6">
    <w:abstractNumId w:val="14"/>
  </w:num>
  <w:num w:numId="7">
    <w:abstractNumId w:val="1"/>
  </w:num>
  <w:num w:numId="8">
    <w:abstractNumId w:val="11"/>
  </w:num>
  <w:num w:numId="9">
    <w:abstractNumId w:val="7"/>
  </w:num>
  <w:num w:numId="10">
    <w:abstractNumId w:val="3"/>
  </w:num>
  <w:num w:numId="11">
    <w:abstractNumId w:val="5"/>
  </w:num>
  <w:num w:numId="12">
    <w:abstractNumId w:val="13"/>
  </w:num>
  <w:num w:numId="13">
    <w:abstractNumId w:val="0"/>
  </w:num>
  <w:num w:numId="14">
    <w:abstractNumId w:val="9"/>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en-US" w:vendorID="64" w:dllVersion="0" w:nlCheck="1" w:checkStyle="0"/>
  <w:activeWritingStyle w:appName="MSWord" w:lang="en-US" w:vendorID="64" w:dllVersion="6" w:nlCheck="1" w:checkStyle="1"/>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6C"/>
    <w:rsid w:val="000000AA"/>
    <w:rsid w:val="00001767"/>
    <w:rsid w:val="000024FA"/>
    <w:rsid w:val="00002644"/>
    <w:rsid w:val="00003F14"/>
    <w:rsid w:val="00004AD0"/>
    <w:rsid w:val="000063B4"/>
    <w:rsid w:val="00006775"/>
    <w:rsid w:val="00007885"/>
    <w:rsid w:val="00010863"/>
    <w:rsid w:val="000118BB"/>
    <w:rsid w:val="00013618"/>
    <w:rsid w:val="000137A1"/>
    <w:rsid w:val="00013F2D"/>
    <w:rsid w:val="00014160"/>
    <w:rsid w:val="00015273"/>
    <w:rsid w:val="000154C8"/>
    <w:rsid w:val="000159CE"/>
    <w:rsid w:val="00016A27"/>
    <w:rsid w:val="00017963"/>
    <w:rsid w:val="00017A37"/>
    <w:rsid w:val="000220A5"/>
    <w:rsid w:val="00024C0C"/>
    <w:rsid w:val="00025758"/>
    <w:rsid w:val="00026DC9"/>
    <w:rsid w:val="00027523"/>
    <w:rsid w:val="00031E83"/>
    <w:rsid w:val="00031F9A"/>
    <w:rsid w:val="0003224D"/>
    <w:rsid w:val="00033945"/>
    <w:rsid w:val="00034A6C"/>
    <w:rsid w:val="00035034"/>
    <w:rsid w:val="00037818"/>
    <w:rsid w:val="00040512"/>
    <w:rsid w:val="00041316"/>
    <w:rsid w:val="00041A42"/>
    <w:rsid w:val="00042CE3"/>
    <w:rsid w:val="0004354C"/>
    <w:rsid w:val="000440AD"/>
    <w:rsid w:val="00044C1A"/>
    <w:rsid w:val="00044C45"/>
    <w:rsid w:val="000451DA"/>
    <w:rsid w:val="00045657"/>
    <w:rsid w:val="00045A09"/>
    <w:rsid w:val="00045D02"/>
    <w:rsid w:val="0004636D"/>
    <w:rsid w:val="000464A3"/>
    <w:rsid w:val="00047EC0"/>
    <w:rsid w:val="000511A6"/>
    <w:rsid w:val="000528E9"/>
    <w:rsid w:val="00052A25"/>
    <w:rsid w:val="00052F94"/>
    <w:rsid w:val="00053023"/>
    <w:rsid w:val="00053268"/>
    <w:rsid w:val="00054EDE"/>
    <w:rsid w:val="00054F6E"/>
    <w:rsid w:val="00055697"/>
    <w:rsid w:val="000559EA"/>
    <w:rsid w:val="00057382"/>
    <w:rsid w:val="00060541"/>
    <w:rsid w:val="00061D82"/>
    <w:rsid w:val="00063767"/>
    <w:rsid w:val="00064BD7"/>
    <w:rsid w:val="00064C9F"/>
    <w:rsid w:val="00064DB4"/>
    <w:rsid w:val="00065AE4"/>
    <w:rsid w:val="000678D1"/>
    <w:rsid w:val="0007056C"/>
    <w:rsid w:val="0007087F"/>
    <w:rsid w:val="0007106B"/>
    <w:rsid w:val="00071438"/>
    <w:rsid w:val="0007298D"/>
    <w:rsid w:val="00073A83"/>
    <w:rsid w:val="0007593E"/>
    <w:rsid w:val="000779E6"/>
    <w:rsid w:val="0008130C"/>
    <w:rsid w:val="00082786"/>
    <w:rsid w:val="00082C84"/>
    <w:rsid w:val="000833A7"/>
    <w:rsid w:val="00085BCD"/>
    <w:rsid w:val="0008616A"/>
    <w:rsid w:val="00090B8A"/>
    <w:rsid w:val="00091566"/>
    <w:rsid w:val="0009207B"/>
    <w:rsid w:val="000942C9"/>
    <w:rsid w:val="000955A0"/>
    <w:rsid w:val="000A048F"/>
    <w:rsid w:val="000A2503"/>
    <w:rsid w:val="000A3444"/>
    <w:rsid w:val="000A607F"/>
    <w:rsid w:val="000A6F31"/>
    <w:rsid w:val="000A7469"/>
    <w:rsid w:val="000A7D18"/>
    <w:rsid w:val="000A7F0D"/>
    <w:rsid w:val="000B0371"/>
    <w:rsid w:val="000B276F"/>
    <w:rsid w:val="000B3A52"/>
    <w:rsid w:val="000B52E1"/>
    <w:rsid w:val="000B6243"/>
    <w:rsid w:val="000C06D8"/>
    <w:rsid w:val="000C33BA"/>
    <w:rsid w:val="000C35A5"/>
    <w:rsid w:val="000C5024"/>
    <w:rsid w:val="000C5429"/>
    <w:rsid w:val="000C6D06"/>
    <w:rsid w:val="000C6DA0"/>
    <w:rsid w:val="000D03AB"/>
    <w:rsid w:val="000D3182"/>
    <w:rsid w:val="000D321B"/>
    <w:rsid w:val="000D342B"/>
    <w:rsid w:val="000D4A87"/>
    <w:rsid w:val="000D4B05"/>
    <w:rsid w:val="000D580D"/>
    <w:rsid w:val="000D6797"/>
    <w:rsid w:val="000E0635"/>
    <w:rsid w:val="000E14FA"/>
    <w:rsid w:val="000E1C7B"/>
    <w:rsid w:val="000E2B2A"/>
    <w:rsid w:val="000E52B5"/>
    <w:rsid w:val="000E5810"/>
    <w:rsid w:val="000E5829"/>
    <w:rsid w:val="000E657E"/>
    <w:rsid w:val="000E72C5"/>
    <w:rsid w:val="000E7E9B"/>
    <w:rsid w:val="000F0D29"/>
    <w:rsid w:val="000F1255"/>
    <w:rsid w:val="000F15FF"/>
    <w:rsid w:val="000F2D2B"/>
    <w:rsid w:val="000F4C7C"/>
    <w:rsid w:val="000F4E21"/>
    <w:rsid w:val="000F4F30"/>
    <w:rsid w:val="000F537A"/>
    <w:rsid w:val="000F5D82"/>
    <w:rsid w:val="000F602E"/>
    <w:rsid w:val="000F6DFD"/>
    <w:rsid w:val="000F7198"/>
    <w:rsid w:val="000F7344"/>
    <w:rsid w:val="000F7D7B"/>
    <w:rsid w:val="00100852"/>
    <w:rsid w:val="00101270"/>
    <w:rsid w:val="00101306"/>
    <w:rsid w:val="00101F58"/>
    <w:rsid w:val="00103FE2"/>
    <w:rsid w:val="0010654B"/>
    <w:rsid w:val="00106CA6"/>
    <w:rsid w:val="001070D0"/>
    <w:rsid w:val="001100FF"/>
    <w:rsid w:val="00110590"/>
    <w:rsid w:val="00110A05"/>
    <w:rsid w:val="001114EE"/>
    <w:rsid w:val="001126A9"/>
    <w:rsid w:val="0011285A"/>
    <w:rsid w:val="00112AAD"/>
    <w:rsid w:val="00113057"/>
    <w:rsid w:val="0011436E"/>
    <w:rsid w:val="00114672"/>
    <w:rsid w:val="00114F07"/>
    <w:rsid w:val="00115543"/>
    <w:rsid w:val="00116F75"/>
    <w:rsid w:val="001203A4"/>
    <w:rsid w:val="00120A50"/>
    <w:rsid w:val="00122B85"/>
    <w:rsid w:val="001236BF"/>
    <w:rsid w:val="001244BD"/>
    <w:rsid w:val="00124E15"/>
    <w:rsid w:val="00125C71"/>
    <w:rsid w:val="00125D5F"/>
    <w:rsid w:val="001264F7"/>
    <w:rsid w:val="0012737E"/>
    <w:rsid w:val="00130AC0"/>
    <w:rsid w:val="00131017"/>
    <w:rsid w:val="00131EAF"/>
    <w:rsid w:val="00132613"/>
    <w:rsid w:val="001333AB"/>
    <w:rsid w:val="00135BD0"/>
    <w:rsid w:val="001400D1"/>
    <w:rsid w:val="00141A8B"/>
    <w:rsid w:val="00147896"/>
    <w:rsid w:val="001502FA"/>
    <w:rsid w:val="00150530"/>
    <w:rsid w:val="00153326"/>
    <w:rsid w:val="00153A2D"/>
    <w:rsid w:val="001545B2"/>
    <w:rsid w:val="001546DB"/>
    <w:rsid w:val="00155F13"/>
    <w:rsid w:val="00161830"/>
    <w:rsid w:val="001618C5"/>
    <w:rsid w:val="00161BD9"/>
    <w:rsid w:val="0016292F"/>
    <w:rsid w:val="001629A1"/>
    <w:rsid w:val="00162F5E"/>
    <w:rsid w:val="001637D8"/>
    <w:rsid w:val="00165313"/>
    <w:rsid w:val="00170F9F"/>
    <w:rsid w:val="00171772"/>
    <w:rsid w:val="001726F2"/>
    <w:rsid w:val="00172C69"/>
    <w:rsid w:val="0017332F"/>
    <w:rsid w:val="00173334"/>
    <w:rsid w:val="001734A6"/>
    <w:rsid w:val="00173EE7"/>
    <w:rsid w:val="00174DE7"/>
    <w:rsid w:val="0017676E"/>
    <w:rsid w:val="00177304"/>
    <w:rsid w:val="001825BD"/>
    <w:rsid w:val="001827AD"/>
    <w:rsid w:val="00184E3F"/>
    <w:rsid w:val="00185FBB"/>
    <w:rsid w:val="00187DC6"/>
    <w:rsid w:val="001904AC"/>
    <w:rsid w:val="00190962"/>
    <w:rsid w:val="00191512"/>
    <w:rsid w:val="001921CC"/>
    <w:rsid w:val="00192DC1"/>
    <w:rsid w:val="0019424B"/>
    <w:rsid w:val="00194E09"/>
    <w:rsid w:val="00195983"/>
    <w:rsid w:val="0019714C"/>
    <w:rsid w:val="001A2B2C"/>
    <w:rsid w:val="001A35C6"/>
    <w:rsid w:val="001A3B59"/>
    <w:rsid w:val="001A3C50"/>
    <w:rsid w:val="001A4B70"/>
    <w:rsid w:val="001A523B"/>
    <w:rsid w:val="001A578B"/>
    <w:rsid w:val="001A61A4"/>
    <w:rsid w:val="001A62FD"/>
    <w:rsid w:val="001A75E4"/>
    <w:rsid w:val="001B00A7"/>
    <w:rsid w:val="001B18B8"/>
    <w:rsid w:val="001B1E93"/>
    <w:rsid w:val="001B2151"/>
    <w:rsid w:val="001B2D0D"/>
    <w:rsid w:val="001B6CBC"/>
    <w:rsid w:val="001C101D"/>
    <w:rsid w:val="001C38D0"/>
    <w:rsid w:val="001C4B5E"/>
    <w:rsid w:val="001C5606"/>
    <w:rsid w:val="001C5BBF"/>
    <w:rsid w:val="001C6E02"/>
    <w:rsid w:val="001D1C2E"/>
    <w:rsid w:val="001D2F42"/>
    <w:rsid w:val="001D35CB"/>
    <w:rsid w:val="001D37D7"/>
    <w:rsid w:val="001D4A05"/>
    <w:rsid w:val="001D51CC"/>
    <w:rsid w:val="001D5D00"/>
    <w:rsid w:val="001D6951"/>
    <w:rsid w:val="001D7038"/>
    <w:rsid w:val="001D72BF"/>
    <w:rsid w:val="001E35AD"/>
    <w:rsid w:val="001E3B34"/>
    <w:rsid w:val="001E4986"/>
    <w:rsid w:val="001E4FD3"/>
    <w:rsid w:val="001E5B7E"/>
    <w:rsid w:val="001E61E4"/>
    <w:rsid w:val="001E7EF6"/>
    <w:rsid w:val="001F1475"/>
    <w:rsid w:val="001F19BF"/>
    <w:rsid w:val="001F27C5"/>
    <w:rsid w:val="001F2BB6"/>
    <w:rsid w:val="001F33B8"/>
    <w:rsid w:val="001F38D3"/>
    <w:rsid w:val="001F38F3"/>
    <w:rsid w:val="001F3D94"/>
    <w:rsid w:val="001F3E5C"/>
    <w:rsid w:val="001F5249"/>
    <w:rsid w:val="001F5B3F"/>
    <w:rsid w:val="001F5BE2"/>
    <w:rsid w:val="001F688A"/>
    <w:rsid w:val="00200ED7"/>
    <w:rsid w:val="0020105C"/>
    <w:rsid w:val="00201BF3"/>
    <w:rsid w:val="00201E2A"/>
    <w:rsid w:val="002023AD"/>
    <w:rsid w:val="002031B3"/>
    <w:rsid w:val="00203BB7"/>
    <w:rsid w:val="002040BE"/>
    <w:rsid w:val="002043AE"/>
    <w:rsid w:val="00204FF9"/>
    <w:rsid w:val="00206BF4"/>
    <w:rsid w:val="0020776E"/>
    <w:rsid w:val="00207ADF"/>
    <w:rsid w:val="00207E93"/>
    <w:rsid w:val="00211385"/>
    <w:rsid w:val="002124BD"/>
    <w:rsid w:val="002138DE"/>
    <w:rsid w:val="00213D47"/>
    <w:rsid w:val="00217562"/>
    <w:rsid w:val="00221ED6"/>
    <w:rsid w:val="002234AE"/>
    <w:rsid w:val="00223984"/>
    <w:rsid w:val="00224400"/>
    <w:rsid w:val="0022504D"/>
    <w:rsid w:val="002253C9"/>
    <w:rsid w:val="002324FD"/>
    <w:rsid w:val="002325A2"/>
    <w:rsid w:val="002326E9"/>
    <w:rsid w:val="002340BF"/>
    <w:rsid w:val="00234AC8"/>
    <w:rsid w:val="00235337"/>
    <w:rsid w:val="00235368"/>
    <w:rsid w:val="00235EB9"/>
    <w:rsid w:val="00235FA7"/>
    <w:rsid w:val="002374EE"/>
    <w:rsid w:val="00237CD9"/>
    <w:rsid w:val="00241FF8"/>
    <w:rsid w:val="00242BF9"/>
    <w:rsid w:val="00243DB0"/>
    <w:rsid w:val="00244D6A"/>
    <w:rsid w:val="00244FA0"/>
    <w:rsid w:val="002452CF"/>
    <w:rsid w:val="002452EF"/>
    <w:rsid w:val="002471F5"/>
    <w:rsid w:val="00247841"/>
    <w:rsid w:val="00251E67"/>
    <w:rsid w:val="00251E89"/>
    <w:rsid w:val="00252C19"/>
    <w:rsid w:val="00252F8E"/>
    <w:rsid w:val="00255657"/>
    <w:rsid w:val="00255A24"/>
    <w:rsid w:val="00257B58"/>
    <w:rsid w:val="00257EEE"/>
    <w:rsid w:val="00262289"/>
    <w:rsid w:val="0026307E"/>
    <w:rsid w:val="0026655B"/>
    <w:rsid w:val="002678BD"/>
    <w:rsid w:val="00267B93"/>
    <w:rsid w:val="0027073E"/>
    <w:rsid w:val="00270E27"/>
    <w:rsid w:val="00272D65"/>
    <w:rsid w:val="00274E49"/>
    <w:rsid w:val="002771D6"/>
    <w:rsid w:val="0028212C"/>
    <w:rsid w:val="002831F2"/>
    <w:rsid w:val="00284309"/>
    <w:rsid w:val="00285DA8"/>
    <w:rsid w:val="0028606B"/>
    <w:rsid w:val="00286D30"/>
    <w:rsid w:val="00287D1B"/>
    <w:rsid w:val="00291005"/>
    <w:rsid w:val="0029102D"/>
    <w:rsid w:val="00292416"/>
    <w:rsid w:val="00292845"/>
    <w:rsid w:val="00292BD2"/>
    <w:rsid w:val="00294343"/>
    <w:rsid w:val="0029513D"/>
    <w:rsid w:val="00296AAB"/>
    <w:rsid w:val="00296B3F"/>
    <w:rsid w:val="00297F11"/>
    <w:rsid w:val="002A02BE"/>
    <w:rsid w:val="002A0B2F"/>
    <w:rsid w:val="002A0EDF"/>
    <w:rsid w:val="002A1472"/>
    <w:rsid w:val="002A1530"/>
    <w:rsid w:val="002A16D5"/>
    <w:rsid w:val="002A2269"/>
    <w:rsid w:val="002A2E5A"/>
    <w:rsid w:val="002A3A47"/>
    <w:rsid w:val="002A3A89"/>
    <w:rsid w:val="002A3BCF"/>
    <w:rsid w:val="002A3E84"/>
    <w:rsid w:val="002A484F"/>
    <w:rsid w:val="002A6BC1"/>
    <w:rsid w:val="002A771C"/>
    <w:rsid w:val="002A7F8E"/>
    <w:rsid w:val="002B10DF"/>
    <w:rsid w:val="002B1658"/>
    <w:rsid w:val="002B1DA4"/>
    <w:rsid w:val="002B1FAF"/>
    <w:rsid w:val="002B28E8"/>
    <w:rsid w:val="002B2926"/>
    <w:rsid w:val="002B3191"/>
    <w:rsid w:val="002B46D9"/>
    <w:rsid w:val="002B5162"/>
    <w:rsid w:val="002B58F0"/>
    <w:rsid w:val="002B596B"/>
    <w:rsid w:val="002B6266"/>
    <w:rsid w:val="002B7624"/>
    <w:rsid w:val="002C11B8"/>
    <w:rsid w:val="002C1C3E"/>
    <w:rsid w:val="002C1EA0"/>
    <w:rsid w:val="002C2C57"/>
    <w:rsid w:val="002C3453"/>
    <w:rsid w:val="002C45C1"/>
    <w:rsid w:val="002C4A7D"/>
    <w:rsid w:val="002C4FA8"/>
    <w:rsid w:val="002C52F8"/>
    <w:rsid w:val="002C6D8D"/>
    <w:rsid w:val="002C7495"/>
    <w:rsid w:val="002C780D"/>
    <w:rsid w:val="002C7899"/>
    <w:rsid w:val="002D0EC5"/>
    <w:rsid w:val="002D1E8D"/>
    <w:rsid w:val="002D2333"/>
    <w:rsid w:val="002D465A"/>
    <w:rsid w:val="002D4D4C"/>
    <w:rsid w:val="002D7044"/>
    <w:rsid w:val="002D755C"/>
    <w:rsid w:val="002E0972"/>
    <w:rsid w:val="002E0A9D"/>
    <w:rsid w:val="002E0F5F"/>
    <w:rsid w:val="002E3E38"/>
    <w:rsid w:val="002E53C7"/>
    <w:rsid w:val="002E599D"/>
    <w:rsid w:val="002E66AC"/>
    <w:rsid w:val="002E7E05"/>
    <w:rsid w:val="002F0004"/>
    <w:rsid w:val="002F0193"/>
    <w:rsid w:val="002F10BD"/>
    <w:rsid w:val="002F24BF"/>
    <w:rsid w:val="002F3C50"/>
    <w:rsid w:val="002F4598"/>
    <w:rsid w:val="002F6727"/>
    <w:rsid w:val="002F6997"/>
    <w:rsid w:val="002F6D54"/>
    <w:rsid w:val="002F7E1F"/>
    <w:rsid w:val="003034AA"/>
    <w:rsid w:val="00303827"/>
    <w:rsid w:val="00306220"/>
    <w:rsid w:val="003064CA"/>
    <w:rsid w:val="00307845"/>
    <w:rsid w:val="00307B0E"/>
    <w:rsid w:val="003102E1"/>
    <w:rsid w:val="00310B3B"/>
    <w:rsid w:val="003112DA"/>
    <w:rsid w:val="0031209C"/>
    <w:rsid w:val="003124F3"/>
    <w:rsid w:val="00312F1D"/>
    <w:rsid w:val="003148A5"/>
    <w:rsid w:val="00315ACB"/>
    <w:rsid w:val="00316AE7"/>
    <w:rsid w:val="00316E6A"/>
    <w:rsid w:val="00317759"/>
    <w:rsid w:val="00321113"/>
    <w:rsid w:val="00321873"/>
    <w:rsid w:val="00323428"/>
    <w:rsid w:val="003241B5"/>
    <w:rsid w:val="00324742"/>
    <w:rsid w:val="0032476A"/>
    <w:rsid w:val="00325055"/>
    <w:rsid w:val="00325939"/>
    <w:rsid w:val="00325D77"/>
    <w:rsid w:val="00326475"/>
    <w:rsid w:val="0032661E"/>
    <w:rsid w:val="00326A02"/>
    <w:rsid w:val="00326B4D"/>
    <w:rsid w:val="003278D7"/>
    <w:rsid w:val="003312A8"/>
    <w:rsid w:val="003333E3"/>
    <w:rsid w:val="00333A66"/>
    <w:rsid w:val="00333D48"/>
    <w:rsid w:val="003340A3"/>
    <w:rsid w:val="00334478"/>
    <w:rsid w:val="00334602"/>
    <w:rsid w:val="00334A87"/>
    <w:rsid w:val="0033532B"/>
    <w:rsid w:val="003355DC"/>
    <w:rsid w:val="00335820"/>
    <w:rsid w:val="00337793"/>
    <w:rsid w:val="00341FD7"/>
    <w:rsid w:val="00342F17"/>
    <w:rsid w:val="00342F5A"/>
    <w:rsid w:val="003435DD"/>
    <w:rsid w:val="00343945"/>
    <w:rsid w:val="00346263"/>
    <w:rsid w:val="00346E67"/>
    <w:rsid w:val="0034748F"/>
    <w:rsid w:val="00352783"/>
    <w:rsid w:val="003535FB"/>
    <w:rsid w:val="00353A42"/>
    <w:rsid w:val="00354398"/>
    <w:rsid w:val="00354565"/>
    <w:rsid w:val="003547EC"/>
    <w:rsid w:val="003558E0"/>
    <w:rsid w:val="00355C26"/>
    <w:rsid w:val="00356B81"/>
    <w:rsid w:val="00357302"/>
    <w:rsid w:val="00357AC8"/>
    <w:rsid w:val="00357FF9"/>
    <w:rsid w:val="00361445"/>
    <w:rsid w:val="00361DF5"/>
    <w:rsid w:val="00362A66"/>
    <w:rsid w:val="00362E11"/>
    <w:rsid w:val="003636FB"/>
    <w:rsid w:val="0036502A"/>
    <w:rsid w:val="003675B5"/>
    <w:rsid w:val="003707A1"/>
    <w:rsid w:val="0037107F"/>
    <w:rsid w:val="00374328"/>
    <w:rsid w:val="0037577B"/>
    <w:rsid w:val="00375E97"/>
    <w:rsid w:val="0037640F"/>
    <w:rsid w:val="003767DE"/>
    <w:rsid w:val="00376887"/>
    <w:rsid w:val="003778DF"/>
    <w:rsid w:val="003808D1"/>
    <w:rsid w:val="00381A5D"/>
    <w:rsid w:val="0038215B"/>
    <w:rsid w:val="00382F47"/>
    <w:rsid w:val="003843C7"/>
    <w:rsid w:val="00384513"/>
    <w:rsid w:val="00384D18"/>
    <w:rsid w:val="003905EA"/>
    <w:rsid w:val="003916A3"/>
    <w:rsid w:val="003933F4"/>
    <w:rsid w:val="00393869"/>
    <w:rsid w:val="00393C5A"/>
    <w:rsid w:val="00394926"/>
    <w:rsid w:val="003954B4"/>
    <w:rsid w:val="00395E32"/>
    <w:rsid w:val="00396048"/>
    <w:rsid w:val="00397BB9"/>
    <w:rsid w:val="003A153F"/>
    <w:rsid w:val="003A1D51"/>
    <w:rsid w:val="003A5555"/>
    <w:rsid w:val="003A5879"/>
    <w:rsid w:val="003A6113"/>
    <w:rsid w:val="003A6B3F"/>
    <w:rsid w:val="003B078D"/>
    <w:rsid w:val="003B0858"/>
    <w:rsid w:val="003B0949"/>
    <w:rsid w:val="003B199E"/>
    <w:rsid w:val="003B37B4"/>
    <w:rsid w:val="003B480C"/>
    <w:rsid w:val="003B4DCD"/>
    <w:rsid w:val="003B71A8"/>
    <w:rsid w:val="003B7401"/>
    <w:rsid w:val="003C05A1"/>
    <w:rsid w:val="003C2389"/>
    <w:rsid w:val="003C32F7"/>
    <w:rsid w:val="003C4BE8"/>
    <w:rsid w:val="003C4DB6"/>
    <w:rsid w:val="003C551B"/>
    <w:rsid w:val="003C5CB4"/>
    <w:rsid w:val="003C5D2A"/>
    <w:rsid w:val="003C5E93"/>
    <w:rsid w:val="003C6C47"/>
    <w:rsid w:val="003C768D"/>
    <w:rsid w:val="003D250F"/>
    <w:rsid w:val="003D28F7"/>
    <w:rsid w:val="003D5F71"/>
    <w:rsid w:val="003D622F"/>
    <w:rsid w:val="003D718F"/>
    <w:rsid w:val="003D726A"/>
    <w:rsid w:val="003D747C"/>
    <w:rsid w:val="003D7606"/>
    <w:rsid w:val="003E2BCB"/>
    <w:rsid w:val="003E2D7D"/>
    <w:rsid w:val="003E3F6A"/>
    <w:rsid w:val="003E4311"/>
    <w:rsid w:val="003E44FA"/>
    <w:rsid w:val="003E6EC3"/>
    <w:rsid w:val="003E7061"/>
    <w:rsid w:val="003E7472"/>
    <w:rsid w:val="003E7E1A"/>
    <w:rsid w:val="003F0422"/>
    <w:rsid w:val="003F06E4"/>
    <w:rsid w:val="003F1394"/>
    <w:rsid w:val="003F1E99"/>
    <w:rsid w:val="003F3736"/>
    <w:rsid w:val="003F55C5"/>
    <w:rsid w:val="00401255"/>
    <w:rsid w:val="004012F9"/>
    <w:rsid w:val="00402871"/>
    <w:rsid w:val="00403972"/>
    <w:rsid w:val="004039FB"/>
    <w:rsid w:val="00404D28"/>
    <w:rsid w:val="0040518D"/>
    <w:rsid w:val="00405D67"/>
    <w:rsid w:val="0040653C"/>
    <w:rsid w:val="00406D68"/>
    <w:rsid w:val="0040715E"/>
    <w:rsid w:val="004112C6"/>
    <w:rsid w:val="00414827"/>
    <w:rsid w:val="00414945"/>
    <w:rsid w:val="004172A1"/>
    <w:rsid w:val="004176C3"/>
    <w:rsid w:val="004219F1"/>
    <w:rsid w:val="00422516"/>
    <w:rsid w:val="00424B97"/>
    <w:rsid w:val="00425719"/>
    <w:rsid w:val="00426001"/>
    <w:rsid w:val="004262AE"/>
    <w:rsid w:val="0043307D"/>
    <w:rsid w:val="0043419F"/>
    <w:rsid w:val="0043474C"/>
    <w:rsid w:val="00434AF2"/>
    <w:rsid w:val="00440E0D"/>
    <w:rsid w:val="00443370"/>
    <w:rsid w:val="00443DBA"/>
    <w:rsid w:val="00444309"/>
    <w:rsid w:val="004456F3"/>
    <w:rsid w:val="004457EB"/>
    <w:rsid w:val="00445B0F"/>
    <w:rsid w:val="00446C48"/>
    <w:rsid w:val="00446EEE"/>
    <w:rsid w:val="004478A2"/>
    <w:rsid w:val="00450FE5"/>
    <w:rsid w:val="0045103A"/>
    <w:rsid w:val="004514B9"/>
    <w:rsid w:val="00451BA0"/>
    <w:rsid w:val="00451C45"/>
    <w:rsid w:val="0045491E"/>
    <w:rsid w:val="00455C7E"/>
    <w:rsid w:val="004568C0"/>
    <w:rsid w:val="00456A75"/>
    <w:rsid w:val="00457673"/>
    <w:rsid w:val="00460899"/>
    <w:rsid w:val="00462025"/>
    <w:rsid w:val="00464476"/>
    <w:rsid w:val="00464C6D"/>
    <w:rsid w:val="00467592"/>
    <w:rsid w:val="00471429"/>
    <w:rsid w:val="0047236E"/>
    <w:rsid w:val="00472C03"/>
    <w:rsid w:val="00473008"/>
    <w:rsid w:val="00474360"/>
    <w:rsid w:val="00474D06"/>
    <w:rsid w:val="004758D5"/>
    <w:rsid w:val="00475C3A"/>
    <w:rsid w:val="0047624A"/>
    <w:rsid w:val="0047681D"/>
    <w:rsid w:val="004827C1"/>
    <w:rsid w:val="00482A70"/>
    <w:rsid w:val="004833C9"/>
    <w:rsid w:val="00485481"/>
    <w:rsid w:val="00486E43"/>
    <w:rsid w:val="0049154B"/>
    <w:rsid w:val="0049560D"/>
    <w:rsid w:val="004A0AFA"/>
    <w:rsid w:val="004A12CA"/>
    <w:rsid w:val="004A30B1"/>
    <w:rsid w:val="004A4FBE"/>
    <w:rsid w:val="004A5D15"/>
    <w:rsid w:val="004A6945"/>
    <w:rsid w:val="004A738E"/>
    <w:rsid w:val="004A76BF"/>
    <w:rsid w:val="004B052F"/>
    <w:rsid w:val="004B2B7C"/>
    <w:rsid w:val="004B2E28"/>
    <w:rsid w:val="004B2F31"/>
    <w:rsid w:val="004B4B9E"/>
    <w:rsid w:val="004B4FEA"/>
    <w:rsid w:val="004B55B9"/>
    <w:rsid w:val="004B5FE7"/>
    <w:rsid w:val="004B6136"/>
    <w:rsid w:val="004B6E86"/>
    <w:rsid w:val="004B78B5"/>
    <w:rsid w:val="004B7CCF"/>
    <w:rsid w:val="004C2676"/>
    <w:rsid w:val="004C3129"/>
    <w:rsid w:val="004C372C"/>
    <w:rsid w:val="004C46FE"/>
    <w:rsid w:val="004C5034"/>
    <w:rsid w:val="004C54AE"/>
    <w:rsid w:val="004C592C"/>
    <w:rsid w:val="004C733F"/>
    <w:rsid w:val="004D0D97"/>
    <w:rsid w:val="004D2F81"/>
    <w:rsid w:val="004D3905"/>
    <w:rsid w:val="004D4058"/>
    <w:rsid w:val="004D4A4D"/>
    <w:rsid w:val="004D4E88"/>
    <w:rsid w:val="004D4ED5"/>
    <w:rsid w:val="004D4F2A"/>
    <w:rsid w:val="004D5FE8"/>
    <w:rsid w:val="004D6A03"/>
    <w:rsid w:val="004D6ADD"/>
    <w:rsid w:val="004E1D40"/>
    <w:rsid w:val="004E47E6"/>
    <w:rsid w:val="004E6989"/>
    <w:rsid w:val="004F0FB8"/>
    <w:rsid w:val="004F149E"/>
    <w:rsid w:val="004F187F"/>
    <w:rsid w:val="004F209A"/>
    <w:rsid w:val="004F3C14"/>
    <w:rsid w:val="004F5C88"/>
    <w:rsid w:val="004F637A"/>
    <w:rsid w:val="004F6DBF"/>
    <w:rsid w:val="00500683"/>
    <w:rsid w:val="0050155D"/>
    <w:rsid w:val="005025A1"/>
    <w:rsid w:val="00503363"/>
    <w:rsid w:val="0050434F"/>
    <w:rsid w:val="0050472E"/>
    <w:rsid w:val="0050532F"/>
    <w:rsid w:val="00505689"/>
    <w:rsid w:val="005068CB"/>
    <w:rsid w:val="005117B3"/>
    <w:rsid w:val="00511A2B"/>
    <w:rsid w:val="00511F0C"/>
    <w:rsid w:val="0051261F"/>
    <w:rsid w:val="005126F6"/>
    <w:rsid w:val="00512A7F"/>
    <w:rsid w:val="0051315D"/>
    <w:rsid w:val="005156C4"/>
    <w:rsid w:val="00515E11"/>
    <w:rsid w:val="00517016"/>
    <w:rsid w:val="005176AD"/>
    <w:rsid w:val="005221A4"/>
    <w:rsid w:val="00523387"/>
    <w:rsid w:val="005263EC"/>
    <w:rsid w:val="005270CD"/>
    <w:rsid w:val="00527A36"/>
    <w:rsid w:val="005313CB"/>
    <w:rsid w:val="00531495"/>
    <w:rsid w:val="005314CD"/>
    <w:rsid w:val="00532B5C"/>
    <w:rsid w:val="00533137"/>
    <w:rsid w:val="005332F8"/>
    <w:rsid w:val="005342DF"/>
    <w:rsid w:val="005348F2"/>
    <w:rsid w:val="00535593"/>
    <w:rsid w:val="00535958"/>
    <w:rsid w:val="00535BD1"/>
    <w:rsid w:val="00537CF3"/>
    <w:rsid w:val="00541054"/>
    <w:rsid w:val="005412D6"/>
    <w:rsid w:val="005440AB"/>
    <w:rsid w:val="005453AB"/>
    <w:rsid w:val="0054552D"/>
    <w:rsid w:val="00546E63"/>
    <w:rsid w:val="00547873"/>
    <w:rsid w:val="00550341"/>
    <w:rsid w:val="005518A0"/>
    <w:rsid w:val="00551DD9"/>
    <w:rsid w:val="00552A9B"/>
    <w:rsid w:val="00553CD4"/>
    <w:rsid w:val="00553DB6"/>
    <w:rsid w:val="00555AE2"/>
    <w:rsid w:val="00555C5B"/>
    <w:rsid w:val="00560C23"/>
    <w:rsid w:val="00564715"/>
    <w:rsid w:val="005667AD"/>
    <w:rsid w:val="005667DC"/>
    <w:rsid w:val="0057040C"/>
    <w:rsid w:val="005711C2"/>
    <w:rsid w:val="00571E55"/>
    <w:rsid w:val="0057243C"/>
    <w:rsid w:val="00572D3D"/>
    <w:rsid w:val="0057487E"/>
    <w:rsid w:val="00574F13"/>
    <w:rsid w:val="0057553E"/>
    <w:rsid w:val="00576F7B"/>
    <w:rsid w:val="00577E19"/>
    <w:rsid w:val="00582217"/>
    <w:rsid w:val="00582F0C"/>
    <w:rsid w:val="0058411C"/>
    <w:rsid w:val="0058441D"/>
    <w:rsid w:val="005848C9"/>
    <w:rsid w:val="005873CB"/>
    <w:rsid w:val="00592CD0"/>
    <w:rsid w:val="00593B6F"/>
    <w:rsid w:val="005941F2"/>
    <w:rsid w:val="00594617"/>
    <w:rsid w:val="005947F6"/>
    <w:rsid w:val="00594F5A"/>
    <w:rsid w:val="00595D39"/>
    <w:rsid w:val="005A3984"/>
    <w:rsid w:val="005A5606"/>
    <w:rsid w:val="005A7670"/>
    <w:rsid w:val="005B08F2"/>
    <w:rsid w:val="005B0C40"/>
    <w:rsid w:val="005B18BE"/>
    <w:rsid w:val="005B3AC7"/>
    <w:rsid w:val="005B69E2"/>
    <w:rsid w:val="005B73F3"/>
    <w:rsid w:val="005B7CCE"/>
    <w:rsid w:val="005C0796"/>
    <w:rsid w:val="005C1E54"/>
    <w:rsid w:val="005C31E4"/>
    <w:rsid w:val="005C3246"/>
    <w:rsid w:val="005C3FC2"/>
    <w:rsid w:val="005C5794"/>
    <w:rsid w:val="005C6B8C"/>
    <w:rsid w:val="005D3A20"/>
    <w:rsid w:val="005D4301"/>
    <w:rsid w:val="005D49AC"/>
    <w:rsid w:val="005D4C45"/>
    <w:rsid w:val="005D4D46"/>
    <w:rsid w:val="005D5F8B"/>
    <w:rsid w:val="005D7057"/>
    <w:rsid w:val="005D7D72"/>
    <w:rsid w:val="005E034B"/>
    <w:rsid w:val="005E0A89"/>
    <w:rsid w:val="005E28A9"/>
    <w:rsid w:val="005E29AE"/>
    <w:rsid w:val="005E2DBF"/>
    <w:rsid w:val="005E3611"/>
    <w:rsid w:val="005E42E7"/>
    <w:rsid w:val="005E5368"/>
    <w:rsid w:val="005E608F"/>
    <w:rsid w:val="005E66A7"/>
    <w:rsid w:val="005E67EA"/>
    <w:rsid w:val="005E7E3D"/>
    <w:rsid w:val="005E7E53"/>
    <w:rsid w:val="005F1B52"/>
    <w:rsid w:val="005F28DE"/>
    <w:rsid w:val="005F376C"/>
    <w:rsid w:val="005F3778"/>
    <w:rsid w:val="005F4861"/>
    <w:rsid w:val="005F6C5F"/>
    <w:rsid w:val="0060000F"/>
    <w:rsid w:val="00603DB1"/>
    <w:rsid w:val="006041CA"/>
    <w:rsid w:val="006042EE"/>
    <w:rsid w:val="00604A08"/>
    <w:rsid w:val="00604E8F"/>
    <w:rsid w:val="00605300"/>
    <w:rsid w:val="00606E8E"/>
    <w:rsid w:val="00607FD5"/>
    <w:rsid w:val="00610B88"/>
    <w:rsid w:val="00610F25"/>
    <w:rsid w:val="0061129F"/>
    <w:rsid w:val="00611316"/>
    <w:rsid w:val="006117FF"/>
    <w:rsid w:val="00612088"/>
    <w:rsid w:val="00612C1A"/>
    <w:rsid w:val="00613860"/>
    <w:rsid w:val="00613E8E"/>
    <w:rsid w:val="006152C4"/>
    <w:rsid w:val="00622736"/>
    <w:rsid w:val="00622969"/>
    <w:rsid w:val="00622D67"/>
    <w:rsid w:val="00623235"/>
    <w:rsid w:val="00624314"/>
    <w:rsid w:val="0062474D"/>
    <w:rsid w:val="006265B9"/>
    <w:rsid w:val="00627A1F"/>
    <w:rsid w:val="0063067F"/>
    <w:rsid w:val="00630972"/>
    <w:rsid w:val="00631BF3"/>
    <w:rsid w:val="0063268D"/>
    <w:rsid w:val="00632E8A"/>
    <w:rsid w:val="006331D2"/>
    <w:rsid w:val="00633DC7"/>
    <w:rsid w:val="0063406F"/>
    <w:rsid w:val="00634E87"/>
    <w:rsid w:val="00635120"/>
    <w:rsid w:val="006370BD"/>
    <w:rsid w:val="0064198E"/>
    <w:rsid w:val="00643A6B"/>
    <w:rsid w:val="0064561F"/>
    <w:rsid w:val="00645CCA"/>
    <w:rsid w:val="00646162"/>
    <w:rsid w:val="006506DB"/>
    <w:rsid w:val="00650A35"/>
    <w:rsid w:val="006520E3"/>
    <w:rsid w:val="006536A0"/>
    <w:rsid w:val="00655D59"/>
    <w:rsid w:val="00656239"/>
    <w:rsid w:val="00657AE2"/>
    <w:rsid w:val="00660B2E"/>
    <w:rsid w:val="0066177C"/>
    <w:rsid w:val="00662D8B"/>
    <w:rsid w:val="00664448"/>
    <w:rsid w:val="006652A4"/>
    <w:rsid w:val="00667733"/>
    <w:rsid w:val="006707B1"/>
    <w:rsid w:val="00671C9D"/>
    <w:rsid w:val="00671FCF"/>
    <w:rsid w:val="00673944"/>
    <w:rsid w:val="006755DD"/>
    <w:rsid w:val="00675F32"/>
    <w:rsid w:val="00676733"/>
    <w:rsid w:val="00676741"/>
    <w:rsid w:val="00676843"/>
    <w:rsid w:val="00677260"/>
    <w:rsid w:val="0068103E"/>
    <w:rsid w:val="006835D8"/>
    <w:rsid w:val="00683B6D"/>
    <w:rsid w:val="006841B2"/>
    <w:rsid w:val="00684318"/>
    <w:rsid w:val="0068471B"/>
    <w:rsid w:val="006859E0"/>
    <w:rsid w:val="00686402"/>
    <w:rsid w:val="00687CD5"/>
    <w:rsid w:val="00690A47"/>
    <w:rsid w:val="006911D3"/>
    <w:rsid w:val="006959A6"/>
    <w:rsid w:val="0069698D"/>
    <w:rsid w:val="00697910"/>
    <w:rsid w:val="00697FB5"/>
    <w:rsid w:val="006A120B"/>
    <w:rsid w:val="006A13D7"/>
    <w:rsid w:val="006A1A54"/>
    <w:rsid w:val="006A2F38"/>
    <w:rsid w:val="006A3164"/>
    <w:rsid w:val="006A3361"/>
    <w:rsid w:val="006A3A05"/>
    <w:rsid w:val="006A4160"/>
    <w:rsid w:val="006A430E"/>
    <w:rsid w:val="006A5B47"/>
    <w:rsid w:val="006A72A0"/>
    <w:rsid w:val="006A72D3"/>
    <w:rsid w:val="006B1325"/>
    <w:rsid w:val="006B2DC0"/>
    <w:rsid w:val="006B346C"/>
    <w:rsid w:val="006B41F9"/>
    <w:rsid w:val="006B4F9D"/>
    <w:rsid w:val="006B59C1"/>
    <w:rsid w:val="006C045E"/>
    <w:rsid w:val="006C1A6C"/>
    <w:rsid w:val="006C2075"/>
    <w:rsid w:val="006C382C"/>
    <w:rsid w:val="006C41E8"/>
    <w:rsid w:val="006C4CEA"/>
    <w:rsid w:val="006C51FA"/>
    <w:rsid w:val="006C5222"/>
    <w:rsid w:val="006C5803"/>
    <w:rsid w:val="006C5A1D"/>
    <w:rsid w:val="006C6C97"/>
    <w:rsid w:val="006C7786"/>
    <w:rsid w:val="006C7BB0"/>
    <w:rsid w:val="006D0758"/>
    <w:rsid w:val="006D0EBF"/>
    <w:rsid w:val="006D2297"/>
    <w:rsid w:val="006D28AE"/>
    <w:rsid w:val="006D304C"/>
    <w:rsid w:val="006D3CF4"/>
    <w:rsid w:val="006D42B4"/>
    <w:rsid w:val="006D46FC"/>
    <w:rsid w:val="006D4E89"/>
    <w:rsid w:val="006D7AEA"/>
    <w:rsid w:val="006E009F"/>
    <w:rsid w:val="006E04F0"/>
    <w:rsid w:val="006E0D52"/>
    <w:rsid w:val="006E0DBE"/>
    <w:rsid w:val="006E3780"/>
    <w:rsid w:val="006E3B44"/>
    <w:rsid w:val="006E3FFB"/>
    <w:rsid w:val="006E4DC2"/>
    <w:rsid w:val="006E7C61"/>
    <w:rsid w:val="006E7F7A"/>
    <w:rsid w:val="006F063D"/>
    <w:rsid w:val="006F06F1"/>
    <w:rsid w:val="006F0D69"/>
    <w:rsid w:val="006F2A4D"/>
    <w:rsid w:val="006F483D"/>
    <w:rsid w:val="00701A11"/>
    <w:rsid w:val="007026AF"/>
    <w:rsid w:val="00702DFB"/>
    <w:rsid w:val="00702F65"/>
    <w:rsid w:val="0070390A"/>
    <w:rsid w:val="00703E72"/>
    <w:rsid w:val="00704DB7"/>
    <w:rsid w:val="00705D16"/>
    <w:rsid w:val="00706B6C"/>
    <w:rsid w:val="00707635"/>
    <w:rsid w:val="007107A9"/>
    <w:rsid w:val="00712BD0"/>
    <w:rsid w:val="00712E1C"/>
    <w:rsid w:val="007137E6"/>
    <w:rsid w:val="00713BA9"/>
    <w:rsid w:val="00713E92"/>
    <w:rsid w:val="0071420C"/>
    <w:rsid w:val="00714481"/>
    <w:rsid w:val="007172CC"/>
    <w:rsid w:val="00720667"/>
    <w:rsid w:val="00720D73"/>
    <w:rsid w:val="0072102D"/>
    <w:rsid w:val="00721782"/>
    <w:rsid w:val="00721DAB"/>
    <w:rsid w:val="00722B4A"/>
    <w:rsid w:val="00723ABB"/>
    <w:rsid w:val="00724421"/>
    <w:rsid w:val="007248A0"/>
    <w:rsid w:val="00725574"/>
    <w:rsid w:val="00725AAA"/>
    <w:rsid w:val="00726C0D"/>
    <w:rsid w:val="00732134"/>
    <w:rsid w:val="00733369"/>
    <w:rsid w:val="00733A55"/>
    <w:rsid w:val="00733BA0"/>
    <w:rsid w:val="007345D8"/>
    <w:rsid w:val="007360DD"/>
    <w:rsid w:val="0073704D"/>
    <w:rsid w:val="00737B0C"/>
    <w:rsid w:val="0074050B"/>
    <w:rsid w:val="00741CCE"/>
    <w:rsid w:val="00742823"/>
    <w:rsid w:val="007437A7"/>
    <w:rsid w:val="00746048"/>
    <w:rsid w:val="007464AF"/>
    <w:rsid w:val="007468CC"/>
    <w:rsid w:val="007470FE"/>
    <w:rsid w:val="0074768F"/>
    <w:rsid w:val="007508C0"/>
    <w:rsid w:val="0075351B"/>
    <w:rsid w:val="00753F75"/>
    <w:rsid w:val="00755313"/>
    <w:rsid w:val="00755EC6"/>
    <w:rsid w:val="00756CB6"/>
    <w:rsid w:val="00760F25"/>
    <w:rsid w:val="00761121"/>
    <w:rsid w:val="007613A7"/>
    <w:rsid w:val="00761BF8"/>
    <w:rsid w:val="00761D75"/>
    <w:rsid w:val="00761F83"/>
    <w:rsid w:val="007620EE"/>
    <w:rsid w:val="00762147"/>
    <w:rsid w:val="00763185"/>
    <w:rsid w:val="0076431D"/>
    <w:rsid w:val="00765956"/>
    <w:rsid w:val="007704FB"/>
    <w:rsid w:val="00771D31"/>
    <w:rsid w:val="00772154"/>
    <w:rsid w:val="00772F3D"/>
    <w:rsid w:val="00775343"/>
    <w:rsid w:val="00775C50"/>
    <w:rsid w:val="007770DF"/>
    <w:rsid w:val="0077736F"/>
    <w:rsid w:val="007776B1"/>
    <w:rsid w:val="007800B8"/>
    <w:rsid w:val="0078039C"/>
    <w:rsid w:val="007816D3"/>
    <w:rsid w:val="00781A55"/>
    <w:rsid w:val="0078444C"/>
    <w:rsid w:val="0078796C"/>
    <w:rsid w:val="00790722"/>
    <w:rsid w:val="0079077F"/>
    <w:rsid w:val="0079245C"/>
    <w:rsid w:val="00792E59"/>
    <w:rsid w:val="0079635F"/>
    <w:rsid w:val="00796418"/>
    <w:rsid w:val="00796AA2"/>
    <w:rsid w:val="007A13CA"/>
    <w:rsid w:val="007A226B"/>
    <w:rsid w:val="007A23DC"/>
    <w:rsid w:val="007A34E9"/>
    <w:rsid w:val="007A4371"/>
    <w:rsid w:val="007A4BB6"/>
    <w:rsid w:val="007A69D4"/>
    <w:rsid w:val="007B0D57"/>
    <w:rsid w:val="007B0EE7"/>
    <w:rsid w:val="007B1012"/>
    <w:rsid w:val="007B112A"/>
    <w:rsid w:val="007B1ACD"/>
    <w:rsid w:val="007B1EF3"/>
    <w:rsid w:val="007B21C1"/>
    <w:rsid w:val="007B26A7"/>
    <w:rsid w:val="007B4D79"/>
    <w:rsid w:val="007B4F16"/>
    <w:rsid w:val="007B527D"/>
    <w:rsid w:val="007B5680"/>
    <w:rsid w:val="007B6B5A"/>
    <w:rsid w:val="007B774B"/>
    <w:rsid w:val="007C1900"/>
    <w:rsid w:val="007C24BF"/>
    <w:rsid w:val="007C370D"/>
    <w:rsid w:val="007C433E"/>
    <w:rsid w:val="007C5907"/>
    <w:rsid w:val="007C6EC9"/>
    <w:rsid w:val="007C7629"/>
    <w:rsid w:val="007C7653"/>
    <w:rsid w:val="007D097C"/>
    <w:rsid w:val="007D0A9E"/>
    <w:rsid w:val="007D1171"/>
    <w:rsid w:val="007D123A"/>
    <w:rsid w:val="007D4C64"/>
    <w:rsid w:val="007D4EA0"/>
    <w:rsid w:val="007D64BD"/>
    <w:rsid w:val="007E09B8"/>
    <w:rsid w:val="007E102D"/>
    <w:rsid w:val="007E1304"/>
    <w:rsid w:val="007E225C"/>
    <w:rsid w:val="007E26CF"/>
    <w:rsid w:val="007E413A"/>
    <w:rsid w:val="007E539F"/>
    <w:rsid w:val="007E5D89"/>
    <w:rsid w:val="007E6228"/>
    <w:rsid w:val="007E7131"/>
    <w:rsid w:val="007E7206"/>
    <w:rsid w:val="007F0EC6"/>
    <w:rsid w:val="007F207B"/>
    <w:rsid w:val="007F2228"/>
    <w:rsid w:val="007F5975"/>
    <w:rsid w:val="008028C7"/>
    <w:rsid w:val="00803EF0"/>
    <w:rsid w:val="008064FB"/>
    <w:rsid w:val="008104B7"/>
    <w:rsid w:val="00811323"/>
    <w:rsid w:val="00811587"/>
    <w:rsid w:val="00813383"/>
    <w:rsid w:val="00813E3D"/>
    <w:rsid w:val="00813FB3"/>
    <w:rsid w:val="0081442D"/>
    <w:rsid w:val="00814A19"/>
    <w:rsid w:val="00815123"/>
    <w:rsid w:val="0081724B"/>
    <w:rsid w:val="00817A16"/>
    <w:rsid w:val="00821735"/>
    <w:rsid w:val="0082188A"/>
    <w:rsid w:val="00822E4B"/>
    <w:rsid w:val="008239C6"/>
    <w:rsid w:val="00823D42"/>
    <w:rsid w:val="00825359"/>
    <w:rsid w:val="00825674"/>
    <w:rsid w:val="0082588B"/>
    <w:rsid w:val="00827EC6"/>
    <w:rsid w:val="008301B8"/>
    <w:rsid w:val="0083021C"/>
    <w:rsid w:val="0083089F"/>
    <w:rsid w:val="00830A32"/>
    <w:rsid w:val="008315C5"/>
    <w:rsid w:val="00831B55"/>
    <w:rsid w:val="00832AE5"/>
    <w:rsid w:val="008337D4"/>
    <w:rsid w:val="00833CBB"/>
    <w:rsid w:val="00834119"/>
    <w:rsid w:val="0083452E"/>
    <w:rsid w:val="0083588A"/>
    <w:rsid w:val="00835C0C"/>
    <w:rsid w:val="008376AE"/>
    <w:rsid w:val="0084154C"/>
    <w:rsid w:val="0084273A"/>
    <w:rsid w:val="008441D1"/>
    <w:rsid w:val="00846BF0"/>
    <w:rsid w:val="00846BF3"/>
    <w:rsid w:val="0084731F"/>
    <w:rsid w:val="008514DA"/>
    <w:rsid w:val="00851F71"/>
    <w:rsid w:val="0085348E"/>
    <w:rsid w:val="0085358B"/>
    <w:rsid w:val="00856615"/>
    <w:rsid w:val="00857A2A"/>
    <w:rsid w:val="00862302"/>
    <w:rsid w:val="00862F08"/>
    <w:rsid w:val="00864BFD"/>
    <w:rsid w:val="00865094"/>
    <w:rsid w:val="008652FC"/>
    <w:rsid w:val="00871E76"/>
    <w:rsid w:val="008725BC"/>
    <w:rsid w:val="00874570"/>
    <w:rsid w:val="0087463E"/>
    <w:rsid w:val="0087562D"/>
    <w:rsid w:val="00876244"/>
    <w:rsid w:val="008778E2"/>
    <w:rsid w:val="008800E6"/>
    <w:rsid w:val="00880407"/>
    <w:rsid w:val="00880708"/>
    <w:rsid w:val="00880949"/>
    <w:rsid w:val="00881580"/>
    <w:rsid w:val="0088271D"/>
    <w:rsid w:val="00882C60"/>
    <w:rsid w:val="00882C88"/>
    <w:rsid w:val="008833BF"/>
    <w:rsid w:val="00883A91"/>
    <w:rsid w:val="0088400F"/>
    <w:rsid w:val="00884123"/>
    <w:rsid w:val="00885C6E"/>
    <w:rsid w:val="00886239"/>
    <w:rsid w:val="00887758"/>
    <w:rsid w:val="008878A5"/>
    <w:rsid w:val="00887EAF"/>
    <w:rsid w:val="0089219E"/>
    <w:rsid w:val="008925DA"/>
    <w:rsid w:val="00893470"/>
    <w:rsid w:val="00895262"/>
    <w:rsid w:val="008964FE"/>
    <w:rsid w:val="008A1E28"/>
    <w:rsid w:val="008A25DC"/>
    <w:rsid w:val="008A4591"/>
    <w:rsid w:val="008A4BC7"/>
    <w:rsid w:val="008A7019"/>
    <w:rsid w:val="008A7765"/>
    <w:rsid w:val="008A78F8"/>
    <w:rsid w:val="008B0CDE"/>
    <w:rsid w:val="008B1472"/>
    <w:rsid w:val="008B2350"/>
    <w:rsid w:val="008B410E"/>
    <w:rsid w:val="008B4C58"/>
    <w:rsid w:val="008B5CC3"/>
    <w:rsid w:val="008B6CEB"/>
    <w:rsid w:val="008B743C"/>
    <w:rsid w:val="008B7E21"/>
    <w:rsid w:val="008C0B25"/>
    <w:rsid w:val="008C1F99"/>
    <w:rsid w:val="008C2248"/>
    <w:rsid w:val="008C32D9"/>
    <w:rsid w:val="008C3592"/>
    <w:rsid w:val="008C3848"/>
    <w:rsid w:val="008C48B7"/>
    <w:rsid w:val="008D0597"/>
    <w:rsid w:val="008D3314"/>
    <w:rsid w:val="008D6560"/>
    <w:rsid w:val="008D6EB2"/>
    <w:rsid w:val="008D7DB6"/>
    <w:rsid w:val="008D7FBA"/>
    <w:rsid w:val="008E018B"/>
    <w:rsid w:val="008E04F6"/>
    <w:rsid w:val="008E0CD6"/>
    <w:rsid w:val="008E1D7B"/>
    <w:rsid w:val="008E2773"/>
    <w:rsid w:val="008E56F3"/>
    <w:rsid w:val="008E5EAD"/>
    <w:rsid w:val="008E641C"/>
    <w:rsid w:val="008E6CA2"/>
    <w:rsid w:val="008E7156"/>
    <w:rsid w:val="008E75F6"/>
    <w:rsid w:val="008F02D5"/>
    <w:rsid w:val="008F19F4"/>
    <w:rsid w:val="008F3433"/>
    <w:rsid w:val="008F3D07"/>
    <w:rsid w:val="008F5046"/>
    <w:rsid w:val="008F5B44"/>
    <w:rsid w:val="008F5ECB"/>
    <w:rsid w:val="008F652A"/>
    <w:rsid w:val="008F6CA0"/>
    <w:rsid w:val="008F6D55"/>
    <w:rsid w:val="008F7330"/>
    <w:rsid w:val="00900B6A"/>
    <w:rsid w:val="009012D0"/>
    <w:rsid w:val="00901A59"/>
    <w:rsid w:val="00904B24"/>
    <w:rsid w:val="0090522E"/>
    <w:rsid w:val="00910A5E"/>
    <w:rsid w:val="009117D0"/>
    <w:rsid w:val="009120B6"/>
    <w:rsid w:val="00912509"/>
    <w:rsid w:val="009155E9"/>
    <w:rsid w:val="009217F1"/>
    <w:rsid w:val="0092223C"/>
    <w:rsid w:val="00922894"/>
    <w:rsid w:val="0092322A"/>
    <w:rsid w:val="009262E0"/>
    <w:rsid w:val="00926EDA"/>
    <w:rsid w:val="0093094E"/>
    <w:rsid w:val="00931205"/>
    <w:rsid w:val="009313BE"/>
    <w:rsid w:val="009323E4"/>
    <w:rsid w:val="009325E2"/>
    <w:rsid w:val="009330C8"/>
    <w:rsid w:val="00933BD3"/>
    <w:rsid w:val="00935D30"/>
    <w:rsid w:val="00937BD1"/>
    <w:rsid w:val="009407AD"/>
    <w:rsid w:val="00942AB6"/>
    <w:rsid w:val="00944CC0"/>
    <w:rsid w:val="00947590"/>
    <w:rsid w:val="00947E1B"/>
    <w:rsid w:val="00950028"/>
    <w:rsid w:val="00951DAA"/>
    <w:rsid w:val="00952C3D"/>
    <w:rsid w:val="009530DB"/>
    <w:rsid w:val="00953C7D"/>
    <w:rsid w:val="00954AE0"/>
    <w:rsid w:val="0095539F"/>
    <w:rsid w:val="009579AD"/>
    <w:rsid w:val="00957C49"/>
    <w:rsid w:val="00961064"/>
    <w:rsid w:val="009611A2"/>
    <w:rsid w:val="009616E4"/>
    <w:rsid w:val="0096239C"/>
    <w:rsid w:val="00962A62"/>
    <w:rsid w:val="00965859"/>
    <w:rsid w:val="0096791C"/>
    <w:rsid w:val="00970640"/>
    <w:rsid w:val="0097235A"/>
    <w:rsid w:val="009726C8"/>
    <w:rsid w:val="00973245"/>
    <w:rsid w:val="0097357A"/>
    <w:rsid w:val="00973812"/>
    <w:rsid w:val="009744CA"/>
    <w:rsid w:val="0097470A"/>
    <w:rsid w:val="00974B1A"/>
    <w:rsid w:val="00974F5B"/>
    <w:rsid w:val="00975103"/>
    <w:rsid w:val="009755F7"/>
    <w:rsid w:val="00977BBD"/>
    <w:rsid w:val="00977E8B"/>
    <w:rsid w:val="009804CE"/>
    <w:rsid w:val="009827AE"/>
    <w:rsid w:val="0098465F"/>
    <w:rsid w:val="00991518"/>
    <w:rsid w:val="00991CB9"/>
    <w:rsid w:val="009926D7"/>
    <w:rsid w:val="009936A2"/>
    <w:rsid w:val="00993BDB"/>
    <w:rsid w:val="00993C89"/>
    <w:rsid w:val="009A0BD4"/>
    <w:rsid w:val="009A198F"/>
    <w:rsid w:val="009A2781"/>
    <w:rsid w:val="009A4989"/>
    <w:rsid w:val="009A5105"/>
    <w:rsid w:val="009A613F"/>
    <w:rsid w:val="009A7550"/>
    <w:rsid w:val="009B18AA"/>
    <w:rsid w:val="009B1FA3"/>
    <w:rsid w:val="009B3C0A"/>
    <w:rsid w:val="009B4718"/>
    <w:rsid w:val="009B63E5"/>
    <w:rsid w:val="009C00F4"/>
    <w:rsid w:val="009C2366"/>
    <w:rsid w:val="009C260C"/>
    <w:rsid w:val="009C4673"/>
    <w:rsid w:val="009C4DBA"/>
    <w:rsid w:val="009C5CCA"/>
    <w:rsid w:val="009C5F69"/>
    <w:rsid w:val="009C6B56"/>
    <w:rsid w:val="009D0618"/>
    <w:rsid w:val="009D0C71"/>
    <w:rsid w:val="009D1746"/>
    <w:rsid w:val="009D1AFF"/>
    <w:rsid w:val="009D29E3"/>
    <w:rsid w:val="009D2A04"/>
    <w:rsid w:val="009D3785"/>
    <w:rsid w:val="009D41BA"/>
    <w:rsid w:val="009D4A8B"/>
    <w:rsid w:val="009D535E"/>
    <w:rsid w:val="009D551E"/>
    <w:rsid w:val="009E0922"/>
    <w:rsid w:val="009E1A5C"/>
    <w:rsid w:val="009E2222"/>
    <w:rsid w:val="009E33C6"/>
    <w:rsid w:val="009E3D1A"/>
    <w:rsid w:val="009E3D54"/>
    <w:rsid w:val="009E42C6"/>
    <w:rsid w:val="009E42F6"/>
    <w:rsid w:val="009E4A9E"/>
    <w:rsid w:val="009E5732"/>
    <w:rsid w:val="009E59C9"/>
    <w:rsid w:val="009E6DB2"/>
    <w:rsid w:val="009E78F9"/>
    <w:rsid w:val="009F0972"/>
    <w:rsid w:val="009F09BD"/>
    <w:rsid w:val="009F1D7A"/>
    <w:rsid w:val="009F1F40"/>
    <w:rsid w:val="009F21B6"/>
    <w:rsid w:val="009F3C64"/>
    <w:rsid w:val="009F4167"/>
    <w:rsid w:val="009F44A4"/>
    <w:rsid w:val="009F6468"/>
    <w:rsid w:val="00A0036B"/>
    <w:rsid w:val="00A02428"/>
    <w:rsid w:val="00A02448"/>
    <w:rsid w:val="00A02655"/>
    <w:rsid w:val="00A02719"/>
    <w:rsid w:val="00A03863"/>
    <w:rsid w:val="00A049F9"/>
    <w:rsid w:val="00A04BFE"/>
    <w:rsid w:val="00A04C59"/>
    <w:rsid w:val="00A05417"/>
    <w:rsid w:val="00A108C6"/>
    <w:rsid w:val="00A1163C"/>
    <w:rsid w:val="00A12BA4"/>
    <w:rsid w:val="00A14004"/>
    <w:rsid w:val="00A148F1"/>
    <w:rsid w:val="00A155D5"/>
    <w:rsid w:val="00A17416"/>
    <w:rsid w:val="00A205DD"/>
    <w:rsid w:val="00A2178A"/>
    <w:rsid w:val="00A2264E"/>
    <w:rsid w:val="00A228E8"/>
    <w:rsid w:val="00A22C3A"/>
    <w:rsid w:val="00A23CC4"/>
    <w:rsid w:val="00A24ADF"/>
    <w:rsid w:val="00A2697E"/>
    <w:rsid w:val="00A27316"/>
    <w:rsid w:val="00A3462F"/>
    <w:rsid w:val="00A34CD4"/>
    <w:rsid w:val="00A34D60"/>
    <w:rsid w:val="00A35631"/>
    <w:rsid w:val="00A368CA"/>
    <w:rsid w:val="00A36B36"/>
    <w:rsid w:val="00A36CE9"/>
    <w:rsid w:val="00A37525"/>
    <w:rsid w:val="00A40DE9"/>
    <w:rsid w:val="00A40E31"/>
    <w:rsid w:val="00A417AF"/>
    <w:rsid w:val="00A44E1A"/>
    <w:rsid w:val="00A513FE"/>
    <w:rsid w:val="00A5230A"/>
    <w:rsid w:val="00A52588"/>
    <w:rsid w:val="00A547F8"/>
    <w:rsid w:val="00A56AED"/>
    <w:rsid w:val="00A56CE2"/>
    <w:rsid w:val="00A578F1"/>
    <w:rsid w:val="00A60CEA"/>
    <w:rsid w:val="00A6184D"/>
    <w:rsid w:val="00A6267F"/>
    <w:rsid w:val="00A63034"/>
    <w:rsid w:val="00A63528"/>
    <w:rsid w:val="00A63F4F"/>
    <w:rsid w:val="00A64608"/>
    <w:rsid w:val="00A64799"/>
    <w:rsid w:val="00A64EE0"/>
    <w:rsid w:val="00A65A3C"/>
    <w:rsid w:val="00A65F24"/>
    <w:rsid w:val="00A67222"/>
    <w:rsid w:val="00A7024F"/>
    <w:rsid w:val="00A70CB1"/>
    <w:rsid w:val="00A71872"/>
    <w:rsid w:val="00A71C58"/>
    <w:rsid w:val="00A7330B"/>
    <w:rsid w:val="00A733A2"/>
    <w:rsid w:val="00A74FDB"/>
    <w:rsid w:val="00A77967"/>
    <w:rsid w:val="00A812E6"/>
    <w:rsid w:val="00A81483"/>
    <w:rsid w:val="00A84CE8"/>
    <w:rsid w:val="00A86FDE"/>
    <w:rsid w:val="00A8722B"/>
    <w:rsid w:val="00A91A47"/>
    <w:rsid w:val="00A92AD1"/>
    <w:rsid w:val="00A94EF2"/>
    <w:rsid w:val="00AA0231"/>
    <w:rsid w:val="00AA04E7"/>
    <w:rsid w:val="00AA0B20"/>
    <w:rsid w:val="00AA0BA6"/>
    <w:rsid w:val="00AA12E4"/>
    <w:rsid w:val="00AA149F"/>
    <w:rsid w:val="00AA4348"/>
    <w:rsid w:val="00AA5249"/>
    <w:rsid w:val="00AA5C4F"/>
    <w:rsid w:val="00AA5FE9"/>
    <w:rsid w:val="00AA64AE"/>
    <w:rsid w:val="00AA6FA0"/>
    <w:rsid w:val="00AB0075"/>
    <w:rsid w:val="00AB1C40"/>
    <w:rsid w:val="00AB25DC"/>
    <w:rsid w:val="00AB361D"/>
    <w:rsid w:val="00AB4224"/>
    <w:rsid w:val="00AB528F"/>
    <w:rsid w:val="00AB6D37"/>
    <w:rsid w:val="00AB6DB0"/>
    <w:rsid w:val="00AB71AE"/>
    <w:rsid w:val="00AC1D32"/>
    <w:rsid w:val="00AC26D3"/>
    <w:rsid w:val="00AC368F"/>
    <w:rsid w:val="00AC403E"/>
    <w:rsid w:val="00AC4AC8"/>
    <w:rsid w:val="00AC5442"/>
    <w:rsid w:val="00AC5E4A"/>
    <w:rsid w:val="00AC5FE7"/>
    <w:rsid w:val="00AC637D"/>
    <w:rsid w:val="00AD03F8"/>
    <w:rsid w:val="00AD0691"/>
    <w:rsid w:val="00AD1942"/>
    <w:rsid w:val="00AD216D"/>
    <w:rsid w:val="00AD25B5"/>
    <w:rsid w:val="00AD2E58"/>
    <w:rsid w:val="00AD38ED"/>
    <w:rsid w:val="00AD45AA"/>
    <w:rsid w:val="00AD5C2F"/>
    <w:rsid w:val="00AD7698"/>
    <w:rsid w:val="00AD7A0F"/>
    <w:rsid w:val="00AD7DB4"/>
    <w:rsid w:val="00AE0010"/>
    <w:rsid w:val="00AE0A07"/>
    <w:rsid w:val="00AE1662"/>
    <w:rsid w:val="00AE27F0"/>
    <w:rsid w:val="00AE2AD7"/>
    <w:rsid w:val="00AE2E47"/>
    <w:rsid w:val="00AE3AD3"/>
    <w:rsid w:val="00AE4B83"/>
    <w:rsid w:val="00AE57DD"/>
    <w:rsid w:val="00AE6A74"/>
    <w:rsid w:val="00AE731C"/>
    <w:rsid w:val="00AE74AB"/>
    <w:rsid w:val="00AE7628"/>
    <w:rsid w:val="00AF1421"/>
    <w:rsid w:val="00AF4F8B"/>
    <w:rsid w:val="00AF5D7F"/>
    <w:rsid w:val="00AF7250"/>
    <w:rsid w:val="00AF72AC"/>
    <w:rsid w:val="00B01036"/>
    <w:rsid w:val="00B0202E"/>
    <w:rsid w:val="00B03806"/>
    <w:rsid w:val="00B03BE7"/>
    <w:rsid w:val="00B03EDA"/>
    <w:rsid w:val="00B05562"/>
    <w:rsid w:val="00B0623A"/>
    <w:rsid w:val="00B065C5"/>
    <w:rsid w:val="00B06F1C"/>
    <w:rsid w:val="00B11C5A"/>
    <w:rsid w:val="00B13FE5"/>
    <w:rsid w:val="00B142F2"/>
    <w:rsid w:val="00B1431B"/>
    <w:rsid w:val="00B1439E"/>
    <w:rsid w:val="00B14BC2"/>
    <w:rsid w:val="00B170BC"/>
    <w:rsid w:val="00B201C2"/>
    <w:rsid w:val="00B2020D"/>
    <w:rsid w:val="00B21781"/>
    <w:rsid w:val="00B236F0"/>
    <w:rsid w:val="00B24ED9"/>
    <w:rsid w:val="00B25615"/>
    <w:rsid w:val="00B25D28"/>
    <w:rsid w:val="00B3011D"/>
    <w:rsid w:val="00B32EA0"/>
    <w:rsid w:val="00B3356E"/>
    <w:rsid w:val="00B337A0"/>
    <w:rsid w:val="00B33D05"/>
    <w:rsid w:val="00B33D39"/>
    <w:rsid w:val="00B34697"/>
    <w:rsid w:val="00B346BD"/>
    <w:rsid w:val="00B34A2B"/>
    <w:rsid w:val="00B354B8"/>
    <w:rsid w:val="00B35D86"/>
    <w:rsid w:val="00B36853"/>
    <w:rsid w:val="00B36CAA"/>
    <w:rsid w:val="00B418B0"/>
    <w:rsid w:val="00B43361"/>
    <w:rsid w:val="00B43C87"/>
    <w:rsid w:val="00B45488"/>
    <w:rsid w:val="00B4595B"/>
    <w:rsid w:val="00B46AAE"/>
    <w:rsid w:val="00B47541"/>
    <w:rsid w:val="00B50B1A"/>
    <w:rsid w:val="00B51C15"/>
    <w:rsid w:val="00B521DC"/>
    <w:rsid w:val="00B52AA2"/>
    <w:rsid w:val="00B53060"/>
    <w:rsid w:val="00B53AF5"/>
    <w:rsid w:val="00B55628"/>
    <w:rsid w:val="00B55954"/>
    <w:rsid w:val="00B55CBD"/>
    <w:rsid w:val="00B56BD3"/>
    <w:rsid w:val="00B57451"/>
    <w:rsid w:val="00B612FC"/>
    <w:rsid w:val="00B61A0B"/>
    <w:rsid w:val="00B61CAA"/>
    <w:rsid w:val="00B62936"/>
    <w:rsid w:val="00B637AA"/>
    <w:rsid w:val="00B65E61"/>
    <w:rsid w:val="00B66EA8"/>
    <w:rsid w:val="00B70DDC"/>
    <w:rsid w:val="00B731C8"/>
    <w:rsid w:val="00B74863"/>
    <w:rsid w:val="00B75723"/>
    <w:rsid w:val="00B80438"/>
    <w:rsid w:val="00B80960"/>
    <w:rsid w:val="00B80CC1"/>
    <w:rsid w:val="00B80F7B"/>
    <w:rsid w:val="00B83932"/>
    <w:rsid w:val="00B84EFF"/>
    <w:rsid w:val="00B86D74"/>
    <w:rsid w:val="00B8700D"/>
    <w:rsid w:val="00B8756C"/>
    <w:rsid w:val="00B877D7"/>
    <w:rsid w:val="00B87B04"/>
    <w:rsid w:val="00B87D1C"/>
    <w:rsid w:val="00B87F02"/>
    <w:rsid w:val="00B905C3"/>
    <w:rsid w:val="00B909D8"/>
    <w:rsid w:val="00B91AD1"/>
    <w:rsid w:val="00B91DF0"/>
    <w:rsid w:val="00B9253B"/>
    <w:rsid w:val="00B93756"/>
    <w:rsid w:val="00B96110"/>
    <w:rsid w:val="00B96121"/>
    <w:rsid w:val="00B96A92"/>
    <w:rsid w:val="00BA0004"/>
    <w:rsid w:val="00BA08CD"/>
    <w:rsid w:val="00BA11C7"/>
    <w:rsid w:val="00BA14DB"/>
    <w:rsid w:val="00BA3168"/>
    <w:rsid w:val="00BA49FD"/>
    <w:rsid w:val="00BA5197"/>
    <w:rsid w:val="00BA52DC"/>
    <w:rsid w:val="00BA6048"/>
    <w:rsid w:val="00BA647E"/>
    <w:rsid w:val="00BA7DBD"/>
    <w:rsid w:val="00BB154A"/>
    <w:rsid w:val="00BB2131"/>
    <w:rsid w:val="00BB4A7D"/>
    <w:rsid w:val="00BB5D2D"/>
    <w:rsid w:val="00BB650D"/>
    <w:rsid w:val="00BB7A12"/>
    <w:rsid w:val="00BB7F31"/>
    <w:rsid w:val="00BC0116"/>
    <w:rsid w:val="00BC2746"/>
    <w:rsid w:val="00BC4E4B"/>
    <w:rsid w:val="00BC4EEC"/>
    <w:rsid w:val="00BC51BA"/>
    <w:rsid w:val="00BC6F11"/>
    <w:rsid w:val="00BD013C"/>
    <w:rsid w:val="00BD6029"/>
    <w:rsid w:val="00BD6CCE"/>
    <w:rsid w:val="00BD72B6"/>
    <w:rsid w:val="00BD7333"/>
    <w:rsid w:val="00BD7397"/>
    <w:rsid w:val="00BD773A"/>
    <w:rsid w:val="00BE03F8"/>
    <w:rsid w:val="00BE0EAB"/>
    <w:rsid w:val="00BE1DAB"/>
    <w:rsid w:val="00BE286C"/>
    <w:rsid w:val="00BE2FB6"/>
    <w:rsid w:val="00BE30A8"/>
    <w:rsid w:val="00BE6553"/>
    <w:rsid w:val="00BE722A"/>
    <w:rsid w:val="00BE7F19"/>
    <w:rsid w:val="00BF18B7"/>
    <w:rsid w:val="00BF4AC2"/>
    <w:rsid w:val="00BF4F96"/>
    <w:rsid w:val="00BF509B"/>
    <w:rsid w:val="00BF73F8"/>
    <w:rsid w:val="00BF7832"/>
    <w:rsid w:val="00BF7DB0"/>
    <w:rsid w:val="00C0124B"/>
    <w:rsid w:val="00C02A44"/>
    <w:rsid w:val="00C03BEC"/>
    <w:rsid w:val="00C049D1"/>
    <w:rsid w:val="00C06057"/>
    <w:rsid w:val="00C06929"/>
    <w:rsid w:val="00C10D56"/>
    <w:rsid w:val="00C123F8"/>
    <w:rsid w:val="00C12920"/>
    <w:rsid w:val="00C166E3"/>
    <w:rsid w:val="00C172E0"/>
    <w:rsid w:val="00C17E99"/>
    <w:rsid w:val="00C203B1"/>
    <w:rsid w:val="00C22766"/>
    <w:rsid w:val="00C26BF3"/>
    <w:rsid w:val="00C27353"/>
    <w:rsid w:val="00C300D9"/>
    <w:rsid w:val="00C31998"/>
    <w:rsid w:val="00C31F16"/>
    <w:rsid w:val="00C3323B"/>
    <w:rsid w:val="00C33474"/>
    <w:rsid w:val="00C33EC1"/>
    <w:rsid w:val="00C35B8C"/>
    <w:rsid w:val="00C363D3"/>
    <w:rsid w:val="00C36942"/>
    <w:rsid w:val="00C36FD4"/>
    <w:rsid w:val="00C37E64"/>
    <w:rsid w:val="00C400D5"/>
    <w:rsid w:val="00C403E9"/>
    <w:rsid w:val="00C40685"/>
    <w:rsid w:val="00C413B2"/>
    <w:rsid w:val="00C41742"/>
    <w:rsid w:val="00C418E2"/>
    <w:rsid w:val="00C41CA5"/>
    <w:rsid w:val="00C42353"/>
    <w:rsid w:val="00C428BF"/>
    <w:rsid w:val="00C464E4"/>
    <w:rsid w:val="00C46EBC"/>
    <w:rsid w:val="00C47735"/>
    <w:rsid w:val="00C500BD"/>
    <w:rsid w:val="00C508E9"/>
    <w:rsid w:val="00C518B7"/>
    <w:rsid w:val="00C519CE"/>
    <w:rsid w:val="00C51F77"/>
    <w:rsid w:val="00C532DA"/>
    <w:rsid w:val="00C535E8"/>
    <w:rsid w:val="00C537C0"/>
    <w:rsid w:val="00C55B1C"/>
    <w:rsid w:val="00C568EF"/>
    <w:rsid w:val="00C57167"/>
    <w:rsid w:val="00C57C39"/>
    <w:rsid w:val="00C60102"/>
    <w:rsid w:val="00C60DE8"/>
    <w:rsid w:val="00C622F8"/>
    <w:rsid w:val="00C631F3"/>
    <w:rsid w:val="00C64A4C"/>
    <w:rsid w:val="00C652F9"/>
    <w:rsid w:val="00C65F0D"/>
    <w:rsid w:val="00C65F84"/>
    <w:rsid w:val="00C700EA"/>
    <w:rsid w:val="00C713D2"/>
    <w:rsid w:val="00C71FC4"/>
    <w:rsid w:val="00C735DD"/>
    <w:rsid w:val="00C73A65"/>
    <w:rsid w:val="00C74C38"/>
    <w:rsid w:val="00C77313"/>
    <w:rsid w:val="00C7785E"/>
    <w:rsid w:val="00C77CEA"/>
    <w:rsid w:val="00C77FAA"/>
    <w:rsid w:val="00C8052B"/>
    <w:rsid w:val="00C80989"/>
    <w:rsid w:val="00C84781"/>
    <w:rsid w:val="00C84786"/>
    <w:rsid w:val="00C84B72"/>
    <w:rsid w:val="00C85807"/>
    <w:rsid w:val="00C85DC2"/>
    <w:rsid w:val="00C8659B"/>
    <w:rsid w:val="00C8747A"/>
    <w:rsid w:val="00C878FB"/>
    <w:rsid w:val="00C9404B"/>
    <w:rsid w:val="00C95830"/>
    <w:rsid w:val="00C961CC"/>
    <w:rsid w:val="00C96AF3"/>
    <w:rsid w:val="00C97498"/>
    <w:rsid w:val="00C975C2"/>
    <w:rsid w:val="00CA0D13"/>
    <w:rsid w:val="00CA14C3"/>
    <w:rsid w:val="00CA1C94"/>
    <w:rsid w:val="00CA1E69"/>
    <w:rsid w:val="00CA2D87"/>
    <w:rsid w:val="00CA34B8"/>
    <w:rsid w:val="00CA43A5"/>
    <w:rsid w:val="00CA541B"/>
    <w:rsid w:val="00CA69D4"/>
    <w:rsid w:val="00CA765F"/>
    <w:rsid w:val="00CB18F7"/>
    <w:rsid w:val="00CB2949"/>
    <w:rsid w:val="00CB2D46"/>
    <w:rsid w:val="00CB3781"/>
    <w:rsid w:val="00CB496E"/>
    <w:rsid w:val="00CB504C"/>
    <w:rsid w:val="00CB6C17"/>
    <w:rsid w:val="00CB7759"/>
    <w:rsid w:val="00CC0663"/>
    <w:rsid w:val="00CC09EE"/>
    <w:rsid w:val="00CC2F81"/>
    <w:rsid w:val="00CC3BCA"/>
    <w:rsid w:val="00CC4C7A"/>
    <w:rsid w:val="00CC4C8B"/>
    <w:rsid w:val="00CC50F2"/>
    <w:rsid w:val="00CC5B36"/>
    <w:rsid w:val="00CC6EE2"/>
    <w:rsid w:val="00CC6FC3"/>
    <w:rsid w:val="00CD1BEC"/>
    <w:rsid w:val="00CD46AB"/>
    <w:rsid w:val="00CD606E"/>
    <w:rsid w:val="00CD6076"/>
    <w:rsid w:val="00CD6097"/>
    <w:rsid w:val="00CE4A3A"/>
    <w:rsid w:val="00CE6092"/>
    <w:rsid w:val="00CE663B"/>
    <w:rsid w:val="00CE6735"/>
    <w:rsid w:val="00CE721C"/>
    <w:rsid w:val="00CE77CF"/>
    <w:rsid w:val="00CF1B1F"/>
    <w:rsid w:val="00CF20A3"/>
    <w:rsid w:val="00CF24BC"/>
    <w:rsid w:val="00CF2C13"/>
    <w:rsid w:val="00CF37BB"/>
    <w:rsid w:val="00CF4D3C"/>
    <w:rsid w:val="00CF5B3B"/>
    <w:rsid w:val="00CF5DCD"/>
    <w:rsid w:val="00CF7757"/>
    <w:rsid w:val="00CF78BB"/>
    <w:rsid w:val="00CF79FB"/>
    <w:rsid w:val="00D002FE"/>
    <w:rsid w:val="00D003A7"/>
    <w:rsid w:val="00D00BDE"/>
    <w:rsid w:val="00D02680"/>
    <w:rsid w:val="00D02DB0"/>
    <w:rsid w:val="00D032AB"/>
    <w:rsid w:val="00D03346"/>
    <w:rsid w:val="00D03C95"/>
    <w:rsid w:val="00D056E3"/>
    <w:rsid w:val="00D06122"/>
    <w:rsid w:val="00D0684B"/>
    <w:rsid w:val="00D10ABF"/>
    <w:rsid w:val="00D10E6B"/>
    <w:rsid w:val="00D1106D"/>
    <w:rsid w:val="00D11B25"/>
    <w:rsid w:val="00D11F4C"/>
    <w:rsid w:val="00D129CB"/>
    <w:rsid w:val="00D13051"/>
    <w:rsid w:val="00D13C35"/>
    <w:rsid w:val="00D15137"/>
    <w:rsid w:val="00D17194"/>
    <w:rsid w:val="00D2054A"/>
    <w:rsid w:val="00D20902"/>
    <w:rsid w:val="00D21506"/>
    <w:rsid w:val="00D23020"/>
    <w:rsid w:val="00D23405"/>
    <w:rsid w:val="00D23E04"/>
    <w:rsid w:val="00D24D58"/>
    <w:rsid w:val="00D25F17"/>
    <w:rsid w:val="00D26692"/>
    <w:rsid w:val="00D27217"/>
    <w:rsid w:val="00D30D26"/>
    <w:rsid w:val="00D31543"/>
    <w:rsid w:val="00D31596"/>
    <w:rsid w:val="00D317F6"/>
    <w:rsid w:val="00D32E06"/>
    <w:rsid w:val="00D3358C"/>
    <w:rsid w:val="00D33E78"/>
    <w:rsid w:val="00D3465E"/>
    <w:rsid w:val="00D354F7"/>
    <w:rsid w:val="00D35C6D"/>
    <w:rsid w:val="00D373A9"/>
    <w:rsid w:val="00D4011C"/>
    <w:rsid w:val="00D40C29"/>
    <w:rsid w:val="00D41E4E"/>
    <w:rsid w:val="00D42866"/>
    <w:rsid w:val="00D42AA0"/>
    <w:rsid w:val="00D42BCB"/>
    <w:rsid w:val="00D440DA"/>
    <w:rsid w:val="00D464EE"/>
    <w:rsid w:val="00D5079C"/>
    <w:rsid w:val="00D53759"/>
    <w:rsid w:val="00D53922"/>
    <w:rsid w:val="00D550F6"/>
    <w:rsid w:val="00D55553"/>
    <w:rsid w:val="00D556D0"/>
    <w:rsid w:val="00D55F11"/>
    <w:rsid w:val="00D61222"/>
    <w:rsid w:val="00D62037"/>
    <w:rsid w:val="00D63A55"/>
    <w:rsid w:val="00D64F92"/>
    <w:rsid w:val="00D651D9"/>
    <w:rsid w:val="00D65357"/>
    <w:rsid w:val="00D678D5"/>
    <w:rsid w:val="00D70BEE"/>
    <w:rsid w:val="00D7217B"/>
    <w:rsid w:val="00D721D1"/>
    <w:rsid w:val="00D7291B"/>
    <w:rsid w:val="00D72FE9"/>
    <w:rsid w:val="00D73A7E"/>
    <w:rsid w:val="00D76ACC"/>
    <w:rsid w:val="00D76B6A"/>
    <w:rsid w:val="00D7781D"/>
    <w:rsid w:val="00D77880"/>
    <w:rsid w:val="00D81603"/>
    <w:rsid w:val="00D84CF6"/>
    <w:rsid w:val="00D85256"/>
    <w:rsid w:val="00D8690B"/>
    <w:rsid w:val="00D8763F"/>
    <w:rsid w:val="00D87D54"/>
    <w:rsid w:val="00D87FD5"/>
    <w:rsid w:val="00D971D4"/>
    <w:rsid w:val="00D97638"/>
    <w:rsid w:val="00D976B7"/>
    <w:rsid w:val="00DA001D"/>
    <w:rsid w:val="00DA0E89"/>
    <w:rsid w:val="00DA11A3"/>
    <w:rsid w:val="00DA2CF2"/>
    <w:rsid w:val="00DA2E79"/>
    <w:rsid w:val="00DA2FD4"/>
    <w:rsid w:val="00DA4656"/>
    <w:rsid w:val="00DA4D28"/>
    <w:rsid w:val="00DA6FE8"/>
    <w:rsid w:val="00DB044E"/>
    <w:rsid w:val="00DB0497"/>
    <w:rsid w:val="00DB0FCA"/>
    <w:rsid w:val="00DB49B5"/>
    <w:rsid w:val="00DB551D"/>
    <w:rsid w:val="00DB5D19"/>
    <w:rsid w:val="00DB5FF1"/>
    <w:rsid w:val="00DB7D8A"/>
    <w:rsid w:val="00DC0B0E"/>
    <w:rsid w:val="00DC34A5"/>
    <w:rsid w:val="00DC4560"/>
    <w:rsid w:val="00DC5E25"/>
    <w:rsid w:val="00DD09F3"/>
    <w:rsid w:val="00DD2ED3"/>
    <w:rsid w:val="00DD3CE5"/>
    <w:rsid w:val="00DD4254"/>
    <w:rsid w:val="00DD4447"/>
    <w:rsid w:val="00DD46EB"/>
    <w:rsid w:val="00DD4F22"/>
    <w:rsid w:val="00DD5413"/>
    <w:rsid w:val="00DD5BC7"/>
    <w:rsid w:val="00DD5EA2"/>
    <w:rsid w:val="00DE1D3B"/>
    <w:rsid w:val="00DE2026"/>
    <w:rsid w:val="00DE4086"/>
    <w:rsid w:val="00DE7248"/>
    <w:rsid w:val="00DE75F8"/>
    <w:rsid w:val="00DF0297"/>
    <w:rsid w:val="00DF05A9"/>
    <w:rsid w:val="00DF0E98"/>
    <w:rsid w:val="00DF11F2"/>
    <w:rsid w:val="00DF20C9"/>
    <w:rsid w:val="00DF371D"/>
    <w:rsid w:val="00DF449C"/>
    <w:rsid w:val="00DF4E45"/>
    <w:rsid w:val="00DF599E"/>
    <w:rsid w:val="00DF624C"/>
    <w:rsid w:val="00DF7CD8"/>
    <w:rsid w:val="00DF7E37"/>
    <w:rsid w:val="00DF7F94"/>
    <w:rsid w:val="00E00875"/>
    <w:rsid w:val="00E02692"/>
    <w:rsid w:val="00E02C93"/>
    <w:rsid w:val="00E05252"/>
    <w:rsid w:val="00E05A26"/>
    <w:rsid w:val="00E06FC5"/>
    <w:rsid w:val="00E135E1"/>
    <w:rsid w:val="00E138F7"/>
    <w:rsid w:val="00E154C3"/>
    <w:rsid w:val="00E16574"/>
    <w:rsid w:val="00E16604"/>
    <w:rsid w:val="00E1795F"/>
    <w:rsid w:val="00E2008F"/>
    <w:rsid w:val="00E200F8"/>
    <w:rsid w:val="00E20628"/>
    <w:rsid w:val="00E21C13"/>
    <w:rsid w:val="00E21C3B"/>
    <w:rsid w:val="00E23A58"/>
    <w:rsid w:val="00E23B2A"/>
    <w:rsid w:val="00E24397"/>
    <w:rsid w:val="00E24595"/>
    <w:rsid w:val="00E25A01"/>
    <w:rsid w:val="00E261C8"/>
    <w:rsid w:val="00E26CDE"/>
    <w:rsid w:val="00E26E44"/>
    <w:rsid w:val="00E271F0"/>
    <w:rsid w:val="00E274ED"/>
    <w:rsid w:val="00E276B5"/>
    <w:rsid w:val="00E27B02"/>
    <w:rsid w:val="00E304BF"/>
    <w:rsid w:val="00E32FE5"/>
    <w:rsid w:val="00E339B8"/>
    <w:rsid w:val="00E352E5"/>
    <w:rsid w:val="00E356BD"/>
    <w:rsid w:val="00E35D72"/>
    <w:rsid w:val="00E36A0D"/>
    <w:rsid w:val="00E36BB3"/>
    <w:rsid w:val="00E36CA1"/>
    <w:rsid w:val="00E40CC3"/>
    <w:rsid w:val="00E40EEA"/>
    <w:rsid w:val="00E441D6"/>
    <w:rsid w:val="00E465CC"/>
    <w:rsid w:val="00E47C7E"/>
    <w:rsid w:val="00E500AD"/>
    <w:rsid w:val="00E5022A"/>
    <w:rsid w:val="00E50BA1"/>
    <w:rsid w:val="00E52C04"/>
    <w:rsid w:val="00E52DA5"/>
    <w:rsid w:val="00E534E4"/>
    <w:rsid w:val="00E536F6"/>
    <w:rsid w:val="00E53C81"/>
    <w:rsid w:val="00E543FA"/>
    <w:rsid w:val="00E54B88"/>
    <w:rsid w:val="00E55375"/>
    <w:rsid w:val="00E5587B"/>
    <w:rsid w:val="00E55A12"/>
    <w:rsid w:val="00E612DB"/>
    <w:rsid w:val="00E64511"/>
    <w:rsid w:val="00E647CC"/>
    <w:rsid w:val="00E6569A"/>
    <w:rsid w:val="00E672FB"/>
    <w:rsid w:val="00E67606"/>
    <w:rsid w:val="00E67A7B"/>
    <w:rsid w:val="00E67DED"/>
    <w:rsid w:val="00E70415"/>
    <w:rsid w:val="00E71064"/>
    <w:rsid w:val="00E7162E"/>
    <w:rsid w:val="00E71D4E"/>
    <w:rsid w:val="00E72B5D"/>
    <w:rsid w:val="00E72EB6"/>
    <w:rsid w:val="00E7398C"/>
    <w:rsid w:val="00E73B63"/>
    <w:rsid w:val="00E73C00"/>
    <w:rsid w:val="00E74028"/>
    <w:rsid w:val="00E74071"/>
    <w:rsid w:val="00E7493C"/>
    <w:rsid w:val="00E75E6D"/>
    <w:rsid w:val="00E7669C"/>
    <w:rsid w:val="00E76F8B"/>
    <w:rsid w:val="00E77BFA"/>
    <w:rsid w:val="00E8052B"/>
    <w:rsid w:val="00E80E25"/>
    <w:rsid w:val="00E83D1C"/>
    <w:rsid w:val="00E86194"/>
    <w:rsid w:val="00E87726"/>
    <w:rsid w:val="00E8790F"/>
    <w:rsid w:val="00E90202"/>
    <w:rsid w:val="00E908E8"/>
    <w:rsid w:val="00E922BE"/>
    <w:rsid w:val="00E92813"/>
    <w:rsid w:val="00E93C03"/>
    <w:rsid w:val="00E94BA2"/>
    <w:rsid w:val="00E957CD"/>
    <w:rsid w:val="00E96A82"/>
    <w:rsid w:val="00E972B8"/>
    <w:rsid w:val="00E97DC5"/>
    <w:rsid w:val="00EA19FA"/>
    <w:rsid w:val="00EA204F"/>
    <w:rsid w:val="00EA246E"/>
    <w:rsid w:val="00EA33E4"/>
    <w:rsid w:val="00EA3833"/>
    <w:rsid w:val="00EA3B37"/>
    <w:rsid w:val="00EA68AF"/>
    <w:rsid w:val="00EB56C9"/>
    <w:rsid w:val="00EB5B83"/>
    <w:rsid w:val="00EB5D9E"/>
    <w:rsid w:val="00EB7ED2"/>
    <w:rsid w:val="00EC0273"/>
    <w:rsid w:val="00EC0ABA"/>
    <w:rsid w:val="00EC14D2"/>
    <w:rsid w:val="00EC1DB2"/>
    <w:rsid w:val="00EC32AD"/>
    <w:rsid w:val="00EC381B"/>
    <w:rsid w:val="00EC3A7D"/>
    <w:rsid w:val="00EC4ABB"/>
    <w:rsid w:val="00EC5BD1"/>
    <w:rsid w:val="00EC6CF5"/>
    <w:rsid w:val="00ED1302"/>
    <w:rsid w:val="00ED2553"/>
    <w:rsid w:val="00ED2605"/>
    <w:rsid w:val="00ED2936"/>
    <w:rsid w:val="00ED59C2"/>
    <w:rsid w:val="00ED5F23"/>
    <w:rsid w:val="00ED6620"/>
    <w:rsid w:val="00ED74D0"/>
    <w:rsid w:val="00ED78A3"/>
    <w:rsid w:val="00EE08F2"/>
    <w:rsid w:val="00EE0C34"/>
    <w:rsid w:val="00EE1118"/>
    <w:rsid w:val="00EE17FF"/>
    <w:rsid w:val="00EE196A"/>
    <w:rsid w:val="00EE2417"/>
    <w:rsid w:val="00EE574C"/>
    <w:rsid w:val="00EF060E"/>
    <w:rsid w:val="00EF20D4"/>
    <w:rsid w:val="00EF3613"/>
    <w:rsid w:val="00EF369E"/>
    <w:rsid w:val="00EF5252"/>
    <w:rsid w:val="00EF5870"/>
    <w:rsid w:val="00EF6FF5"/>
    <w:rsid w:val="00EF7B25"/>
    <w:rsid w:val="00F0015A"/>
    <w:rsid w:val="00F04901"/>
    <w:rsid w:val="00F05B51"/>
    <w:rsid w:val="00F0789E"/>
    <w:rsid w:val="00F11486"/>
    <w:rsid w:val="00F1182C"/>
    <w:rsid w:val="00F1204E"/>
    <w:rsid w:val="00F13166"/>
    <w:rsid w:val="00F13317"/>
    <w:rsid w:val="00F137EE"/>
    <w:rsid w:val="00F138C5"/>
    <w:rsid w:val="00F13AC4"/>
    <w:rsid w:val="00F156AD"/>
    <w:rsid w:val="00F2022E"/>
    <w:rsid w:val="00F2031A"/>
    <w:rsid w:val="00F22229"/>
    <w:rsid w:val="00F2274E"/>
    <w:rsid w:val="00F22C98"/>
    <w:rsid w:val="00F2399E"/>
    <w:rsid w:val="00F23F2A"/>
    <w:rsid w:val="00F245CD"/>
    <w:rsid w:val="00F24C20"/>
    <w:rsid w:val="00F255EE"/>
    <w:rsid w:val="00F2580E"/>
    <w:rsid w:val="00F264AB"/>
    <w:rsid w:val="00F309D1"/>
    <w:rsid w:val="00F34FC4"/>
    <w:rsid w:val="00F36FD7"/>
    <w:rsid w:val="00F41D96"/>
    <w:rsid w:val="00F43A51"/>
    <w:rsid w:val="00F45773"/>
    <w:rsid w:val="00F46B37"/>
    <w:rsid w:val="00F504A0"/>
    <w:rsid w:val="00F52443"/>
    <w:rsid w:val="00F52F1A"/>
    <w:rsid w:val="00F53ABF"/>
    <w:rsid w:val="00F5487F"/>
    <w:rsid w:val="00F56353"/>
    <w:rsid w:val="00F56805"/>
    <w:rsid w:val="00F56960"/>
    <w:rsid w:val="00F61249"/>
    <w:rsid w:val="00F617B7"/>
    <w:rsid w:val="00F6363B"/>
    <w:rsid w:val="00F637E3"/>
    <w:rsid w:val="00F63B80"/>
    <w:rsid w:val="00F652CD"/>
    <w:rsid w:val="00F6661D"/>
    <w:rsid w:val="00F67ECB"/>
    <w:rsid w:val="00F70742"/>
    <w:rsid w:val="00F712D7"/>
    <w:rsid w:val="00F72624"/>
    <w:rsid w:val="00F72773"/>
    <w:rsid w:val="00F72AC1"/>
    <w:rsid w:val="00F732AB"/>
    <w:rsid w:val="00F73434"/>
    <w:rsid w:val="00F73ABE"/>
    <w:rsid w:val="00F73FDA"/>
    <w:rsid w:val="00F743E3"/>
    <w:rsid w:val="00F74539"/>
    <w:rsid w:val="00F74841"/>
    <w:rsid w:val="00F74FE0"/>
    <w:rsid w:val="00F75486"/>
    <w:rsid w:val="00F776A4"/>
    <w:rsid w:val="00F807EB"/>
    <w:rsid w:val="00F823D8"/>
    <w:rsid w:val="00F82BF3"/>
    <w:rsid w:val="00F8359F"/>
    <w:rsid w:val="00F83A55"/>
    <w:rsid w:val="00F851F6"/>
    <w:rsid w:val="00F85C8A"/>
    <w:rsid w:val="00F8625E"/>
    <w:rsid w:val="00F864DE"/>
    <w:rsid w:val="00F86A98"/>
    <w:rsid w:val="00F8729A"/>
    <w:rsid w:val="00F873FD"/>
    <w:rsid w:val="00F9217F"/>
    <w:rsid w:val="00F9442D"/>
    <w:rsid w:val="00F94638"/>
    <w:rsid w:val="00F948B2"/>
    <w:rsid w:val="00F94CE0"/>
    <w:rsid w:val="00F95C22"/>
    <w:rsid w:val="00F97A89"/>
    <w:rsid w:val="00FA0A16"/>
    <w:rsid w:val="00FA2501"/>
    <w:rsid w:val="00FA30CF"/>
    <w:rsid w:val="00FA3AB5"/>
    <w:rsid w:val="00FA3B10"/>
    <w:rsid w:val="00FA5CE3"/>
    <w:rsid w:val="00FA7089"/>
    <w:rsid w:val="00FB06D1"/>
    <w:rsid w:val="00FB1C15"/>
    <w:rsid w:val="00FB2D8C"/>
    <w:rsid w:val="00FB328C"/>
    <w:rsid w:val="00FB4144"/>
    <w:rsid w:val="00FB4198"/>
    <w:rsid w:val="00FB43E7"/>
    <w:rsid w:val="00FB6E98"/>
    <w:rsid w:val="00FB7057"/>
    <w:rsid w:val="00FC0D07"/>
    <w:rsid w:val="00FC15C8"/>
    <w:rsid w:val="00FC3517"/>
    <w:rsid w:val="00FC41BE"/>
    <w:rsid w:val="00FC6524"/>
    <w:rsid w:val="00FC6A6D"/>
    <w:rsid w:val="00FC70A9"/>
    <w:rsid w:val="00FC759C"/>
    <w:rsid w:val="00FD0BE7"/>
    <w:rsid w:val="00FD2EE9"/>
    <w:rsid w:val="00FD4224"/>
    <w:rsid w:val="00FD525A"/>
    <w:rsid w:val="00FD5E97"/>
    <w:rsid w:val="00FD640B"/>
    <w:rsid w:val="00FE007A"/>
    <w:rsid w:val="00FE1C46"/>
    <w:rsid w:val="00FE2C3F"/>
    <w:rsid w:val="00FE3F72"/>
    <w:rsid w:val="00FE3FD3"/>
    <w:rsid w:val="00FE4709"/>
    <w:rsid w:val="00FE5053"/>
    <w:rsid w:val="00FE6CDF"/>
    <w:rsid w:val="00FF07B3"/>
    <w:rsid w:val="00FF1965"/>
    <w:rsid w:val="00FF1E8F"/>
    <w:rsid w:val="00FF2FFE"/>
    <w:rsid w:val="00FF3C5A"/>
    <w:rsid w:val="00FF48DC"/>
    <w:rsid w:val="00FF5208"/>
    <w:rsid w:val="00FF5687"/>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58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2B7624"/>
    <w:rPr>
      <w:rFonts w:ascii="Garamond" w:hAnsi="Garamond"/>
      <w:sz w:val="20"/>
    </w:rPr>
  </w:style>
  <w:style w:type="character" w:customStyle="1" w:styleId="FootnoteTextChar">
    <w:name w:val="Footnote Text Char"/>
    <w:basedOn w:val="DefaultParagraphFont"/>
    <w:link w:val="FootnoteText"/>
    <w:uiPriority w:val="99"/>
    <w:rsid w:val="002B7624"/>
    <w:rPr>
      <w:rFonts w:ascii="Garamond" w:hAnsi="Garamond"/>
      <w:sz w:val="20"/>
    </w:rPr>
  </w:style>
  <w:style w:type="paragraph" w:styleId="ListParagraph">
    <w:name w:val="List Paragraph"/>
    <w:basedOn w:val="Normal"/>
    <w:uiPriority w:val="34"/>
    <w:qFormat/>
    <w:rsid w:val="0007056C"/>
    <w:pPr>
      <w:ind w:left="720"/>
      <w:contextualSpacing/>
    </w:pPr>
  </w:style>
  <w:style w:type="character" w:styleId="FootnoteReference">
    <w:name w:val="footnote reference"/>
    <w:basedOn w:val="DefaultParagraphFont"/>
    <w:uiPriority w:val="99"/>
    <w:unhideWhenUsed/>
    <w:rsid w:val="008A1E28"/>
    <w:rPr>
      <w:vertAlign w:val="superscript"/>
    </w:rPr>
  </w:style>
  <w:style w:type="character" w:styleId="Hyperlink">
    <w:name w:val="Hyperlink"/>
    <w:basedOn w:val="DefaultParagraphFont"/>
    <w:uiPriority w:val="99"/>
    <w:unhideWhenUsed/>
    <w:rsid w:val="000F6DFD"/>
    <w:rPr>
      <w:color w:val="0563C1" w:themeColor="hyperlink"/>
      <w:u w:val="single"/>
    </w:rPr>
  </w:style>
  <w:style w:type="table" w:styleId="TableGrid">
    <w:name w:val="Table Grid"/>
    <w:basedOn w:val="TableNormal"/>
    <w:uiPriority w:val="59"/>
    <w:rsid w:val="004D2F8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AA0B20"/>
    <w:rPr>
      <w:rFonts w:eastAsiaTheme="minorEastAsia"/>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77967"/>
    <w:pPr>
      <w:tabs>
        <w:tab w:val="center" w:pos="4680"/>
        <w:tab w:val="right" w:pos="9360"/>
      </w:tabs>
    </w:pPr>
  </w:style>
  <w:style w:type="character" w:customStyle="1" w:styleId="FooterChar">
    <w:name w:val="Footer Char"/>
    <w:basedOn w:val="DefaultParagraphFont"/>
    <w:link w:val="Footer"/>
    <w:uiPriority w:val="99"/>
    <w:rsid w:val="00A77967"/>
  </w:style>
  <w:style w:type="character" w:styleId="PageNumber">
    <w:name w:val="page number"/>
    <w:basedOn w:val="DefaultParagraphFont"/>
    <w:uiPriority w:val="99"/>
    <w:semiHidden/>
    <w:unhideWhenUsed/>
    <w:rsid w:val="00A77967"/>
  </w:style>
  <w:style w:type="paragraph" w:styleId="Bibliography">
    <w:name w:val="Bibliography"/>
    <w:basedOn w:val="Normal"/>
    <w:next w:val="Normal"/>
    <w:uiPriority w:val="37"/>
    <w:unhideWhenUsed/>
    <w:rsid w:val="00FD640B"/>
    <w:pPr>
      <w:ind w:left="720" w:hanging="720"/>
    </w:pPr>
  </w:style>
  <w:style w:type="paragraph" w:styleId="BalloonText">
    <w:name w:val="Balloon Text"/>
    <w:basedOn w:val="Normal"/>
    <w:link w:val="BalloonTextChar"/>
    <w:uiPriority w:val="99"/>
    <w:semiHidden/>
    <w:unhideWhenUsed/>
    <w:rsid w:val="00485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481"/>
    <w:rPr>
      <w:rFonts w:ascii="Segoe UI" w:hAnsi="Segoe UI" w:cs="Segoe UI"/>
      <w:sz w:val="18"/>
      <w:szCs w:val="18"/>
    </w:rPr>
  </w:style>
  <w:style w:type="character" w:styleId="CommentReference">
    <w:name w:val="annotation reference"/>
    <w:basedOn w:val="DefaultParagraphFont"/>
    <w:uiPriority w:val="99"/>
    <w:semiHidden/>
    <w:unhideWhenUsed/>
    <w:rsid w:val="004B7CCF"/>
    <w:rPr>
      <w:sz w:val="16"/>
      <w:szCs w:val="16"/>
    </w:rPr>
  </w:style>
  <w:style w:type="paragraph" w:styleId="CommentText">
    <w:name w:val="annotation text"/>
    <w:basedOn w:val="Normal"/>
    <w:link w:val="CommentTextChar"/>
    <w:uiPriority w:val="99"/>
    <w:semiHidden/>
    <w:unhideWhenUsed/>
    <w:rsid w:val="004B7CCF"/>
    <w:rPr>
      <w:sz w:val="20"/>
      <w:szCs w:val="20"/>
    </w:rPr>
  </w:style>
  <w:style w:type="character" w:customStyle="1" w:styleId="CommentTextChar">
    <w:name w:val="Comment Text Char"/>
    <w:basedOn w:val="DefaultParagraphFont"/>
    <w:link w:val="CommentText"/>
    <w:uiPriority w:val="99"/>
    <w:semiHidden/>
    <w:rsid w:val="004B7CCF"/>
    <w:rPr>
      <w:sz w:val="20"/>
      <w:szCs w:val="20"/>
    </w:rPr>
  </w:style>
  <w:style w:type="paragraph" w:styleId="CommentSubject">
    <w:name w:val="annotation subject"/>
    <w:basedOn w:val="CommentText"/>
    <w:next w:val="CommentText"/>
    <w:link w:val="CommentSubjectChar"/>
    <w:uiPriority w:val="99"/>
    <w:semiHidden/>
    <w:unhideWhenUsed/>
    <w:rsid w:val="004B7CCF"/>
    <w:rPr>
      <w:b/>
      <w:bCs/>
    </w:rPr>
  </w:style>
  <w:style w:type="character" w:customStyle="1" w:styleId="CommentSubjectChar">
    <w:name w:val="Comment Subject Char"/>
    <w:basedOn w:val="CommentTextChar"/>
    <w:link w:val="CommentSubject"/>
    <w:uiPriority w:val="99"/>
    <w:semiHidden/>
    <w:rsid w:val="004B7CCF"/>
    <w:rPr>
      <w:b/>
      <w:bCs/>
      <w:sz w:val="20"/>
      <w:szCs w:val="20"/>
    </w:rPr>
  </w:style>
  <w:style w:type="paragraph" w:styleId="NormalWeb">
    <w:name w:val="Normal (Web)"/>
    <w:basedOn w:val="Normal"/>
    <w:uiPriority w:val="99"/>
    <w:unhideWhenUsed/>
    <w:rsid w:val="00AD38ED"/>
    <w:pPr>
      <w:spacing w:before="100" w:beforeAutospacing="1" w:after="100" w:afterAutospacing="1"/>
    </w:pPr>
    <w:rPr>
      <w:rFonts w:ascii="Times New Roman" w:eastAsiaTheme="minorEastAsia" w:hAnsi="Times New Roman" w:cs="Times New Roman"/>
    </w:rPr>
  </w:style>
  <w:style w:type="paragraph" w:styleId="DocumentMap">
    <w:name w:val="Document Map"/>
    <w:basedOn w:val="Normal"/>
    <w:link w:val="DocumentMapChar"/>
    <w:uiPriority w:val="99"/>
    <w:semiHidden/>
    <w:unhideWhenUsed/>
    <w:rsid w:val="00C878FB"/>
    <w:rPr>
      <w:rFonts w:ascii="Times New Roman" w:hAnsi="Times New Roman" w:cs="Times New Roman"/>
    </w:rPr>
  </w:style>
  <w:style w:type="character" w:customStyle="1" w:styleId="DocumentMapChar">
    <w:name w:val="Document Map Char"/>
    <w:basedOn w:val="DefaultParagraphFont"/>
    <w:link w:val="DocumentMap"/>
    <w:uiPriority w:val="99"/>
    <w:semiHidden/>
    <w:rsid w:val="00C878FB"/>
    <w:rPr>
      <w:rFonts w:ascii="Times New Roman" w:hAnsi="Times New Roman" w:cs="Times New Roman"/>
    </w:rPr>
  </w:style>
  <w:style w:type="paragraph" w:styleId="Revision">
    <w:name w:val="Revision"/>
    <w:hidden/>
    <w:uiPriority w:val="99"/>
    <w:semiHidden/>
    <w:rsid w:val="00C878FB"/>
  </w:style>
  <w:style w:type="character" w:styleId="EndnoteReference">
    <w:name w:val="endnote reference"/>
    <w:basedOn w:val="DefaultParagraphFont"/>
    <w:uiPriority w:val="99"/>
    <w:unhideWhenUsed/>
    <w:rsid w:val="00BA647E"/>
    <w:rPr>
      <w:vertAlign w:val="superscript"/>
    </w:rPr>
  </w:style>
  <w:style w:type="paragraph" w:styleId="EndnoteText">
    <w:name w:val="endnote text"/>
    <w:basedOn w:val="Normal"/>
    <w:link w:val="EndnoteTextChar"/>
    <w:uiPriority w:val="99"/>
    <w:unhideWhenUsed/>
    <w:rsid w:val="00BA647E"/>
    <w:rPr>
      <w:rFonts w:eastAsiaTheme="minorEastAsia"/>
      <w:noProof/>
    </w:rPr>
  </w:style>
  <w:style w:type="character" w:customStyle="1" w:styleId="EndnoteTextChar">
    <w:name w:val="Endnote Text Char"/>
    <w:basedOn w:val="DefaultParagraphFont"/>
    <w:link w:val="EndnoteText"/>
    <w:uiPriority w:val="99"/>
    <w:rsid w:val="00BA647E"/>
    <w:rPr>
      <w:rFonts w:eastAsiaTheme="minorEastAsia"/>
      <w:noProof/>
    </w:rPr>
  </w:style>
  <w:style w:type="character" w:customStyle="1" w:styleId="apple-converted-space">
    <w:name w:val="apple-converted-space"/>
    <w:basedOn w:val="DefaultParagraphFont"/>
    <w:rsid w:val="00707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666036">
      <w:bodyDiv w:val="1"/>
      <w:marLeft w:val="0"/>
      <w:marRight w:val="0"/>
      <w:marTop w:val="0"/>
      <w:marBottom w:val="0"/>
      <w:divBdr>
        <w:top w:val="none" w:sz="0" w:space="0" w:color="auto"/>
        <w:left w:val="none" w:sz="0" w:space="0" w:color="auto"/>
        <w:bottom w:val="none" w:sz="0" w:space="0" w:color="auto"/>
        <w:right w:val="none" w:sz="0" w:space="0" w:color="auto"/>
      </w:divBdr>
    </w:div>
    <w:div w:id="879172894">
      <w:bodyDiv w:val="1"/>
      <w:marLeft w:val="0"/>
      <w:marRight w:val="0"/>
      <w:marTop w:val="0"/>
      <w:marBottom w:val="0"/>
      <w:divBdr>
        <w:top w:val="none" w:sz="0" w:space="0" w:color="auto"/>
        <w:left w:val="none" w:sz="0" w:space="0" w:color="auto"/>
        <w:bottom w:val="none" w:sz="0" w:space="0" w:color="auto"/>
        <w:right w:val="none" w:sz="0" w:space="0" w:color="auto"/>
      </w:divBdr>
    </w:div>
    <w:div w:id="928387903">
      <w:bodyDiv w:val="1"/>
      <w:marLeft w:val="0"/>
      <w:marRight w:val="0"/>
      <w:marTop w:val="0"/>
      <w:marBottom w:val="0"/>
      <w:divBdr>
        <w:top w:val="none" w:sz="0" w:space="0" w:color="auto"/>
        <w:left w:val="none" w:sz="0" w:space="0" w:color="auto"/>
        <w:bottom w:val="none" w:sz="0" w:space="0" w:color="auto"/>
        <w:right w:val="none" w:sz="0" w:space="0" w:color="auto"/>
      </w:divBdr>
    </w:div>
    <w:div w:id="1551652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2.vatican.va/content/benedict-xvi/en/speeches/2006/march/documents/hf_ben-xvi_spe_20060330_eu-parliamentarians.html" TargetMode="External"/><Relationship Id="rId2" Type="http://schemas.openxmlformats.org/officeDocument/2006/relationships/hyperlink" Target="javascript:open_window('http://www.religionand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4C3E75-681F-5D4B-A097-6D491574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19636</Words>
  <Characters>111931</Characters>
  <Application>Microsoft Macintosh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SF State</Company>
  <LinksUpToDate>false</LinksUpToDate>
  <CharactersWithSpaces>131305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Siegel</dc:creator>
  <cp:keywords/>
  <dc:description/>
  <cp:lastModifiedBy>Scott Siegel</cp:lastModifiedBy>
  <cp:revision>5</cp:revision>
  <cp:lastPrinted>2017-04-24T14:48:00Z</cp:lastPrinted>
  <dcterms:created xsi:type="dcterms:W3CDTF">2017-04-24T18:02:00Z</dcterms:created>
  <dcterms:modified xsi:type="dcterms:W3CDTF">2017-04-24T18:03:00Z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id="k0GL6EOo"/&gt;&lt;style id="http://www.zotero.org/styles/chicago-author-date" locale="en-US"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