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22F72" w14:textId="77777777" w:rsidR="0023707F" w:rsidRPr="00576FA5" w:rsidRDefault="0023707F" w:rsidP="0023707F">
      <w:pPr>
        <w:spacing w:line="276" w:lineRule="auto"/>
        <w:rPr>
          <w:b/>
        </w:rPr>
      </w:pPr>
    </w:p>
    <w:p w14:paraId="0E43118B" w14:textId="77777777" w:rsidR="0023707F" w:rsidRDefault="0023707F" w:rsidP="0023707F">
      <w:pPr>
        <w:jc w:val="center"/>
        <w:rPr>
          <w:rFonts w:eastAsia="Times New Roman" w:cs="Arial"/>
          <w:b/>
          <w:sz w:val="36"/>
          <w:szCs w:val="36"/>
          <w:lang w:val="en-US"/>
        </w:rPr>
      </w:pPr>
      <w:r w:rsidRPr="00D82050">
        <w:rPr>
          <w:rFonts w:eastAsia="Times New Roman" w:cs="Arial"/>
          <w:b/>
          <w:sz w:val="36"/>
          <w:szCs w:val="36"/>
          <w:lang w:val="en-US"/>
        </w:rPr>
        <w:t xml:space="preserve">Taming </w:t>
      </w:r>
      <w:r>
        <w:rPr>
          <w:rFonts w:eastAsia="Times New Roman" w:cs="Arial"/>
          <w:b/>
          <w:sz w:val="36"/>
          <w:szCs w:val="36"/>
          <w:lang w:val="en-US"/>
        </w:rPr>
        <w:t>Global Finance</w:t>
      </w:r>
      <w:r w:rsidRPr="00D82050">
        <w:rPr>
          <w:rFonts w:eastAsia="Times New Roman" w:cs="Arial"/>
          <w:b/>
          <w:sz w:val="36"/>
          <w:szCs w:val="36"/>
          <w:lang w:val="en-US"/>
        </w:rPr>
        <w:t xml:space="preserve"> in </w:t>
      </w:r>
      <w:r>
        <w:rPr>
          <w:rFonts w:eastAsia="Times New Roman" w:cs="Arial"/>
          <w:b/>
          <w:sz w:val="36"/>
          <w:szCs w:val="36"/>
          <w:lang w:val="en-US"/>
        </w:rPr>
        <w:t>a</w:t>
      </w:r>
      <w:r w:rsidRPr="00D82050">
        <w:rPr>
          <w:rFonts w:eastAsia="Times New Roman" w:cs="Arial"/>
          <w:b/>
          <w:sz w:val="36"/>
          <w:szCs w:val="36"/>
          <w:lang w:val="en-US"/>
        </w:rPr>
        <w:t xml:space="preserve">n </w:t>
      </w:r>
      <w:r>
        <w:rPr>
          <w:rFonts w:eastAsia="Times New Roman" w:cs="Arial"/>
          <w:b/>
          <w:sz w:val="36"/>
          <w:szCs w:val="36"/>
          <w:lang w:val="en-US"/>
        </w:rPr>
        <w:t>A</w:t>
      </w:r>
      <w:r w:rsidRPr="00D82050">
        <w:rPr>
          <w:rFonts w:eastAsia="Times New Roman" w:cs="Arial"/>
          <w:b/>
          <w:sz w:val="36"/>
          <w:szCs w:val="36"/>
          <w:lang w:val="en-US"/>
        </w:rPr>
        <w:t xml:space="preserve">ge of </w:t>
      </w:r>
      <w:r>
        <w:rPr>
          <w:rFonts w:eastAsia="Times New Roman" w:cs="Arial"/>
          <w:b/>
          <w:sz w:val="36"/>
          <w:szCs w:val="36"/>
          <w:lang w:val="en-US"/>
        </w:rPr>
        <w:t>C</w:t>
      </w:r>
      <w:r w:rsidRPr="00D82050">
        <w:rPr>
          <w:rFonts w:eastAsia="Times New Roman" w:cs="Arial"/>
          <w:b/>
          <w:sz w:val="36"/>
          <w:szCs w:val="36"/>
          <w:lang w:val="en-US"/>
        </w:rPr>
        <w:t>apital</w:t>
      </w:r>
      <w:r>
        <w:rPr>
          <w:rFonts w:eastAsia="Times New Roman" w:cs="Arial"/>
          <w:b/>
          <w:sz w:val="36"/>
          <w:szCs w:val="36"/>
          <w:lang w:val="en-US"/>
        </w:rPr>
        <w:t>?</w:t>
      </w:r>
    </w:p>
    <w:p w14:paraId="3E04AEE7" w14:textId="77777777" w:rsidR="0023707F" w:rsidRPr="00D82050" w:rsidRDefault="0023707F" w:rsidP="0023707F">
      <w:pPr>
        <w:jc w:val="center"/>
        <w:rPr>
          <w:rFonts w:eastAsia="Times New Roman" w:cs="Arial"/>
          <w:b/>
          <w:sz w:val="36"/>
          <w:szCs w:val="36"/>
          <w:lang w:val="en-US"/>
        </w:rPr>
      </w:pPr>
      <w:r w:rsidRPr="00D82050">
        <w:rPr>
          <w:rFonts w:eastAsia="Times New Roman" w:cs="Arial"/>
          <w:b/>
          <w:sz w:val="36"/>
          <w:szCs w:val="36"/>
          <w:lang w:val="en-US"/>
        </w:rPr>
        <w:t xml:space="preserve"> </w:t>
      </w:r>
    </w:p>
    <w:p w14:paraId="54B6B09A" w14:textId="77777777" w:rsidR="0023707F" w:rsidRPr="002427E9" w:rsidRDefault="0023707F" w:rsidP="0023707F">
      <w:pPr>
        <w:jc w:val="center"/>
        <w:rPr>
          <w:rFonts w:eastAsia="Times New Roman" w:cs="Arial"/>
          <w:b/>
          <w:sz w:val="30"/>
          <w:szCs w:val="30"/>
          <w:lang w:val="en-US"/>
        </w:rPr>
      </w:pPr>
      <w:r>
        <w:rPr>
          <w:rFonts w:eastAsia="Times New Roman" w:cs="Arial"/>
          <w:b/>
          <w:sz w:val="30"/>
          <w:szCs w:val="30"/>
          <w:lang w:val="en-US"/>
        </w:rPr>
        <w:t>Wage-Setting i</w:t>
      </w:r>
      <w:r w:rsidRPr="002427E9">
        <w:rPr>
          <w:rFonts w:eastAsia="Times New Roman" w:cs="Arial"/>
          <w:b/>
          <w:sz w:val="30"/>
          <w:szCs w:val="30"/>
          <w:lang w:val="en-US"/>
        </w:rPr>
        <w:t>nstitutio</w:t>
      </w:r>
      <w:r>
        <w:rPr>
          <w:rFonts w:eastAsia="Times New Roman" w:cs="Arial"/>
          <w:b/>
          <w:sz w:val="30"/>
          <w:szCs w:val="30"/>
          <w:lang w:val="en-US"/>
        </w:rPr>
        <w:t>ns' mitigating effects on h</w:t>
      </w:r>
      <w:r w:rsidRPr="002427E9">
        <w:rPr>
          <w:rFonts w:eastAsia="Times New Roman" w:cs="Arial"/>
          <w:b/>
          <w:sz w:val="30"/>
          <w:szCs w:val="30"/>
          <w:lang w:val="en-US"/>
        </w:rPr>
        <w:t xml:space="preserve">ousing </w:t>
      </w:r>
      <w:r>
        <w:rPr>
          <w:rFonts w:eastAsia="Times New Roman" w:cs="Arial"/>
          <w:b/>
          <w:sz w:val="30"/>
          <w:szCs w:val="30"/>
          <w:lang w:val="en-US"/>
        </w:rPr>
        <w:t>b</w:t>
      </w:r>
      <w:r w:rsidRPr="002427E9">
        <w:rPr>
          <w:rFonts w:eastAsia="Times New Roman" w:cs="Arial"/>
          <w:b/>
          <w:sz w:val="30"/>
          <w:szCs w:val="30"/>
          <w:lang w:val="en-US"/>
        </w:rPr>
        <w:t>ubbles</w:t>
      </w:r>
    </w:p>
    <w:p w14:paraId="7FA1F83B" w14:textId="77777777" w:rsidR="0023707F" w:rsidRPr="00114767" w:rsidRDefault="0023707F" w:rsidP="0023707F">
      <w:pPr>
        <w:spacing w:line="276" w:lineRule="auto"/>
        <w:ind w:left="360"/>
        <w:jc w:val="center"/>
        <w:rPr>
          <w:b/>
          <w:sz w:val="30"/>
          <w:szCs w:val="30"/>
        </w:rPr>
      </w:pPr>
    </w:p>
    <w:p w14:paraId="03BCEC0B" w14:textId="77777777" w:rsidR="0023707F" w:rsidRPr="00427125" w:rsidRDefault="0023707F" w:rsidP="0023707F">
      <w:pPr>
        <w:spacing w:line="276" w:lineRule="auto"/>
        <w:rPr>
          <w:b/>
          <w:sz w:val="26"/>
          <w:szCs w:val="26"/>
        </w:rPr>
      </w:pPr>
    </w:p>
    <w:p w14:paraId="01B8182C" w14:textId="77777777" w:rsidR="0023707F" w:rsidRDefault="0023707F" w:rsidP="0023707F">
      <w:pPr>
        <w:spacing w:line="276" w:lineRule="auto"/>
        <w:ind w:left="360"/>
        <w:jc w:val="center"/>
      </w:pPr>
      <w:r w:rsidRPr="00427125">
        <w:t>Alison Johnston</w:t>
      </w:r>
      <w:r w:rsidR="0018592B">
        <w:rPr>
          <w:rStyle w:val="FootnoteReference"/>
        </w:rPr>
        <w:footnoteReference w:id="1"/>
      </w:r>
      <w:r w:rsidRPr="00427125">
        <w:t xml:space="preserve"> </w:t>
      </w:r>
      <w:r w:rsidR="0018592B">
        <w:t>and</w:t>
      </w:r>
      <w:r>
        <w:t xml:space="preserve"> Aidan Regan</w:t>
      </w:r>
      <w:r w:rsidR="0018592B">
        <w:rPr>
          <w:rStyle w:val="FootnoteReference"/>
        </w:rPr>
        <w:footnoteReference w:id="2"/>
      </w:r>
      <w:r>
        <w:t xml:space="preserve"> </w:t>
      </w:r>
    </w:p>
    <w:p w14:paraId="0E840FFA" w14:textId="77777777" w:rsidR="0023707F" w:rsidRDefault="0023707F" w:rsidP="0023707F">
      <w:pPr>
        <w:spacing w:line="276" w:lineRule="auto"/>
        <w:jc w:val="center"/>
      </w:pPr>
    </w:p>
    <w:p w14:paraId="7B65A1F1" w14:textId="117649D9" w:rsidR="0023707F" w:rsidRDefault="00A254CA" w:rsidP="0023707F">
      <w:pPr>
        <w:spacing w:line="276" w:lineRule="auto"/>
        <w:jc w:val="center"/>
      </w:pPr>
      <w:r>
        <w:t>Conference Paper for the 2015 Annual EUSA Conference</w:t>
      </w:r>
    </w:p>
    <w:p w14:paraId="3814695F" w14:textId="77777777" w:rsidR="00A254CA" w:rsidRDefault="00A254CA" w:rsidP="0023707F">
      <w:pPr>
        <w:spacing w:line="276" w:lineRule="auto"/>
        <w:jc w:val="center"/>
      </w:pPr>
    </w:p>
    <w:p w14:paraId="6A3F37AD" w14:textId="18D50DBE" w:rsidR="00A254CA" w:rsidRPr="00A254CA" w:rsidRDefault="00A254CA" w:rsidP="0023707F">
      <w:pPr>
        <w:spacing w:line="276" w:lineRule="auto"/>
        <w:jc w:val="center"/>
        <w:rPr>
          <w:i/>
        </w:rPr>
      </w:pPr>
      <w:r w:rsidRPr="00A254CA">
        <w:rPr>
          <w:i/>
        </w:rPr>
        <w:t>This is a draft.  Please do not cite without authors’ permission.</w:t>
      </w:r>
    </w:p>
    <w:p w14:paraId="05028D45" w14:textId="77777777" w:rsidR="0023707F" w:rsidRDefault="0023707F" w:rsidP="0023707F">
      <w:pPr>
        <w:spacing w:line="276" w:lineRule="auto"/>
      </w:pPr>
    </w:p>
    <w:p w14:paraId="4DF24723" w14:textId="062A0371" w:rsidR="0023707F" w:rsidRDefault="008A4927" w:rsidP="0023707F">
      <w:pPr>
        <w:jc w:val="both"/>
      </w:pPr>
      <w:r w:rsidRPr="008A4927">
        <w:rPr>
          <w:b/>
        </w:rPr>
        <w:t>Abstract</w:t>
      </w:r>
      <w:r>
        <w:t xml:space="preserve">: </w:t>
      </w:r>
      <w:r w:rsidR="0023707F">
        <w:t>A</w:t>
      </w:r>
      <w:r w:rsidR="0023707F" w:rsidRPr="002427E9">
        <w:t>nalyses in international</w:t>
      </w:r>
      <w:r w:rsidR="0023707F">
        <w:t xml:space="preserve"> </w:t>
      </w:r>
      <w:r w:rsidR="0023707F" w:rsidRPr="002427E9">
        <w:t>political economy (IPE) identify interest rate convergence</w:t>
      </w:r>
      <w:r w:rsidR="0030202A">
        <w:t>, magnified in the process of European monetary integration,</w:t>
      </w:r>
      <w:r w:rsidR="0023707F">
        <w:t xml:space="preserve"> </w:t>
      </w:r>
      <w:r w:rsidR="0023707F" w:rsidRPr="002427E9">
        <w:t xml:space="preserve">and financial market liberalization as causal factors behind the rise of </w:t>
      </w:r>
      <w:r w:rsidR="0023707F">
        <w:t xml:space="preserve">house prices.  Despite these </w:t>
      </w:r>
      <w:r w:rsidR="0023707F" w:rsidRPr="002427E9">
        <w:t>common credit</w:t>
      </w:r>
      <w:r w:rsidR="0023707F">
        <w:t xml:space="preserve"> supply shocks, developed economies experienced </w:t>
      </w:r>
      <w:r w:rsidR="0023707F" w:rsidRPr="002427E9">
        <w:t>heterogeneous trends in housing inflation throughout the 1990s an</w:t>
      </w:r>
      <w:r w:rsidR="0018592B">
        <w:t>d 2000s.</w:t>
      </w:r>
      <w:r w:rsidR="0023707F">
        <w:t xml:space="preserve"> </w:t>
      </w:r>
      <w:r w:rsidR="0023707F" w:rsidRPr="002427E9">
        <w:t xml:space="preserve">Turning towards </w:t>
      </w:r>
      <w:r w:rsidR="0023707F" w:rsidRPr="00A13293">
        <w:rPr>
          <w:i/>
        </w:rPr>
        <w:t>demand determinants</w:t>
      </w:r>
      <w:r w:rsidR="0023707F" w:rsidRPr="002427E9">
        <w:t xml:space="preserve"> of housing pri</w:t>
      </w:r>
      <w:r w:rsidR="0023707F">
        <w:t>ces, we focus on whether wage-setting institutions</w:t>
      </w:r>
      <w:r w:rsidR="0023707F" w:rsidRPr="002427E9">
        <w:t xml:space="preserve"> blunt financial liberalization’s impact on housing inflation via their restraining eff</w:t>
      </w:r>
      <w:r w:rsidR="0023707F">
        <w:t>ect on incomes.  Employing both</w:t>
      </w:r>
      <w:r w:rsidR="0023707F" w:rsidRPr="002427E9">
        <w:t xml:space="preserve"> a panel </w:t>
      </w:r>
      <w:r w:rsidR="00544A06">
        <w:t xml:space="preserve">regression </w:t>
      </w:r>
      <w:r w:rsidR="0023707F">
        <w:t>analysis</w:t>
      </w:r>
      <w:r w:rsidR="0023707F" w:rsidRPr="002427E9">
        <w:t xml:space="preserve"> and a structured comparison of housing developments in Ireland and the Netherlands, we uncover two findings</w:t>
      </w:r>
      <w:r w:rsidR="00544A06">
        <w:t>.</w:t>
      </w:r>
      <w:r w:rsidR="0023707F" w:rsidRPr="002427E9">
        <w:t xml:space="preserve"> </w:t>
      </w:r>
      <w:r w:rsidR="00B27AE1">
        <w:t xml:space="preserve">First, </w:t>
      </w:r>
      <w:r w:rsidR="0023707F" w:rsidRPr="002427E9">
        <w:t xml:space="preserve">income growth is a more important predictor of </w:t>
      </w:r>
      <w:r w:rsidR="0023707F">
        <w:t>housing bubbles</w:t>
      </w:r>
      <w:r w:rsidR="00B27AE1">
        <w:t xml:space="preserve"> across OECD economies</w:t>
      </w:r>
      <w:r w:rsidR="0023707F">
        <w:t xml:space="preserve"> than financial variables </w:t>
      </w:r>
      <w:r w:rsidR="00B27AE1">
        <w:t xml:space="preserve"> (although income’s impact on house prices is severely mitigated for the United States)</w:t>
      </w:r>
      <w:r w:rsidR="00544A06">
        <w:t>.</w:t>
      </w:r>
      <w:r w:rsidR="0023707F" w:rsidRPr="002427E9">
        <w:t xml:space="preserve"> </w:t>
      </w:r>
      <w:r w:rsidR="00544A06">
        <w:t xml:space="preserve"> Second, </w:t>
      </w:r>
      <w:r w:rsidR="0023707F" w:rsidRPr="002427E9">
        <w:t xml:space="preserve">countries with coordinated </w:t>
      </w:r>
      <w:r w:rsidR="0023707F">
        <w:t>labor market</w:t>
      </w:r>
      <w:r w:rsidR="0023707F" w:rsidRPr="002427E9">
        <w:t xml:space="preserve"> institutions that grant </w:t>
      </w:r>
      <w:r w:rsidR="00A33AC6">
        <w:t>political coalitions</w:t>
      </w:r>
      <w:r w:rsidR="00B27AE1">
        <w:t xml:space="preserve"> in the </w:t>
      </w:r>
      <w:r w:rsidR="0023707F">
        <w:t>export</w:t>
      </w:r>
      <w:r w:rsidR="0023707F" w:rsidRPr="002427E9">
        <w:t xml:space="preserve"> sector veto powers over </w:t>
      </w:r>
      <w:r w:rsidR="0023707F">
        <w:t>non-tradable</w:t>
      </w:r>
      <w:r w:rsidR="0023707F" w:rsidRPr="002427E9">
        <w:t xml:space="preserve"> sector</w:t>
      </w:r>
      <w:r w:rsidR="00FE1051">
        <w:t xml:space="preserve"> </w:t>
      </w:r>
      <w:r w:rsidR="00B27AE1">
        <w:t>interests</w:t>
      </w:r>
      <w:r w:rsidR="0023707F" w:rsidRPr="002427E9">
        <w:t xml:space="preserve">, realize more restrained income growth and, in turn, are less prone to housing bubbles. </w:t>
      </w:r>
    </w:p>
    <w:p w14:paraId="6E8D2F0C" w14:textId="77777777" w:rsidR="0023707F" w:rsidRDefault="0023707F" w:rsidP="0023707F">
      <w:pPr>
        <w:jc w:val="both"/>
      </w:pPr>
    </w:p>
    <w:p w14:paraId="3952C1E4" w14:textId="00851FE7" w:rsidR="0023707F" w:rsidRDefault="0018592B" w:rsidP="0023707F">
      <w:pPr>
        <w:jc w:val="both"/>
      </w:pPr>
      <w:r w:rsidRPr="0018592B">
        <w:rPr>
          <w:b/>
        </w:rPr>
        <w:t>Acknowledgements</w:t>
      </w:r>
      <w:r w:rsidR="00A254CA">
        <w:t xml:space="preserve">: We thank Samuel </w:t>
      </w:r>
      <w:proofErr w:type="spellStart"/>
      <w:r w:rsidR="00A254CA">
        <w:t>Brazys</w:t>
      </w:r>
      <w:proofErr w:type="spellEnd"/>
      <w:r w:rsidR="00A254CA">
        <w:t>, Greg Fuller</w:t>
      </w:r>
      <w:r w:rsidR="000D47AB">
        <w:t xml:space="preserve">, </w:t>
      </w:r>
      <w:r>
        <w:t>Todd Pugatch and Elizabeth Schroeder for their helpful comments.  Any errors lie solely with the authors.</w:t>
      </w:r>
    </w:p>
    <w:p w14:paraId="36E51C46" w14:textId="77777777" w:rsidR="0023707F" w:rsidRDefault="0023707F" w:rsidP="0023707F">
      <w:pPr>
        <w:jc w:val="both"/>
      </w:pPr>
    </w:p>
    <w:p w14:paraId="0E7A781C" w14:textId="77777777" w:rsidR="0023707F" w:rsidRDefault="0023707F" w:rsidP="0023707F">
      <w:pPr>
        <w:jc w:val="both"/>
      </w:pPr>
    </w:p>
    <w:p w14:paraId="0B5E7303" w14:textId="77777777" w:rsidR="0023707F" w:rsidRDefault="0023707F" w:rsidP="0023707F">
      <w:pPr>
        <w:jc w:val="both"/>
      </w:pPr>
    </w:p>
    <w:p w14:paraId="579405BC" w14:textId="77777777" w:rsidR="00555C96" w:rsidRDefault="00555C96" w:rsidP="0023707F">
      <w:pPr>
        <w:jc w:val="both"/>
      </w:pPr>
    </w:p>
    <w:p w14:paraId="64ACE30C" w14:textId="77777777" w:rsidR="0023707F" w:rsidRDefault="0023707F" w:rsidP="0023707F">
      <w:pPr>
        <w:jc w:val="both"/>
      </w:pPr>
    </w:p>
    <w:p w14:paraId="578F36D3" w14:textId="77777777" w:rsidR="0023707F" w:rsidRDefault="0023707F" w:rsidP="0023707F">
      <w:pPr>
        <w:jc w:val="both"/>
      </w:pPr>
    </w:p>
    <w:p w14:paraId="2C3712F9" w14:textId="77777777" w:rsidR="0018592B" w:rsidRDefault="0018592B" w:rsidP="0023707F">
      <w:pPr>
        <w:jc w:val="both"/>
      </w:pPr>
    </w:p>
    <w:p w14:paraId="57DF9786" w14:textId="77777777" w:rsidR="0018592B" w:rsidRDefault="0018592B" w:rsidP="0023707F">
      <w:pPr>
        <w:jc w:val="both"/>
      </w:pPr>
    </w:p>
    <w:p w14:paraId="37C4CAF1" w14:textId="77777777" w:rsidR="0018592B" w:rsidRDefault="0018592B" w:rsidP="0023707F">
      <w:pPr>
        <w:jc w:val="both"/>
      </w:pPr>
    </w:p>
    <w:p w14:paraId="73D679B2" w14:textId="77777777" w:rsidR="00F865E7" w:rsidRDefault="00F865E7" w:rsidP="0023707F">
      <w:pPr>
        <w:jc w:val="both"/>
      </w:pPr>
    </w:p>
    <w:p w14:paraId="13AA6289" w14:textId="77777777" w:rsidR="00620F28" w:rsidRDefault="00620F28" w:rsidP="0023707F">
      <w:pPr>
        <w:jc w:val="both"/>
      </w:pPr>
    </w:p>
    <w:p w14:paraId="0E2589E8" w14:textId="77777777" w:rsidR="00A254CA" w:rsidRDefault="00A254CA" w:rsidP="0023707F">
      <w:pPr>
        <w:jc w:val="both"/>
      </w:pPr>
    </w:p>
    <w:p w14:paraId="0A92D33A" w14:textId="77777777" w:rsidR="0018592B" w:rsidRDefault="0018592B" w:rsidP="0023707F">
      <w:pPr>
        <w:jc w:val="both"/>
      </w:pPr>
    </w:p>
    <w:p w14:paraId="3E21534B" w14:textId="14D2BE2D" w:rsidR="0023707F" w:rsidRDefault="0023707F" w:rsidP="0023707F">
      <w:pPr>
        <w:spacing w:line="276" w:lineRule="auto"/>
        <w:jc w:val="both"/>
      </w:pPr>
      <w:r w:rsidRPr="005170B1">
        <w:rPr>
          <w:b/>
        </w:rPr>
        <w:lastRenderedPageBreak/>
        <w:t>Introduction</w:t>
      </w:r>
    </w:p>
    <w:p w14:paraId="1F85285C" w14:textId="77777777" w:rsidR="00620F28" w:rsidRDefault="00620F28" w:rsidP="0023707F">
      <w:pPr>
        <w:spacing w:line="276" w:lineRule="auto"/>
        <w:jc w:val="both"/>
      </w:pPr>
    </w:p>
    <w:p w14:paraId="526A092B" w14:textId="77777777" w:rsidR="0023707F" w:rsidRDefault="0023707F" w:rsidP="0023707F">
      <w:pPr>
        <w:spacing w:line="276" w:lineRule="auto"/>
        <w:jc w:val="both"/>
      </w:pPr>
      <w:r>
        <w:t>The 2006 U</w:t>
      </w:r>
      <w:r w:rsidR="00225A5D">
        <w:t>nited States (US)</w:t>
      </w:r>
      <w:r>
        <w:t xml:space="preserve"> subprime mortgage crisis and subsequent 2008 global financial crisis demonstrated the devastating effects of housing and asset price bubbles on national economies.  In addition to their destabilizing effects on the political economy at large, implosions of housing bubbles also have important equity implications.  Sudden declines in housing value can display </w:t>
      </w:r>
      <w:r w:rsidRPr="00004715">
        <w:t>regressive effects if disproportionate shares of poor households have a substantial proportion of their wealth stored in (subprime based) mortgages (</w:t>
      </w:r>
      <w:proofErr w:type="spellStart"/>
      <w:r w:rsidRPr="00004715">
        <w:t>Mian</w:t>
      </w:r>
      <w:proofErr w:type="spellEnd"/>
      <w:r w:rsidRPr="00004715">
        <w:t xml:space="preserve"> and Sufi, 2014). Likewise, Schwartz (2009) and Ansell (2014) have shown that the rise and fall of house prices has political effects on individual policy preferences toward the welfare</w:t>
      </w:r>
      <w:r>
        <w:t xml:space="preserve"> state, redistribution, and government policymaking. </w:t>
      </w:r>
    </w:p>
    <w:p w14:paraId="48EE95DB" w14:textId="77777777" w:rsidR="0023707F" w:rsidRDefault="0023707F" w:rsidP="0023707F">
      <w:pPr>
        <w:spacing w:line="276" w:lineRule="auto"/>
        <w:jc w:val="both"/>
      </w:pPr>
    </w:p>
    <w:p w14:paraId="03F7C73B" w14:textId="77777777" w:rsidR="0023707F" w:rsidRPr="00FB6B9C" w:rsidRDefault="0023707F" w:rsidP="0023707F">
      <w:pPr>
        <w:spacing w:line="276" w:lineRule="auto"/>
        <w:jc w:val="both"/>
      </w:pPr>
      <w:r>
        <w:t>Within the comparative and international political economy (IPE) literature, interest rate convergence</w:t>
      </w:r>
      <w:r w:rsidR="0030202A">
        <w:t>, especially in the run up to the creation of European Monetary Union (EMU),</w:t>
      </w:r>
      <w:r>
        <w:t xml:space="preserve"> and the mortgage-backed securitization associated with global financial </w:t>
      </w:r>
      <w:r w:rsidRPr="00077C44">
        <w:t>liberalization, are generally cited as key instigators of housing bubbles within developed economies (</w:t>
      </w:r>
      <w:r w:rsidRPr="00AD72C3">
        <w:t xml:space="preserve">Mosley &amp; Singer 2009; Schwartz 2009; </w:t>
      </w:r>
      <w:proofErr w:type="spellStart"/>
      <w:r w:rsidRPr="00AD72C3">
        <w:t>Deeg</w:t>
      </w:r>
      <w:proofErr w:type="spellEnd"/>
      <w:r w:rsidRPr="00AD72C3">
        <w:t xml:space="preserve"> and O’Sullivan 2009; </w:t>
      </w:r>
      <w:r w:rsidRPr="00AD72C3">
        <w:rPr>
          <w:rFonts w:cs="Cambria"/>
          <w:lang w:val="en-US"/>
        </w:rPr>
        <w:t xml:space="preserve">Kindleberger and Aliber, 2011; Rajan 2011; </w:t>
      </w:r>
      <w:r w:rsidRPr="00AD72C3">
        <w:rPr>
          <w:rFonts w:cs="Arial"/>
          <w:color w:val="1A1A1A"/>
          <w:lang w:val="en-US"/>
        </w:rPr>
        <w:t>Helleiner 2011</w:t>
      </w:r>
      <w:r w:rsidRPr="00A13293">
        <w:rPr>
          <w:rFonts w:cs="Cambria"/>
          <w:lang w:val="en-US"/>
        </w:rPr>
        <w:t>)</w:t>
      </w:r>
      <w:r w:rsidRPr="00077C44">
        <w:t>.  These two developments reduced the costs of borrowing and</w:t>
      </w:r>
      <w:r>
        <w:t xml:space="preserve"> increased the volume of debt instruments, introduc</w:t>
      </w:r>
      <w:r w:rsidR="00B27AE1">
        <w:t>ing</w:t>
      </w:r>
      <w:r>
        <w:t xml:space="preserve"> inflationary pressures in housing markets. </w:t>
      </w:r>
    </w:p>
    <w:p w14:paraId="53A2DFA6" w14:textId="77777777" w:rsidR="0023707F" w:rsidRDefault="0023707F" w:rsidP="0023707F">
      <w:pPr>
        <w:spacing w:line="276" w:lineRule="auto"/>
        <w:jc w:val="both"/>
      </w:pPr>
    </w:p>
    <w:p w14:paraId="2A6ACC81" w14:textId="35FC112A" w:rsidR="0023707F" w:rsidRDefault="00D701DF" w:rsidP="0023707F">
      <w:pPr>
        <w:spacing w:line="276" w:lineRule="auto"/>
        <w:jc w:val="both"/>
      </w:pPr>
      <w:r>
        <w:t>G</w:t>
      </w:r>
      <w:r w:rsidR="0023707F">
        <w:t>lobal financial liberalization and general reductions in nominal interest rates have important effects on households’ demand for borrowing</w:t>
      </w:r>
      <w:r>
        <w:t>.</w:t>
      </w:r>
      <w:r w:rsidR="0023707F">
        <w:t xml:space="preserve"> </w:t>
      </w:r>
      <w:r>
        <w:t xml:space="preserve"> However, </w:t>
      </w:r>
      <w:r w:rsidR="00F865E7">
        <w:t xml:space="preserve">accounts of </w:t>
      </w:r>
      <w:r w:rsidR="0023707F">
        <w:t>these general trends</w:t>
      </w:r>
      <w:r w:rsidR="00D25BA0">
        <w:t xml:space="preserve">, </w:t>
      </w:r>
      <w:r w:rsidR="00684522">
        <w:t>which tend to rely he</w:t>
      </w:r>
      <w:r w:rsidR="00620F28">
        <w:t>avily on the US case</w:t>
      </w:r>
      <w:r w:rsidR="002619BE">
        <w:rPr>
          <w:rStyle w:val="FootnoteReference"/>
        </w:rPr>
        <w:footnoteReference w:id="3"/>
      </w:r>
      <w:r w:rsidR="00D25BA0">
        <w:t>,</w:t>
      </w:r>
      <w:r w:rsidR="0023707F">
        <w:t xml:space="preserve"> fall short in explaining the wide</w:t>
      </w:r>
      <w:r w:rsidR="0023707F" w:rsidRPr="0035728B">
        <w:rPr>
          <w:i/>
        </w:rPr>
        <w:t xml:space="preserve"> variation </w:t>
      </w:r>
      <w:r w:rsidR="0023707F">
        <w:t>in housing inflation within the OECD.  Financial liberalization and reductions in nominal interest rates impacted all advanced political economies since the end of the 1970s.   Despite this, housing bubbles emerged with noticeable irregularity, particularly in Europe. Some countries (Ireland, Spain, and the UK) witnessed considerable increases in housing prices during the 1990s and the 2000s, while others (Germany</w:t>
      </w:r>
      <w:r w:rsidR="00B27AE1">
        <w:t xml:space="preserve"> and</w:t>
      </w:r>
      <w:r w:rsidR="0023707F">
        <w:t xml:space="preserve"> Austria) witnessed average declines in nominal and/or real housing prices (OECD, 2012a; Bank of International Settlements, 2014).  </w:t>
      </w:r>
    </w:p>
    <w:p w14:paraId="53A30EE4" w14:textId="77777777" w:rsidR="0023707F" w:rsidRDefault="0023707F" w:rsidP="0023707F">
      <w:pPr>
        <w:spacing w:line="276" w:lineRule="auto"/>
        <w:jc w:val="both"/>
      </w:pPr>
    </w:p>
    <w:p w14:paraId="317F138D" w14:textId="7F361D05" w:rsidR="0023707F" w:rsidRDefault="0023707F" w:rsidP="0023707F">
      <w:pPr>
        <w:spacing w:line="276" w:lineRule="auto"/>
        <w:jc w:val="both"/>
      </w:pPr>
      <w:r>
        <w:t xml:space="preserve">In this paper, we argue that a </w:t>
      </w:r>
      <w:r w:rsidRPr="002F1920">
        <w:rPr>
          <w:i/>
        </w:rPr>
        <w:t>demand-side</w:t>
      </w:r>
      <w:r>
        <w:t xml:space="preserve"> </w:t>
      </w:r>
      <w:r w:rsidRPr="002F1920">
        <w:t>comparative</w:t>
      </w:r>
      <w:r>
        <w:t xml:space="preserve"> political economy approach can better account for the rise of housing bubbles than </w:t>
      </w:r>
      <w:r w:rsidRPr="002F1920">
        <w:rPr>
          <w:i/>
        </w:rPr>
        <w:t>supply-side</w:t>
      </w:r>
      <w:r>
        <w:t xml:space="preserve"> </w:t>
      </w:r>
      <w:r w:rsidRPr="00225A5D">
        <w:t>international</w:t>
      </w:r>
      <w:r w:rsidRPr="002D3084">
        <w:rPr>
          <w:i/>
        </w:rPr>
        <w:t xml:space="preserve"> </w:t>
      </w:r>
      <w:r>
        <w:t>political economy (IPE) approaches.  We provide a sectoral class-based institutional argument behind the heterogeneous rise of housing bubbles within the OECD since the 1980s: countries that possessed labor market institutions that allotted the exposed sector</w:t>
      </w:r>
      <w:r w:rsidR="00B27AE1">
        <w:t>,</w:t>
      </w:r>
      <w:r>
        <w:t xml:space="preserve"> </w:t>
      </w:r>
      <w:r w:rsidR="00B27AE1">
        <w:t xml:space="preserve">directly or indirectly via the state, </w:t>
      </w:r>
      <w:r>
        <w:t xml:space="preserve">agenda setting or veto powers in national wage-setting (i.e. export-led political coalitions) rather than sheltered sector </w:t>
      </w:r>
      <w:r w:rsidR="00B81D8C">
        <w:t>unions</w:t>
      </w:r>
      <w:r>
        <w:t xml:space="preserve"> (i.e. </w:t>
      </w:r>
      <w:r>
        <w:lastRenderedPageBreak/>
        <w:t xml:space="preserve">domestic-led political coalitions), realized more moderated income growth, which in turn mitigated households’ demand for mortgages and national housing price growth.  </w:t>
      </w:r>
    </w:p>
    <w:p w14:paraId="731DD013" w14:textId="77777777" w:rsidR="0023707F" w:rsidRDefault="0023707F" w:rsidP="0023707F">
      <w:pPr>
        <w:spacing w:line="276" w:lineRule="auto"/>
        <w:jc w:val="both"/>
      </w:pPr>
    </w:p>
    <w:p w14:paraId="59C47085" w14:textId="73BE4D77" w:rsidR="0023707F" w:rsidRDefault="0023707F" w:rsidP="0023707F">
      <w:pPr>
        <w:spacing w:line="276" w:lineRule="auto"/>
        <w:jc w:val="both"/>
      </w:pPr>
      <w:r>
        <w:t xml:space="preserve">Using an ordinary least squares (OLS) and instrumental variable (IV) panel analysis of 17 OECD countries between 1980 and 2007, and a structured comparison of Ireland and the Netherlands, we uncover two findings.  First, (lagged) real income growth exhibits a larger effect on housing inflation than (lagged) real interest rate reductions, while other domestic </w:t>
      </w:r>
      <w:r w:rsidRPr="002238FA">
        <w:t>credit</w:t>
      </w:r>
      <w:r>
        <w:t xml:space="preserve"> variables (expansions in domestic credit and capital account openness) as well as domestic </w:t>
      </w:r>
      <w:r w:rsidRPr="002F1920">
        <w:rPr>
          <w:i/>
        </w:rPr>
        <w:t>political</w:t>
      </w:r>
      <w:r>
        <w:t xml:space="preserve"> factors (government partisanship and central bank independence) display no significant association with housing prices.</w:t>
      </w:r>
      <w:r w:rsidR="00225A5D">
        <w:t xml:space="preserve">  </w:t>
      </w:r>
      <w:r w:rsidR="002619BE">
        <w:t>This</w:t>
      </w:r>
      <w:r w:rsidR="00225A5D">
        <w:t xml:space="preserve"> income effect is eliminated for the US when we introduce country-interaction effects</w:t>
      </w:r>
      <w:r w:rsidR="002619BE">
        <w:t xml:space="preserve"> but </w:t>
      </w:r>
      <w:r w:rsidR="00225A5D">
        <w:t xml:space="preserve">remains robust for other </w:t>
      </w:r>
      <w:r w:rsidR="00A70F77">
        <w:t xml:space="preserve">credit-expansionary </w:t>
      </w:r>
      <w:r w:rsidR="002619BE">
        <w:t xml:space="preserve">liberal </w:t>
      </w:r>
      <w:r w:rsidR="00225A5D">
        <w:t>economies, including</w:t>
      </w:r>
      <w:r w:rsidR="00620F28">
        <w:t xml:space="preserve"> </w:t>
      </w:r>
      <w:r w:rsidR="00225A5D">
        <w:t>the United Kingdom</w:t>
      </w:r>
      <w:r w:rsidR="002619BE">
        <w:t>.</w:t>
      </w:r>
      <w:r>
        <w:t xml:space="preserve"> </w:t>
      </w:r>
      <w:r w:rsidR="00620F28">
        <w:t xml:space="preserve"> </w:t>
      </w:r>
      <w:r>
        <w:t xml:space="preserve">Second, countries that possess labor market institutions that enhance the bargaining power and interests of the exposed sector vis-à-vis </w:t>
      </w:r>
      <w:r w:rsidR="00B81D8C">
        <w:t xml:space="preserve">unions in </w:t>
      </w:r>
      <w:r>
        <w:t>non-tradable sectors</w:t>
      </w:r>
      <w:r>
        <w:rPr>
          <w:rStyle w:val="FootnoteReference"/>
        </w:rPr>
        <w:footnoteReference w:id="4"/>
      </w:r>
      <w:r>
        <w:t xml:space="preserve"> in national wage-setting, realized smaller increases in housing prices than countries where non-tradable sector</w:t>
      </w:r>
      <w:r w:rsidR="00B81D8C">
        <w:t xml:space="preserve"> unions</w:t>
      </w:r>
      <w:r>
        <w:t xml:space="preserve"> exerted greater political influence on the bargaining process.  </w:t>
      </w:r>
    </w:p>
    <w:p w14:paraId="601D95D3" w14:textId="77777777" w:rsidR="0023707F" w:rsidRDefault="0023707F" w:rsidP="0023707F">
      <w:pPr>
        <w:spacing w:line="276" w:lineRule="auto"/>
        <w:jc w:val="both"/>
      </w:pPr>
    </w:p>
    <w:p w14:paraId="6A09B4FD" w14:textId="7C40A287" w:rsidR="0023707F" w:rsidRDefault="0023707F" w:rsidP="0023707F">
      <w:pPr>
        <w:spacing w:line="276" w:lineRule="auto"/>
        <w:jc w:val="both"/>
      </w:pPr>
      <w:r>
        <w:t>Our results suggest that not only may domestic labor market institutions that govern income growth continue to trump the influence of broader international financial trends in the determination of housing bubbles within countries, but also that these institutions (and their underlying sectoral-class based coalitions) may play an important role in mitigating the worst effects of international financial liberalization on macroeconomic outcomes</w:t>
      </w:r>
      <w:r w:rsidR="00225A5D">
        <w:t xml:space="preserve">, especially </w:t>
      </w:r>
      <w:r w:rsidR="00225A5D" w:rsidRPr="00D701DF">
        <w:rPr>
          <w:i/>
        </w:rPr>
        <w:t>outside</w:t>
      </w:r>
      <w:r w:rsidR="00225A5D">
        <w:t xml:space="preserve"> the US</w:t>
      </w:r>
      <w:r>
        <w:t xml:space="preserve">. </w:t>
      </w:r>
      <w:r w:rsidRPr="00381652" w:rsidDel="00517A3C">
        <w:t xml:space="preserve"> </w:t>
      </w:r>
      <w:r>
        <w:t>Whilst we agree with Ansell (2014) that the contemporary macroeconomic importance of asset-markets, particularly housing,</w:t>
      </w:r>
      <w:r w:rsidR="00F363AA">
        <w:t xml:space="preserve"> has so far been neglected in comparative</w:t>
      </w:r>
      <w:r>
        <w:t xml:space="preserve"> study of</w:t>
      </w:r>
      <w:r w:rsidR="00F363AA">
        <w:t xml:space="preserve"> social and economic policy preferences</w:t>
      </w:r>
      <w:r>
        <w:t>, we disagree that labor market institutions, and the underlying sectoral-class based interests that shape these, are unrelated to the political economy of home ownership</w:t>
      </w:r>
      <w:r w:rsidR="00D25BA0">
        <w:t xml:space="preserve"> when looking at a wider sample of developed economies</w:t>
      </w:r>
      <w:r>
        <w:t xml:space="preserve">. </w:t>
      </w:r>
    </w:p>
    <w:p w14:paraId="117138FC" w14:textId="77777777" w:rsidR="0023707F" w:rsidRDefault="0023707F" w:rsidP="0023707F">
      <w:pPr>
        <w:spacing w:line="276" w:lineRule="auto"/>
        <w:jc w:val="both"/>
        <w:rPr>
          <w:b/>
        </w:rPr>
      </w:pPr>
    </w:p>
    <w:p w14:paraId="3FA3E4AD" w14:textId="77777777" w:rsidR="0023707F" w:rsidRPr="00576FA5" w:rsidRDefault="0023707F" w:rsidP="0023707F">
      <w:pPr>
        <w:spacing w:line="276" w:lineRule="auto"/>
        <w:jc w:val="both"/>
        <w:rPr>
          <w:b/>
        </w:rPr>
      </w:pPr>
      <w:r>
        <w:rPr>
          <w:b/>
        </w:rPr>
        <w:t>The political economy of housing bubbles: Financial liberalization’s destabilizing effects?</w:t>
      </w:r>
    </w:p>
    <w:p w14:paraId="0D88A57B" w14:textId="77777777" w:rsidR="0023707F" w:rsidRDefault="0023707F" w:rsidP="0023707F">
      <w:pPr>
        <w:spacing w:line="276" w:lineRule="auto"/>
        <w:jc w:val="both"/>
      </w:pPr>
    </w:p>
    <w:p w14:paraId="4E4110FC" w14:textId="77777777" w:rsidR="0023707F" w:rsidRDefault="0023707F" w:rsidP="0023707F">
      <w:pPr>
        <w:spacing w:line="276" w:lineRule="auto"/>
        <w:jc w:val="both"/>
      </w:pPr>
      <w:r>
        <w:t xml:space="preserve">In the IPE literature on financial liberalization, many have identified a link between the loosening of international capital controls, mortgage securitization, the supply of (housing) credit, and the presence of asset bubbles (Rajan 2010; </w:t>
      </w:r>
      <w:r w:rsidRPr="00443990">
        <w:rPr>
          <w:rFonts w:cs="Arial"/>
          <w:color w:val="1A1A1A"/>
          <w:lang w:val="en-US"/>
        </w:rPr>
        <w:t>Helleiner 2011;</w:t>
      </w:r>
      <w:r>
        <w:rPr>
          <w:rFonts w:cs="Arial"/>
          <w:color w:val="1A1A1A"/>
          <w:lang w:val="en-US"/>
        </w:rPr>
        <w:t xml:space="preserve"> </w:t>
      </w:r>
      <w:r>
        <w:t xml:space="preserve">Kindleberger 2008; Mosley &amp; Singer 2009).  Moreover, the harmonization of financial market rules among developed countries reduced regulatory uncertainty among foreign lenders, providing further incentives for lenders to increase credit supply (Jones, 2014).  Access to steady international capital flows (funded by new “innovative” financial </w:t>
      </w:r>
      <w:r>
        <w:lastRenderedPageBreak/>
        <w:t xml:space="preserve">products) provide governments and households with greater capacity to borrow due to higher credit </w:t>
      </w:r>
      <w:r w:rsidRPr="000400C5">
        <w:rPr>
          <w:i/>
        </w:rPr>
        <w:t>volume</w:t>
      </w:r>
      <w:r>
        <w:t>.  Such access is not without its consequences. As credit becomes more available, increases in housing and asset prices can transform into prolonged bubbles, which inflate the “true” value of assets. Capital inflow “bonanzas”, which are highly conducive towards a rapid increase in household debt, are therefore associated with higher likelihoods of systemic economic crisis during periods of “sudden stops” (Reinhart and Reinhart, 2008).</w:t>
      </w:r>
    </w:p>
    <w:p w14:paraId="31358151" w14:textId="77777777" w:rsidR="0023707F" w:rsidRDefault="0023707F" w:rsidP="0023707F">
      <w:pPr>
        <w:spacing w:line="276" w:lineRule="auto"/>
        <w:jc w:val="both"/>
      </w:pPr>
    </w:p>
    <w:p w14:paraId="6CAEDE3C" w14:textId="77777777" w:rsidR="0023707F" w:rsidRDefault="0023707F" w:rsidP="0023707F">
      <w:pPr>
        <w:spacing w:line="276" w:lineRule="auto"/>
        <w:jc w:val="both"/>
      </w:pPr>
      <w:r>
        <w:t xml:space="preserve">Within the </w:t>
      </w:r>
      <w:r w:rsidRPr="00443990">
        <w:t>OECD</w:t>
      </w:r>
      <w:r w:rsidRPr="009A6A13">
        <w:t>,</w:t>
      </w:r>
      <w:r>
        <w:t xml:space="preserve"> the increase in capital mobility also aligned with reductions in nominal interest rates, which made credit </w:t>
      </w:r>
      <w:r w:rsidRPr="009435EB">
        <w:rPr>
          <w:i/>
        </w:rPr>
        <w:t>cheaper</w:t>
      </w:r>
      <w:r>
        <w:rPr>
          <w:i/>
        </w:rPr>
        <w:t xml:space="preserve">, </w:t>
      </w:r>
      <w:r>
        <w:t>particularly in Western Europe.</w:t>
      </w:r>
      <w:r>
        <w:rPr>
          <w:rStyle w:val="FootnoteReference"/>
        </w:rPr>
        <w:footnoteReference w:id="5"/>
      </w:r>
      <w:r>
        <w:t xml:space="preserve">  In what now constitutes the nineteen economies of the Eurozone, the drive towards a single currency facilitated a radical shift towards a low inflation, capital-friendly regime. This began with the European Monetary System’s (EMS) fixed Exchange Rate Mechanism (ERM), and was then extended in the 1990s, with the nominal Maastricht criteria for </w:t>
      </w:r>
      <w:r w:rsidR="0030202A">
        <w:t>EMU</w:t>
      </w:r>
      <w:r>
        <w:t xml:space="preserve"> membership.  Under the EMS, several European countries committed themselves to fixed exchange rates, which prompted </w:t>
      </w:r>
      <w:r w:rsidR="00D701DF">
        <w:t>them</w:t>
      </w:r>
      <w:r>
        <w:t xml:space="preserve"> to initiate difficult wage and price adjustments in order achieve exchange rate convergence (Johnston, 2012; Johnston and Regan, 2014).  Such adjustments, at least among countries that made a credible commitment to the ERM (removing capital controls in the process) resulted in reduced exchange rate volatility, and subsequently </w:t>
      </w:r>
      <w:r w:rsidRPr="00443990">
        <w:rPr>
          <w:i/>
        </w:rPr>
        <w:t>interest rate convergence</w:t>
      </w:r>
      <w:r>
        <w:t xml:space="preserve"> and nominal interest rate reductions.  </w:t>
      </w:r>
    </w:p>
    <w:p w14:paraId="0B908D86" w14:textId="77777777" w:rsidR="0023707F" w:rsidRDefault="0023707F" w:rsidP="0023707F">
      <w:pPr>
        <w:spacing w:line="276" w:lineRule="auto"/>
        <w:jc w:val="both"/>
      </w:pPr>
    </w:p>
    <w:p w14:paraId="43920C8B" w14:textId="1442DCD0" w:rsidR="0023707F" w:rsidRDefault="00F363AA" w:rsidP="0023707F">
      <w:pPr>
        <w:autoSpaceDE w:val="0"/>
        <w:autoSpaceDN w:val="0"/>
        <w:adjustRightInd w:val="0"/>
        <w:spacing w:line="276" w:lineRule="auto"/>
        <w:jc w:val="both"/>
      </w:pPr>
      <w:r>
        <w:t>W</w:t>
      </w:r>
      <w:r w:rsidR="0023707F">
        <w:t xml:space="preserve">ith the introduction of a common currency, exchange rate risk between European member-states was </w:t>
      </w:r>
      <w:r w:rsidR="0023707F" w:rsidRPr="00436547">
        <w:rPr>
          <w:i/>
        </w:rPr>
        <w:t>completely</w:t>
      </w:r>
      <w:r w:rsidR="0023707F">
        <w:t xml:space="preserve"> eliminated and, due to the undervaluation of default risk prior to the 2008 financial </w:t>
      </w:r>
      <w:r w:rsidR="0023707F" w:rsidRPr="00BA2AF4">
        <w:t xml:space="preserve">crisis, </w:t>
      </w:r>
      <w:r w:rsidR="0023707F" w:rsidRPr="00576FA5">
        <w:rPr>
          <w:rFonts w:cs="TimesNewRomanPSMT"/>
          <w:lang w:val="en-US"/>
        </w:rPr>
        <w:t>the average maximum spread in nominal interest rates on long-term government debt between 2000 and 2008 was</w:t>
      </w:r>
      <w:r w:rsidR="0023707F">
        <w:rPr>
          <w:rFonts w:cs="TimesNewRomanPSMT"/>
          <w:lang w:val="en-US"/>
        </w:rPr>
        <w:t xml:space="preserve"> </w:t>
      </w:r>
      <w:r w:rsidR="0023707F" w:rsidRPr="00576FA5">
        <w:rPr>
          <w:rFonts w:cs="TimesNewRomanPSMT"/>
          <w:lang w:val="en-US"/>
        </w:rPr>
        <w:t xml:space="preserve">0.8% for the EMU12 (EU Commission AMECO Database, 2014).  </w:t>
      </w:r>
      <w:r w:rsidR="0023707F">
        <w:t>Greater availability of credit and the reduced cost of borrowing that came with European monetary integration</w:t>
      </w:r>
      <w:r w:rsidR="0023707F" w:rsidRPr="00BA2AF4">
        <w:t xml:space="preserve"> establish</w:t>
      </w:r>
      <w:r w:rsidR="0023707F">
        <w:t>ed</w:t>
      </w:r>
      <w:r w:rsidR="0023707F" w:rsidRPr="00BA2AF4">
        <w:t xml:space="preserve"> an environment </w:t>
      </w:r>
      <w:r w:rsidR="0023707F">
        <w:t xml:space="preserve">highly </w:t>
      </w:r>
      <w:r w:rsidR="0023707F" w:rsidRPr="00BA2AF4">
        <w:t xml:space="preserve">conducive towards increased </w:t>
      </w:r>
      <w:r w:rsidR="0023707F">
        <w:t xml:space="preserve">private and public </w:t>
      </w:r>
      <w:r w:rsidR="0023707F" w:rsidRPr="00BA2AF4">
        <w:t>borrowin</w:t>
      </w:r>
      <w:r w:rsidR="0023707F">
        <w:t xml:space="preserve">g, which, through cross-national capital flows, became intimately connected to the liberalization of mortgage backed securities originating in the US (Schwartz 2009) </w:t>
      </w:r>
    </w:p>
    <w:p w14:paraId="54F8198B" w14:textId="77777777" w:rsidR="0023707F" w:rsidRDefault="0023707F" w:rsidP="0023707F">
      <w:pPr>
        <w:spacing w:line="276" w:lineRule="auto"/>
        <w:jc w:val="both"/>
      </w:pPr>
    </w:p>
    <w:p w14:paraId="4CF8DCA9" w14:textId="23071C8D" w:rsidR="0023707F" w:rsidRDefault="0023707F" w:rsidP="0023707F">
      <w:pPr>
        <w:spacing w:line="276" w:lineRule="auto"/>
        <w:jc w:val="both"/>
      </w:pPr>
      <w:r>
        <w:t xml:space="preserve">In addition to these global financialization trends, recent CPE scholarship notes that differences in cross-national approaches to credit expansion further exacerbated some countries’ exposure to asset/housing price bubbles.  </w:t>
      </w:r>
      <w:proofErr w:type="spellStart"/>
      <w:r>
        <w:t>Duca</w:t>
      </w:r>
      <w:proofErr w:type="spellEnd"/>
      <w:r>
        <w:t xml:space="preserve"> et al (2010) and Fuller (2015) outline that countries with permissive credit regulatory frameworks were more exposed to debt accumulation and in turn, asset bubbles.  This argument has been further expanded in the welfare-state literature.  Schwartz (2012), </w:t>
      </w:r>
      <w:proofErr w:type="spellStart"/>
      <w:r>
        <w:t>Schelkle</w:t>
      </w:r>
      <w:proofErr w:type="spellEnd"/>
      <w:r>
        <w:t xml:space="preserve"> (2012) and </w:t>
      </w:r>
      <w:proofErr w:type="spellStart"/>
      <w:r>
        <w:lastRenderedPageBreak/>
        <w:t>Trumbell</w:t>
      </w:r>
      <w:proofErr w:type="spellEnd"/>
      <w:r>
        <w:t xml:space="preserve"> (2012), note that politicians’ support for credit policies promoting home-ownership served as a </w:t>
      </w:r>
      <w:r w:rsidRPr="007B611C">
        <w:rPr>
          <w:i/>
        </w:rPr>
        <w:t>substitute</w:t>
      </w:r>
      <w:r>
        <w:t xml:space="preserve"> for the welfare state and caused some countries, particularly Anglo-Saxon economies, to be overexposed to the 2008 financial crisis</w:t>
      </w:r>
      <w:r w:rsidR="007B611C">
        <w:t xml:space="preserve"> (below, we highlight that while this substitute argument helps to explain the US case, it does not travel well to other OECD economies)</w:t>
      </w:r>
      <w:r>
        <w:t xml:space="preserve">.  </w:t>
      </w:r>
    </w:p>
    <w:p w14:paraId="02362035" w14:textId="77777777" w:rsidR="0023707F" w:rsidRDefault="0023707F" w:rsidP="0023707F">
      <w:pPr>
        <w:spacing w:line="276" w:lineRule="auto"/>
        <w:jc w:val="both"/>
      </w:pPr>
    </w:p>
    <w:p w14:paraId="717E3870" w14:textId="77777777" w:rsidR="0023707F" w:rsidRDefault="0023707F" w:rsidP="0023707F">
      <w:pPr>
        <w:spacing w:line="276" w:lineRule="auto"/>
        <w:jc w:val="both"/>
        <w:rPr>
          <w:i/>
        </w:rPr>
      </w:pPr>
      <w:r w:rsidRPr="00C62956">
        <w:rPr>
          <w:i/>
        </w:rPr>
        <w:t xml:space="preserve">Rethinking the supply-side bias </w:t>
      </w:r>
      <w:r>
        <w:rPr>
          <w:i/>
        </w:rPr>
        <w:t>of</w:t>
      </w:r>
      <w:r w:rsidRPr="00C62956">
        <w:rPr>
          <w:i/>
        </w:rPr>
        <w:t xml:space="preserve"> </w:t>
      </w:r>
      <w:r>
        <w:rPr>
          <w:i/>
        </w:rPr>
        <w:t>IPE and CPE accounts of housing bubbles</w:t>
      </w:r>
    </w:p>
    <w:p w14:paraId="124820D2" w14:textId="77777777" w:rsidR="0023707F" w:rsidRDefault="0023707F" w:rsidP="0023707F">
      <w:pPr>
        <w:spacing w:line="276" w:lineRule="auto"/>
        <w:jc w:val="both"/>
      </w:pPr>
    </w:p>
    <w:p w14:paraId="741FD3B4" w14:textId="2FA4A9BF" w:rsidR="0023707F" w:rsidRDefault="0023707F" w:rsidP="0023707F">
      <w:pPr>
        <w:spacing w:line="276" w:lineRule="auto"/>
        <w:jc w:val="both"/>
      </w:pPr>
      <w:r>
        <w:t xml:space="preserve">Despite the importance of international credit expansion, these trends </w:t>
      </w:r>
      <w:r w:rsidRPr="00C64BB2">
        <w:rPr>
          <w:i/>
        </w:rPr>
        <w:t>alone</w:t>
      </w:r>
      <w:r>
        <w:t xml:space="preserve"> fail to fully account for the </w:t>
      </w:r>
      <w:r w:rsidRPr="00075400">
        <w:rPr>
          <w:i/>
        </w:rPr>
        <w:t>heterogeneity</w:t>
      </w:r>
      <w:r>
        <w:t xml:space="preserve"> in housing bubbles among OECD economies.  Financial liberalization and reductions in nominal interest rates affected all advanced market</w:t>
      </w:r>
      <w:r w:rsidRPr="002936F7">
        <w:t xml:space="preserve"> economies in the 1980s and 1990</w:t>
      </w:r>
      <w:r>
        <w:t>s</w:t>
      </w:r>
      <w:r w:rsidRPr="002936F7">
        <w:t xml:space="preserve">.  The level of capital account openness, if </w:t>
      </w:r>
      <w:proofErr w:type="spellStart"/>
      <w:r w:rsidRPr="002936F7">
        <w:t>proxied</w:t>
      </w:r>
      <w:proofErr w:type="spellEnd"/>
      <w:r w:rsidRPr="002936F7">
        <w:t xml:space="preserve"> by Chinn and Ito’s (2006) liberalization index, was identical for EMU’s original (1999) entrants </w:t>
      </w:r>
      <w:r>
        <w:t>by</w:t>
      </w:r>
      <w:r w:rsidRPr="002936F7">
        <w:t xml:space="preserve"> 1993</w:t>
      </w:r>
      <w:r>
        <w:t>,</w:t>
      </w:r>
      <w:r w:rsidRPr="002936F7">
        <w:t xml:space="preserve"> with Spain fully liberalizing its capital markets by 1994 (</w:t>
      </w:r>
      <w:proofErr w:type="spellStart"/>
      <w:r w:rsidRPr="002936F7">
        <w:t>Karcher</w:t>
      </w:r>
      <w:proofErr w:type="spellEnd"/>
      <w:r w:rsidRPr="002936F7">
        <w:t xml:space="preserve"> and Steinberg, 2012).</w:t>
      </w:r>
      <w:r w:rsidRPr="002936F7">
        <w:rPr>
          <w:rStyle w:val="FootnoteReference"/>
        </w:rPr>
        <w:footnoteReference w:id="6"/>
      </w:r>
      <w:r w:rsidRPr="002936F7">
        <w:t xml:space="preserve">  Likewise, all countries (including Germany) witnessed reductions in</w:t>
      </w:r>
      <w:r>
        <w:t xml:space="preserve"> nominal interest rates between 1990 and 2000.  Despite these commonalities, housing price inflation since 1990 was </w:t>
      </w:r>
      <w:r w:rsidR="00A70F77">
        <w:t xml:space="preserve">quite </w:t>
      </w:r>
      <w:r>
        <w:t>heterogeneous.  For</w:t>
      </w:r>
      <w:r w:rsidR="002A6DA2">
        <w:t xml:space="preserve"> some countries (Ireland and Spain</w:t>
      </w:r>
      <w:r>
        <w:t xml:space="preserve">) destabilizing housing bubbles arose.  In other countries, (Germany, Austria, and Japan), nominal and real housing prices were relatively stagnant.  </w:t>
      </w:r>
    </w:p>
    <w:p w14:paraId="0409A22C" w14:textId="77777777" w:rsidR="0023707F" w:rsidRDefault="0023707F" w:rsidP="0023707F">
      <w:pPr>
        <w:spacing w:line="276" w:lineRule="auto"/>
        <w:jc w:val="both"/>
      </w:pPr>
    </w:p>
    <w:p w14:paraId="009F162E" w14:textId="77777777" w:rsidR="0023707F" w:rsidRDefault="0023707F" w:rsidP="0023707F">
      <w:pPr>
        <w:spacing w:line="276" w:lineRule="auto"/>
        <w:jc w:val="both"/>
      </w:pPr>
      <w:r>
        <w:t xml:space="preserve">Of course, one could argue that the </w:t>
      </w:r>
      <w:r w:rsidRPr="00625109">
        <w:rPr>
          <w:i/>
        </w:rPr>
        <w:t>timing</w:t>
      </w:r>
      <w:r>
        <w:t xml:space="preserve"> of financial liberalization was not so homogenous across OECD economies, which varied somewhat throughout the 1980s and 1990s.  Countries that removed capital controls and committed themselves to monetary integration and hard currency regimes later witnessed more sudden reductions in nominal interest rates. Consequently, they may have been more prone to rapid asset price bubbles and irrational exuberance than countries that undertook these adjustment processes earlier. This argument, however, is not empirically validated when looking at the relationship between interest rate reductions and housing price growth.</w:t>
      </w:r>
    </w:p>
    <w:p w14:paraId="72228BEB" w14:textId="77777777" w:rsidR="00D25BA0" w:rsidRDefault="00D25BA0" w:rsidP="0023707F">
      <w:pPr>
        <w:spacing w:line="276" w:lineRule="auto"/>
        <w:jc w:val="both"/>
      </w:pPr>
    </w:p>
    <w:p w14:paraId="325EB2D4" w14:textId="77777777" w:rsidR="0023707F" w:rsidRDefault="0023707F" w:rsidP="0023707F">
      <w:pPr>
        <w:spacing w:line="276" w:lineRule="auto"/>
        <w:jc w:val="both"/>
      </w:pPr>
      <w:r>
        <w:t>Figure 1 presents simple bivariate comparisons of differences in nominal/real interest rates, and percentage increases in nominal/real housing prices between 1990 and 2007 for 17 OECD economies.</w:t>
      </w:r>
      <w:r>
        <w:rPr>
          <w:rStyle w:val="FootnoteReference"/>
        </w:rPr>
        <w:footnoteReference w:id="7"/>
      </w:r>
      <w:r>
        <w:t xml:space="preserve">  Reductions in nominal interest rates fail to correspond consistently with increases in nominal house prices. Spain, for example, witnessed a decline in nominal interest rates by over 10% between 1990 and 2007 and an increase in nominal housing prices by over 270%. On the other hand, Ireland and the Netherlands witnessed much smaller declines in their nominal interest rates (5.8% and 4.6%, respectively), but had more pronounced housing price increases (450% and 300%, respectively). As will be highlighted in the case studies, much of the Dutch </w:t>
      </w:r>
      <w:r>
        <w:lastRenderedPageBreak/>
        <w:t xml:space="preserve">housing bubble occurred in the 1990s, while Dutch housing prices flat-lined in the 2000s.   Similar inconsistencies arise when looking at real data: though countries like Japan, Germany, Sweden and US had similar reductions in real interest rates between 1990 and 2007, changes in housing prices were markedly different.  </w:t>
      </w:r>
    </w:p>
    <w:p w14:paraId="75FF4927" w14:textId="77777777" w:rsidR="008A4927" w:rsidRDefault="008A4927" w:rsidP="0023707F">
      <w:pPr>
        <w:spacing w:line="276" w:lineRule="auto"/>
        <w:jc w:val="both"/>
      </w:pPr>
    </w:p>
    <w:p w14:paraId="5DA64AB6" w14:textId="77777777" w:rsidR="00AB6368" w:rsidRPr="00576FA5" w:rsidRDefault="00AB6368" w:rsidP="00AB6368">
      <w:pPr>
        <w:spacing w:line="276" w:lineRule="auto"/>
        <w:jc w:val="center"/>
        <w:rPr>
          <w:b/>
          <w:sz w:val="22"/>
          <w:szCs w:val="22"/>
        </w:rPr>
      </w:pPr>
      <w:r w:rsidRPr="00576FA5">
        <w:rPr>
          <w:b/>
          <w:sz w:val="22"/>
          <w:szCs w:val="22"/>
        </w:rPr>
        <w:t>Figure 1: Changes in Housing Prices (as a percentage of 1990 values) and differences in interest rates, 1990-2007</w:t>
      </w:r>
    </w:p>
    <w:p w14:paraId="4F8D1789" w14:textId="77777777" w:rsidR="00AB6368" w:rsidRDefault="00AB6368" w:rsidP="00AB6368">
      <w:pPr>
        <w:spacing w:line="276" w:lineRule="auto"/>
        <w:jc w:val="center"/>
      </w:pPr>
      <w:r>
        <w:rPr>
          <w:noProof/>
          <w:lang w:val="en-US"/>
        </w:rPr>
        <w:drawing>
          <wp:inline distT="0" distB="0" distL="0" distR="0" wp14:anchorId="4759070B" wp14:editId="3D701A92">
            <wp:extent cx="4324865" cy="317299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7583" cy="3174985"/>
                    </a:xfrm>
                    <a:prstGeom prst="rect">
                      <a:avLst/>
                    </a:prstGeom>
                    <a:noFill/>
                    <a:ln>
                      <a:noFill/>
                    </a:ln>
                  </pic:spPr>
                </pic:pic>
              </a:graphicData>
            </a:graphic>
          </wp:inline>
        </w:drawing>
      </w:r>
    </w:p>
    <w:p w14:paraId="72CCC06D" w14:textId="77777777" w:rsidR="00AB6368" w:rsidRPr="00D9605D" w:rsidRDefault="00AB6368" w:rsidP="00AB6368">
      <w:pPr>
        <w:spacing w:line="276" w:lineRule="auto"/>
        <w:jc w:val="both"/>
        <w:rPr>
          <w:sz w:val="18"/>
          <w:szCs w:val="18"/>
        </w:rPr>
      </w:pPr>
      <w:r w:rsidRPr="00D9605D">
        <w:rPr>
          <w:sz w:val="18"/>
          <w:szCs w:val="18"/>
        </w:rPr>
        <w:t>Housing price data from the OECD (2012</w:t>
      </w:r>
      <w:r>
        <w:rPr>
          <w:sz w:val="18"/>
          <w:szCs w:val="18"/>
        </w:rPr>
        <w:t>a</w:t>
      </w:r>
      <w:r w:rsidRPr="00D9605D">
        <w:rPr>
          <w:sz w:val="18"/>
          <w:szCs w:val="18"/>
        </w:rPr>
        <w:t>) except for Austria and Portugal whose housing price data stems from the Bank of International Settlements</w:t>
      </w:r>
      <w:r>
        <w:rPr>
          <w:sz w:val="18"/>
          <w:szCs w:val="18"/>
        </w:rPr>
        <w:t xml:space="preserve"> (2014</w:t>
      </w:r>
      <w:r w:rsidRPr="00D9605D">
        <w:rPr>
          <w:sz w:val="18"/>
          <w:szCs w:val="18"/>
        </w:rPr>
        <w:t>); Nominal and real interest rate (using the GDP deflator) from the EU Commission’s AMECO database (2014).</w:t>
      </w:r>
    </w:p>
    <w:p w14:paraId="33FF17C0" w14:textId="77777777" w:rsidR="0023707F" w:rsidRPr="00C60DC7" w:rsidRDefault="0023707F" w:rsidP="0023707F">
      <w:pPr>
        <w:spacing w:line="276" w:lineRule="auto"/>
        <w:jc w:val="both"/>
        <w:rPr>
          <w:sz w:val="16"/>
          <w:szCs w:val="16"/>
        </w:rPr>
      </w:pPr>
    </w:p>
    <w:p w14:paraId="5C3EE7DB" w14:textId="31FEDF2C" w:rsidR="0023707F" w:rsidRDefault="0023707F" w:rsidP="0023707F">
      <w:pPr>
        <w:spacing w:line="276" w:lineRule="auto"/>
        <w:jc w:val="both"/>
      </w:pPr>
      <w:r>
        <w:t>In regards to CPE accounts that focus on national regulations governing credit supply, changes in mortgage lending regulatory practices also fail to fully explain the heterogeneity in housing prices across the OECD.  Figure 2 provides simple bivariate comparisons examining the relationship between 2009 tax relief on debt financing of homeownership (higher values indicate a greater subsidy wedge between the market interest rate and the interest rate households pay after the tax subsidy) and nominal housing price increases between 2000 and 2007.</w:t>
      </w:r>
      <w:r>
        <w:rPr>
          <w:rStyle w:val="FootnoteReference"/>
        </w:rPr>
        <w:footnoteReference w:id="8"/>
      </w:r>
      <w:r>
        <w:t xml:space="preserve">  Similar to the interest rate data, tax relief does a poor job at explaining housing bubbles before the 2008 financial crisis. Countries with more prominent increases in nominal housing prices (the UK and Canada) had some of the lowest levels of tax relief for home ownership in the OECD, while countries with higher values of tax relief (Finland and the Netherlands) witnessed more repressed nominal housing growth between </w:t>
      </w:r>
      <w:r w:rsidRPr="00970C07">
        <w:t>2000 and 2007</w:t>
      </w:r>
      <w:r>
        <w:t xml:space="preserve"> (as we explain below, Dutch housing p</w:t>
      </w:r>
      <w:r w:rsidR="00A70F77">
        <w:t>rices stagnated during the 2000</w:t>
      </w:r>
      <w:r>
        <w:t>s).</w:t>
      </w:r>
    </w:p>
    <w:p w14:paraId="7451A4DB" w14:textId="77777777" w:rsidR="00620F28" w:rsidRDefault="00620F28" w:rsidP="0023707F">
      <w:pPr>
        <w:spacing w:line="276" w:lineRule="auto"/>
        <w:jc w:val="both"/>
      </w:pPr>
    </w:p>
    <w:p w14:paraId="13E232AD" w14:textId="77777777" w:rsidR="00AB6368" w:rsidRPr="00576FA5" w:rsidRDefault="00AB6368" w:rsidP="00AB6368">
      <w:pPr>
        <w:spacing w:line="276" w:lineRule="auto"/>
        <w:jc w:val="center"/>
        <w:rPr>
          <w:b/>
          <w:sz w:val="22"/>
          <w:szCs w:val="22"/>
        </w:rPr>
      </w:pPr>
      <w:r w:rsidRPr="00576FA5">
        <w:rPr>
          <w:b/>
          <w:sz w:val="22"/>
          <w:szCs w:val="22"/>
        </w:rPr>
        <w:lastRenderedPageBreak/>
        <w:t xml:space="preserve">Figure </w:t>
      </w:r>
      <w:r>
        <w:rPr>
          <w:b/>
          <w:sz w:val="22"/>
          <w:szCs w:val="22"/>
        </w:rPr>
        <w:t>2</w:t>
      </w:r>
      <w:r w:rsidRPr="00576FA5">
        <w:rPr>
          <w:b/>
          <w:sz w:val="22"/>
          <w:szCs w:val="22"/>
        </w:rPr>
        <w:t xml:space="preserve">: Changes in </w:t>
      </w:r>
      <w:r>
        <w:rPr>
          <w:b/>
          <w:sz w:val="22"/>
          <w:szCs w:val="22"/>
        </w:rPr>
        <w:t xml:space="preserve">Nominal </w:t>
      </w:r>
      <w:r w:rsidRPr="00576FA5">
        <w:rPr>
          <w:b/>
          <w:sz w:val="22"/>
          <w:szCs w:val="22"/>
        </w:rPr>
        <w:t>Housing Prices (2000-2007) and tax relief for homeownership (2009)</w:t>
      </w:r>
    </w:p>
    <w:p w14:paraId="67BEC9F2" w14:textId="77777777" w:rsidR="00AB6368" w:rsidRDefault="00AB6368" w:rsidP="00AB6368">
      <w:pPr>
        <w:spacing w:line="276" w:lineRule="auto"/>
        <w:jc w:val="center"/>
      </w:pPr>
      <w:r>
        <w:rPr>
          <w:noProof/>
          <w:lang w:val="en-US"/>
        </w:rPr>
        <w:drawing>
          <wp:inline distT="0" distB="0" distL="0" distR="0" wp14:anchorId="10B82A42" wp14:editId="0439E9F1">
            <wp:extent cx="4504599" cy="33033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4846" cy="3303554"/>
                    </a:xfrm>
                    <a:prstGeom prst="rect">
                      <a:avLst/>
                    </a:prstGeom>
                    <a:noFill/>
                    <a:ln>
                      <a:noFill/>
                    </a:ln>
                  </pic:spPr>
                </pic:pic>
              </a:graphicData>
            </a:graphic>
          </wp:inline>
        </w:drawing>
      </w:r>
    </w:p>
    <w:p w14:paraId="1D564479" w14:textId="77777777" w:rsidR="00AB6368" w:rsidRPr="00D9605D" w:rsidRDefault="00AB6368" w:rsidP="00AB6368">
      <w:pPr>
        <w:tabs>
          <w:tab w:val="left" w:pos="7650"/>
          <w:tab w:val="left" w:pos="7740"/>
        </w:tabs>
        <w:spacing w:line="276" w:lineRule="auto"/>
        <w:jc w:val="both"/>
        <w:rPr>
          <w:sz w:val="18"/>
          <w:szCs w:val="18"/>
        </w:rPr>
      </w:pPr>
      <w:proofErr w:type="gramStart"/>
      <w:r w:rsidRPr="00D9605D">
        <w:rPr>
          <w:sz w:val="18"/>
          <w:szCs w:val="18"/>
        </w:rPr>
        <w:t>Housing price data from the OECD (2012</w:t>
      </w:r>
      <w:r>
        <w:rPr>
          <w:sz w:val="18"/>
          <w:szCs w:val="18"/>
        </w:rPr>
        <w:t>a</w:t>
      </w:r>
      <w:r w:rsidRPr="00D9605D">
        <w:rPr>
          <w:sz w:val="18"/>
          <w:szCs w:val="18"/>
        </w:rPr>
        <w:t>) except for Austria and Portugal whose housing price data stems from the Bank of</w:t>
      </w:r>
      <w:r>
        <w:rPr>
          <w:sz w:val="18"/>
          <w:szCs w:val="18"/>
        </w:rPr>
        <w:t xml:space="preserve"> International Settlements (2014</w:t>
      </w:r>
      <w:r w:rsidRPr="00D9605D">
        <w:rPr>
          <w:sz w:val="18"/>
          <w:szCs w:val="18"/>
        </w:rPr>
        <w:t>); Tax relief data from the OECD (2011).</w:t>
      </w:r>
      <w:proofErr w:type="gramEnd"/>
    </w:p>
    <w:p w14:paraId="118D9D97" w14:textId="77777777" w:rsidR="008A4927" w:rsidRDefault="008A4927" w:rsidP="0023707F">
      <w:pPr>
        <w:spacing w:line="276" w:lineRule="auto"/>
        <w:jc w:val="both"/>
      </w:pPr>
    </w:p>
    <w:p w14:paraId="00E37636" w14:textId="77777777" w:rsidR="0023707F" w:rsidRDefault="0023707F" w:rsidP="0023707F">
      <w:pPr>
        <w:spacing w:line="276" w:lineRule="auto"/>
        <w:jc w:val="both"/>
      </w:pPr>
      <w:r>
        <w:t>A similar picture emerges when examining the relationship between changes in maximum loan-to-value ratio</w:t>
      </w:r>
      <w:r w:rsidR="008E178E">
        <w:t>s</w:t>
      </w:r>
      <w:r>
        <w:t xml:space="preserve"> and housing prices.  Figure 3 provides a bivariate comparison examining the relationship between maximum loan-to-value ratio increases between 1990 and 2000 (the only years for which the OECD provides this data) and nominal housing price growth.  OECD economies exhibit no discernible patterns in increases in maximum loan to value ratios and nominal housing prices. For countries in which limits on maximum loan-to-value ratios remained untouched between 1990 and 2000, nominal housing price increases ranged from 2.5% to almost 100% during the same period.  Pre-empting the causal mechanism in our case studies, Ireland and the Netherlands demonstrate that countries with vastly different policies towards changing maximum loan-to-value ratios witnessed similarly rapid house price increases </w:t>
      </w:r>
      <w:r w:rsidRPr="00483F56">
        <w:t>between 1990 and 2000</w:t>
      </w:r>
      <w:r w:rsidRPr="00101CDA">
        <w:t>.</w:t>
      </w:r>
      <w:r>
        <w:t xml:space="preserve"> </w:t>
      </w:r>
    </w:p>
    <w:p w14:paraId="313AAC9E" w14:textId="77777777" w:rsidR="00620F28" w:rsidRDefault="00620F28" w:rsidP="0023707F">
      <w:pPr>
        <w:spacing w:line="276" w:lineRule="auto"/>
        <w:jc w:val="both"/>
      </w:pPr>
    </w:p>
    <w:p w14:paraId="32FCE951" w14:textId="77777777" w:rsidR="00620F28" w:rsidRDefault="00620F28" w:rsidP="0023707F">
      <w:pPr>
        <w:spacing w:line="276" w:lineRule="auto"/>
        <w:jc w:val="both"/>
      </w:pPr>
    </w:p>
    <w:p w14:paraId="2B8F8515" w14:textId="77777777" w:rsidR="00620F28" w:rsidRDefault="00620F28" w:rsidP="0023707F">
      <w:pPr>
        <w:spacing w:line="276" w:lineRule="auto"/>
        <w:jc w:val="both"/>
      </w:pPr>
    </w:p>
    <w:p w14:paraId="3BF13EBF" w14:textId="77777777" w:rsidR="00620F28" w:rsidRDefault="00620F28" w:rsidP="0023707F">
      <w:pPr>
        <w:spacing w:line="276" w:lineRule="auto"/>
        <w:jc w:val="both"/>
      </w:pPr>
    </w:p>
    <w:p w14:paraId="31010BDA" w14:textId="77777777" w:rsidR="00620F28" w:rsidRDefault="00620F28" w:rsidP="0023707F">
      <w:pPr>
        <w:spacing w:line="276" w:lineRule="auto"/>
        <w:jc w:val="both"/>
      </w:pPr>
    </w:p>
    <w:p w14:paraId="10307FEB" w14:textId="77777777" w:rsidR="00620F28" w:rsidRDefault="00620F28" w:rsidP="0023707F">
      <w:pPr>
        <w:spacing w:line="276" w:lineRule="auto"/>
        <w:jc w:val="both"/>
      </w:pPr>
    </w:p>
    <w:p w14:paraId="2FA8060E" w14:textId="77777777" w:rsidR="00620F28" w:rsidRDefault="00620F28" w:rsidP="0023707F">
      <w:pPr>
        <w:spacing w:line="276" w:lineRule="auto"/>
        <w:jc w:val="both"/>
      </w:pPr>
    </w:p>
    <w:p w14:paraId="5BFD1CF4" w14:textId="77777777" w:rsidR="00620F28" w:rsidRDefault="00620F28" w:rsidP="0023707F">
      <w:pPr>
        <w:spacing w:line="276" w:lineRule="auto"/>
        <w:jc w:val="both"/>
      </w:pPr>
    </w:p>
    <w:p w14:paraId="184C9CA0" w14:textId="77777777" w:rsidR="0023707F" w:rsidRDefault="0023707F" w:rsidP="0023707F">
      <w:pPr>
        <w:spacing w:line="276" w:lineRule="auto"/>
        <w:jc w:val="both"/>
        <w:rPr>
          <w:b/>
          <w:sz w:val="22"/>
          <w:szCs w:val="22"/>
        </w:rPr>
      </w:pPr>
    </w:p>
    <w:p w14:paraId="4E2173C0" w14:textId="77777777" w:rsidR="00AB6368" w:rsidRDefault="00AB6368" w:rsidP="00AB6368">
      <w:pPr>
        <w:spacing w:line="276" w:lineRule="auto"/>
        <w:jc w:val="center"/>
        <w:rPr>
          <w:b/>
          <w:sz w:val="22"/>
          <w:szCs w:val="22"/>
        </w:rPr>
      </w:pPr>
      <w:r w:rsidRPr="00576FA5">
        <w:rPr>
          <w:b/>
          <w:sz w:val="22"/>
          <w:szCs w:val="22"/>
        </w:rPr>
        <w:lastRenderedPageBreak/>
        <w:t xml:space="preserve">Figure </w:t>
      </w:r>
      <w:r>
        <w:rPr>
          <w:b/>
          <w:sz w:val="22"/>
          <w:szCs w:val="22"/>
        </w:rPr>
        <w:t>3</w:t>
      </w:r>
      <w:r w:rsidRPr="00576FA5">
        <w:rPr>
          <w:b/>
          <w:sz w:val="22"/>
          <w:szCs w:val="22"/>
        </w:rPr>
        <w:t xml:space="preserve">: Changes in </w:t>
      </w:r>
      <w:r>
        <w:rPr>
          <w:b/>
          <w:sz w:val="22"/>
          <w:szCs w:val="22"/>
        </w:rPr>
        <w:t xml:space="preserve">Nominal </w:t>
      </w:r>
      <w:r w:rsidRPr="00576FA5">
        <w:rPr>
          <w:b/>
          <w:sz w:val="22"/>
          <w:szCs w:val="22"/>
        </w:rPr>
        <w:t>Housing Prices and maximum loan-to-value ratios (1990-2000)</w:t>
      </w:r>
    </w:p>
    <w:p w14:paraId="74626D7B" w14:textId="77777777" w:rsidR="00AB6368" w:rsidRDefault="00AB6368" w:rsidP="00AB6368">
      <w:pPr>
        <w:spacing w:line="276" w:lineRule="auto"/>
        <w:jc w:val="center"/>
      </w:pPr>
    </w:p>
    <w:p w14:paraId="7F0EF4A0" w14:textId="77777777" w:rsidR="00AB6368" w:rsidRDefault="00AB6368" w:rsidP="00AB6368">
      <w:pPr>
        <w:spacing w:line="276" w:lineRule="auto"/>
        <w:jc w:val="center"/>
      </w:pPr>
      <w:r>
        <w:rPr>
          <w:noProof/>
          <w:lang w:val="en-US"/>
        </w:rPr>
        <w:drawing>
          <wp:inline distT="0" distB="0" distL="0" distR="0" wp14:anchorId="3CD06C5C" wp14:editId="22D9ECE6">
            <wp:extent cx="4414732" cy="3237470"/>
            <wp:effectExtent l="0" t="0" r="508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4974" cy="3237648"/>
                    </a:xfrm>
                    <a:prstGeom prst="rect">
                      <a:avLst/>
                    </a:prstGeom>
                    <a:noFill/>
                    <a:ln>
                      <a:noFill/>
                    </a:ln>
                  </pic:spPr>
                </pic:pic>
              </a:graphicData>
            </a:graphic>
          </wp:inline>
        </w:drawing>
      </w:r>
    </w:p>
    <w:p w14:paraId="7BCBA285" w14:textId="77777777" w:rsidR="00AB6368" w:rsidRPr="00D9605D" w:rsidRDefault="00AB6368" w:rsidP="00AB6368">
      <w:pPr>
        <w:tabs>
          <w:tab w:val="left" w:pos="7650"/>
          <w:tab w:val="left" w:pos="7740"/>
        </w:tabs>
        <w:spacing w:line="276" w:lineRule="auto"/>
        <w:jc w:val="both"/>
        <w:rPr>
          <w:sz w:val="18"/>
          <w:szCs w:val="18"/>
        </w:rPr>
      </w:pPr>
      <w:r w:rsidRPr="00D9605D">
        <w:rPr>
          <w:sz w:val="18"/>
          <w:szCs w:val="18"/>
        </w:rPr>
        <w:t>Housing price data from the OECD (2012</w:t>
      </w:r>
      <w:r>
        <w:rPr>
          <w:sz w:val="18"/>
          <w:szCs w:val="18"/>
        </w:rPr>
        <w:t>a</w:t>
      </w:r>
      <w:r w:rsidRPr="00D9605D">
        <w:rPr>
          <w:sz w:val="18"/>
          <w:szCs w:val="18"/>
        </w:rPr>
        <w:t>) except for Austria and Portugal whose housing price data stems from the Bank of International Settlements</w:t>
      </w:r>
      <w:r>
        <w:rPr>
          <w:sz w:val="18"/>
          <w:szCs w:val="18"/>
        </w:rPr>
        <w:t xml:space="preserve"> (2014)</w:t>
      </w:r>
      <w:r w:rsidRPr="00D9605D">
        <w:rPr>
          <w:sz w:val="18"/>
          <w:szCs w:val="18"/>
        </w:rPr>
        <w:t>; Loan-to-value ratio data from the OECD (2011).</w:t>
      </w:r>
    </w:p>
    <w:p w14:paraId="4E26C705" w14:textId="77777777" w:rsidR="008A4927" w:rsidRDefault="008A4927" w:rsidP="0023707F">
      <w:pPr>
        <w:spacing w:line="276" w:lineRule="auto"/>
        <w:jc w:val="center"/>
      </w:pPr>
    </w:p>
    <w:p w14:paraId="6BCA40C3" w14:textId="77777777" w:rsidR="0023707F" w:rsidRPr="00755F3B" w:rsidRDefault="0023707F" w:rsidP="0023707F">
      <w:pPr>
        <w:spacing w:line="276" w:lineRule="auto"/>
        <w:jc w:val="both"/>
        <w:rPr>
          <w:b/>
        </w:rPr>
      </w:pPr>
      <w:r w:rsidRPr="00755F3B">
        <w:rPr>
          <w:b/>
        </w:rPr>
        <w:t xml:space="preserve">Rethinking housing bubbles via a </w:t>
      </w:r>
      <w:r>
        <w:rPr>
          <w:b/>
        </w:rPr>
        <w:t xml:space="preserve">demand-centred </w:t>
      </w:r>
      <w:r w:rsidRPr="00755F3B">
        <w:rPr>
          <w:b/>
        </w:rPr>
        <w:t xml:space="preserve">perspective: </w:t>
      </w:r>
      <w:r>
        <w:rPr>
          <w:b/>
        </w:rPr>
        <w:t>The role of wage-setting</w:t>
      </w:r>
      <w:r w:rsidRPr="00755F3B">
        <w:rPr>
          <w:b/>
        </w:rPr>
        <w:t xml:space="preserve"> institutions</w:t>
      </w:r>
    </w:p>
    <w:p w14:paraId="4923730C" w14:textId="77777777" w:rsidR="0023707F" w:rsidRPr="00CE1555" w:rsidRDefault="0023707F" w:rsidP="0023707F">
      <w:pPr>
        <w:spacing w:line="276" w:lineRule="auto"/>
        <w:jc w:val="both"/>
      </w:pPr>
    </w:p>
    <w:p w14:paraId="70017716" w14:textId="36FE7B88" w:rsidR="0023707F" w:rsidRDefault="0023707F" w:rsidP="0023707F">
      <w:pPr>
        <w:spacing w:line="276" w:lineRule="auto"/>
        <w:jc w:val="both"/>
      </w:pPr>
      <w:r w:rsidRPr="00CE1555">
        <w:t xml:space="preserve">One feature that links the </w:t>
      </w:r>
      <w:r>
        <w:t>comparative and international political economy</w:t>
      </w:r>
      <w:r w:rsidRPr="00CE1555">
        <w:t xml:space="preserve"> literature</w:t>
      </w:r>
      <w:r>
        <w:t>s</w:t>
      </w:r>
      <w:r w:rsidRPr="00CE1555">
        <w:t xml:space="preserve"> </w:t>
      </w:r>
      <w:r>
        <w:t xml:space="preserve">on housing markets </w:t>
      </w:r>
      <w:r w:rsidRPr="00CE1555">
        <w:t xml:space="preserve">is </w:t>
      </w:r>
      <w:r>
        <w:t xml:space="preserve">their </w:t>
      </w:r>
      <w:r w:rsidRPr="00CE1555">
        <w:rPr>
          <w:i/>
        </w:rPr>
        <w:t>supply-side centrism</w:t>
      </w:r>
      <w:r w:rsidRPr="00CE1555">
        <w:t xml:space="preserve">.  </w:t>
      </w:r>
      <w:r w:rsidR="008E178E">
        <w:t>While demand boom</w:t>
      </w:r>
      <w:r w:rsidR="000033A7">
        <w:t xml:space="preserve">s in the presence of cheap credit are acknowledged, </w:t>
      </w:r>
      <w:r w:rsidR="00555C96">
        <w:t>there has not been a systematic explanation for</w:t>
      </w:r>
      <w:r w:rsidR="000033A7">
        <w:t xml:space="preserve"> why </w:t>
      </w:r>
      <w:r w:rsidR="00351847">
        <w:t xml:space="preserve">these </w:t>
      </w:r>
      <w:r w:rsidR="000033A7">
        <w:t xml:space="preserve">booms </w:t>
      </w:r>
      <w:r w:rsidR="008E178E">
        <w:t>fail to</w:t>
      </w:r>
      <w:r w:rsidR="009314FD">
        <w:t xml:space="preserve"> </w:t>
      </w:r>
      <w:r w:rsidR="008E178E">
        <w:t>emerge</w:t>
      </w:r>
      <w:r w:rsidR="009314FD">
        <w:t xml:space="preserve"> everywhere</w:t>
      </w:r>
      <w:r w:rsidR="008E178E">
        <w:t>, especially outside of the US</w:t>
      </w:r>
      <w:r w:rsidR="00555C96">
        <w:t xml:space="preserve"> case, </w:t>
      </w:r>
      <w:r w:rsidR="00D25BA0">
        <w:t xml:space="preserve">which has dominated recent study on housing </w:t>
      </w:r>
      <w:r w:rsidR="00A97A0C">
        <w:t>debt</w:t>
      </w:r>
      <w:r w:rsidR="000033A7">
        <w:t>.</w:t>
      </w:r>
      <w:r w:rsidRPr="00CE1555">
        <w:t xml:space="preserve"> </w:t>
      </w:r>
      <w:r w:rsidR="000033A7">
        <w:t xml:space="preserve">   Micro</w:t>
      </w:r>
      <w:r>
        <w:t xml:space="preserve">economic </w:t>
      </w:r>
      <w:r w:rsidRPr="00CE1555">
        <w:t xml:space="preserve">literature has identified a strong causal link between (permanent or stable) household income and </w:t>
      </w:r>
      <w:r>
        <w:t>mortgage</w:t>
      </w:r>
      <w:r w:rsidRPr="00CE1555">
        <w:t xml:space="preserve"> demand (Ortalo-Magné and Rady, 2006; Davidoff, 2006).  </w:t>
      </w:r>
      <w:r w:rsidR="00F363AA">
        <w:t>Yet</w:t>
      </w:r>
      <w:r w:rsidRPr="00CE1555">
        <w:t xml:space="preserve"> few look at more systematic</w:t>
      </w:r>
      <w:r>
        <w:t xml:space="preserve"> institutional</w:t>
      </w:r>
      <w:r w:rsidRPr="00CE1555">
        <w:t xml:space="preserve"> factors</w:t>
      </w:r>
      <w:r w:rsidRPr="0028421E">
        <w:t xml:space="preserve"> that</w:t>
      </w:r>
      <w:r>
        <w:t xml:space="preserve"> might </w:t>
      </w:r>
      <w:r w:rsidRPr="0028421E">
        <w:t>explain why income growth is more persistent in some countries but not in others</w:t>
      </w:r>
      <w:r w:rsidR="00A97A0C">
        <w:t>, and the extent to which this fuels the pro-cyclical impact of a generalised low interest-rate credit shock.</w:t>
      </w:r>
    </w:p>
    <w:p w14:paraId="03427E22" w14:textId="77777777" w:rsidR="0023707F" w:rsidRDefault="0023707F" w:rsidP="0023707F">
      <w:pPr>
        <w:spacing w:line="276" w:lineRule="auto"/>
        <w:jc w:val="both"/>
      </w:pPr>
    </w:p>
    <w:p w14:paraId="28ED8AA3" w14:textId="1086A286" w:rsidR="001E6B68" w:rsidRDefault="001E6B68" w:rsidP="001E6B68">
      <w:pPr>
        <w:spacing w:line="276" w:lineRule="auto"/>
        <w:jc w:val="both"/>
      </w:pPr>
      <w:r>
        <w:t>Recent (</w:t>
      </w:r>
      <w:r w:rsidR="00F363AA">
        <w:t>liberal) welfare state</w:t>
      </w:r>
      <w:r>
        <w:t xml:space="preserve"> research (</w:t>
      </w:r>
      <w:r w:rsidR="007B611C">
        <w:t xml:space="preserve">Schwartz, 2012; </w:t>
      </w:r>
      <w:proofErr w:type="spellStart"/>
      <w:r w:rsidR="007B611C">
        <w:t>Schelkle</w:t>
      </w:r>
      <w:proofErr w:type="spellEnd"/>
      <w:r w:rsidR="007B611C">
        <w:t xml:space="preserve">, 2012; </w:t>
      </w:r>
      <w:r>
        <w:t>Trumbull, 2012) suggests th</w:t>
      </w:r>
      <w:r w:rsidR="00A97A0C">
        <w:t>at</w:t>
      </w:r>
      <w:r>
        <w:t xml:space="preserve"> income growth and credit </w:t>
      </w:r>
      <w:r w:rsidR="00A97A0C">
        <w:t xml:space="preserve">expansion </w:t>
      </w:r>
      <w:r>
        <w:t xml:space="preserve">may be </w:t>
      </w:r>
      <w:r w:rsidRPr="001E6B68">
        <w:rPr>
          <w:i/>
        </w:rPr>
        <w:t>substitutes</w:t>
      </w:r>
      <w:r w:rsidR="00A97A0C">
        <w:t xml:space="preserve"> (i.e. credit-for-welfare).</w:t>
      </w:r>
      <w:r>
        <w:t xml:space="preserve"> Mitigated income growth </w:t>
      </w:r>
      <w:r w:rsidRPr="00FB6340">
        <w:rPr>
          <w:i/>
          <w:iCs/>
        </w:rPr>
        <w:t>require</w:t>
      </w:r>
      <w:r>
        <w:rPr>
          <w:i/>
          <w:iCs/>
        </w:rPr>
        <w:t>s</w:t>
      </w:r>
      <w:r>
        <w:t xml:space="preserve"> households to take on more debt to maintain a given level of spending; hence, low income growth </w:t>
      </w:r>
      <w:r w:rsidR="002D3D0F">
        <w:t>corresponds with higher</w:t>
      </w:r>
      <w:r>
        <w:t xml:space="preserve"> demand for credit, and </w:t>
      </w:r>
      <w:r w:rsidR="008F05A3">
        <w:t>ultimately</w:t>
      </w:r>
      <w:r>
        <w:t xml:space="preserve"> housing prices</w:t>
      </w:r>
      <w:r w:rsidR="00D25BA0">
        <w:t xml:space="preserve"> (in the US</w:t>
      </w:r>
      <w:r>
        <w:t xml:space="preserve">, </w:t>
      </w:r>
      <w:r w:rsidR="002D3D0F">
        <w:t xml:space="preserve">this </w:t>
      </w:r>
      <w:r>
        <w:t xml:space="preserve">was further exacerbated by the permissiveness </w:t>
      </w:r>
      <w:r w:rsidR="00AA050A">
        <w:t xml:space="preserve">and prominence </w:t>
      </w:r>
      <w:r>
        <w:t>of subprime mortgages).  Though income stagnation</w:t>
      </w:r>
      <w:r w:rsidR="007A381E">
        <w:t xml:space="preserve"> overlapped with </w:t>
      </w:r>
      <w:r>
        <w:t xml:space="preserve">credit </w:t>
      </w:r>
      <w:r w:rsidR="007A381E">
        <w:t>boom</w:t>
      </w:r>
      <w:r w:rsidR="00E90589">
        <w:t>s</w:t>
      </w:r>
      <w:r w:rsidR="007020B4">
        <w:t xml:space="preserve"> in the US (and</w:t>
      </w:r>
      <w:r w:rsidR="00D25BA0">
        <w:t xml:space="preserve"> the UK</w:t>
      </w:r>
      <w:r w:rsidR="007020B4">
        <w:t>)</w:t>
      </w:r>
      <w:r>
        <w:t xml:space="preserve">, </w:t>
      </w:r>
      <w:r w:rsidR="00D25BA0">
        <w:t>this country</w:t>
      </w:r>
      <w:r>
        <w:t xml:space="preserve">, whose credit regulatory policies </w:t>
      </w:r>
      <w:r w:rsidR="00D25BA0">
        <w:t>are heavily</w:t>
      </w:r>
      <w:r w:rsidR="007020B4">
        <w:t xml:space="preserve"> lax (see Fuller, 2015)</w:t>
      </w:r>
      <w:r>
        <w:t>, may be</w:t>
      </w:r>
      <w:r w:rsidR="00D25BA0">
        <w:t xml:space="preserve"> a unique case</w:t>
      </w:r>
      <w:r w:rsidR="00A97A0C">
        <w:t>,</w:t>
      </w:r>
      <w:r>
        <w:t xml:space="preserve"> </w:t>
      </w:r>
      <w:r w:rsidR="00A97A0C">
        <w:lastRenderedPageBreak/>
        <w:t>and</w:t>
      </w:r>
      <w:r w:rsidR="007B611C">
        <w:t xml:space="preserve"> may</w:t>
      </w:r>
      <w:r>
        <w:t xml:space="preserve"> not </w:t>
      </w:r>
      <w:r w:rsidR="00795ED4">
        <w:t>adequately represent</w:t>
      </w:r>
      <w:r>
        <w:t xml:space="preserve"> housing demand</w:t>
      </w:r>
      <w:r w:rsidR="00795ED4">
        <w:t xml:space="preserve"> dynamics</w:t>
      </w:r>
      <w:r>
        <w:t xml:space="preserve"> across </w:t>
      </w:r>
      <w:r w:rsidR="00D25BA0">
        <w:t xml:space="preserve">other </w:t>
      </w:r>
      <w:r>
        <w:t xml:space="preserve">developed economies.  </w:t>
      </w:r>
      <w:r w:rsidR="008E178E">
        <w:t>I</w:t>
      </w:r>
      <w:r w:rsidR="007A381E">
        <w:t>t is equally possible that</w:t>
      </w:r>
      <w:r>
        <w:t xml:space="preserve"> income </w:t>
      </w:r>
      <w:r w:rsidR="009314FD">
        <w:t xml:space="preserve">(which is one of the most important determinants of whether a household can take out a mortgage) </w:t>
      </w:r>
      <w:r>
        <w:t xml:space="preserve">and credit serve as </w:t>
      </w:r>
      <w:r w:rsidRPr="001E6B68">
        <w:rPr>
          <w:i/>
        </w:rPr>
        <w:t>compl</w:t>
      </w:r>
      <w:r w:rsidR="00140310">
        <w:rPr>
          <w:i/>
        </w:rPr>
        <w:t>e</w:t>
      </w:r>
      <w:r w:rsidRPr="001E6B68">
        <w:rPr>
          <w:i/>
        </w:rPr>
        <w:t>ments</w:t>
      </w:r>
      <w:r w:rsidR="00140310">
        <w:rPr>
          <w:i/>
        </w:rPr>
        <w:t xml:space="preserve"> </w:t>
      </w:r>
      <w:r w:rsidR="007B611C" w:rsidRPr="007B611C">
        <w:t>in other developed economies</w:t>
      </w:r>
      <w:r w:rsidR="007B611C">
        <w:rPr>
          <w:i/>
        </w:rPr>
        <w:t xml:space="preserve"> </w:t>
      </w:r>
      <w:r w:rsidR="00140310" w:rsidRPr="00F363AA">
        <w:t>rather than substitutes, as in the USA</w:t>
      </w:r>
      <w:r w:rsidR="00140310">
        <w:rPr>
          <w:i/>
        </w:rPr>
        <w:t>.</w:t>
      </w:r>
      <w:r w:rsidR="002D3D0F">
        <w:rPr>
          <w:i/>
        </w:rPr>
        <w:t xml:space="preserve"> </w:t>
      </w:r>
      <w:r w:rsidR="008F05A3">
        <w:t>H</w:t>
      </w:r>
      <w:r w:rsidR="002D3D0F">
        <w:t xml:space="preserve">igher incomes </w:t>
      </w:r>
      <w:r w:rsidR="002D3D0F" w:rsidRPr="00FB6340">
        <w:rPr>
          <w:i/>
          <w:iCs/>
        </w:rPr>
        <w:t>enable</w:t>
      </w:r>
      <w:r w:rsidR="002D3D0F">
        <w:t xml:space="preserve"> households to take on more mortgage debt, as their loan-value to income ratio decline</w:t>
      </w:r>
      <w:r w:rsidR="008F05A3">
        <w:t>s, placing upward pressures on housing prices</w:t>
      </w:r>
      <w:r>
        <w:t>.</w:t>
      </w:r>
      <w:r w:rsidR="002D3D0F">
        <w:t xml:space="preserve">  </w:t>
      </w:r>
      <w:r>
        <w:t xml:space="preserve">  </w:t>
      </w:r>
    </w:p>
    <w:p w14:paraId="3BEC501B" w14:textId="77777777" w:rsidR="001E6B68" w:rsidRDefault="001E6B68" w:rsidP="0023707F">
      <w:pPr>
        <w:spacing w:line="276" w:lineRule="auto"/>
        <w:jc w:val="both"/>
      </w:pPr>
    </w:p>
    <w:p w14:paraId="73C9F1D3" w14:textId="38A06781" w:rsidR="0023707F" w:rsidRDefault="0023707F" w:rsidP="0023707F">
      <w:pPr>
        <w:spacing w:line="276" w:lineRule="auto"/>
        <w:jc w:val="both"/>
      </w:pPr>
      <w:r>
        <w:t xml:space="preserve">We draw upon labor market research in comparative political economy to examine </w:t>
      </w:r>
      <w:r w:rsidR="008F05A3">
        <w:t xml:space="preserve">whether </w:t>
      </w:r>
      <w:r>
        <w:t xml:space="preserve">income growth </w:t>
      </w:r>
      <w:r w:rsidR="00140310">
        <w:t xml:space="preserve">amplifies mortgage-credit demand </w:t>
      </w:r>
      <w:r>
        <w:t>and housing price</w:t>
      </w:r>
      <w:r w:rsidR="00D70AC5">
        <w:t>s</w:t>
      </w:r>
      <w:r>
        <w:t xml:space="preserve"> </w:t>
      </w:r>
      <w:r w:rsidR="00140310">
        <w:t xml:space="preserve">in the </w:t>
      </w:r>
      <w:r w:rsidR="008F05A3">
        <w:t>OECD</w:t>
      </w:r>
      <w:r w:rsidR="00140310">
        <w:t xml:space="preserve"> at large</w:t>
      </w:r>
      <w:r w:rsidR="00F363AA">
        <w:t>.</w:t>
      </w:r>
      <w:r w:rsidR="008F05A3">
        <w:t xml:space="preserve">  </w:t>
      </w:r>
      <w:r w:rsidR="008E178E">
        <w:t>W</w:t>
      </w:r>
      <w:r w:rsidR="008F05A3">
        <w:t>e</w:t>
      </w:r>
      <w:r>
        <w:t xml:space="preserve"> analy</w:t>
      </w:r>
      <w:r w:rsidR="008F05A3">
        <w:t>ze</w:t>
      </w:r>
      <w:r>
        <w:t xml:space="preserve"> the impact of domestic </w:t>
      </w:r>
      <w:r w:rsidRPr="00BF19A1">
        <w:rPr>
          <w:i/>
        </w:rPr>
        <w:t>institutions</w:t>
      </w:r>
      <w:r>
        <w:t xml:space="preserve"> </w:t>
      </w:r>
      <w:r w:rsidRPr="00AB7570">
        <w:t xml:space="preserve">that govern </w:t>
      </w:r>
      <w:r>
        <w:t>wage-</w:t>
      </w:r>
      <w:r w:rsidRPr="00AB7570">
        <w:t>setting</w:t>
      </w:r>
      <w:r w:rsidR="00D70AC5">
        <w:t xml:space="preserve"> on housing prices through their determination of income growth</w:t>
      </w:r>
      <w:r w:rsidRPr="00AB7570">
        <w:t xml:space="preserve">.  </w:t>
      </w:r>
      <w:r>
        <w:t>Labor market</w:t>
      </w:r>
      <w:r w:rsidRPr="00AB7570">
        <w:t xml:space="preserve"> institutions have been frequently linked to wage moderation (Soskice, 1990</w:t>
      </w:r>
      <w:r>
        <w:t>; Hall and Soskice, 2001;</w:t>
      </w:r>
      <w:r w:rsidRPr="00251AD6">
        <w:t xml:space="preserve"> </w:t>
      </w:r>
      <w:r>
        <w:t>Iversen &amp; Soskice 2010; Johnston and Regan, 2014</w:t>
      </w:r>
      <w:r w:rsidRPr="00AB7570">
        <w:t xml:space="preserve">), and in turn inflation.  </w:t>
      </w:r>
      <w:r>
        <w:t xml:space="preserve">Classical political economy literature </w:t>
      </w:r>
      <w:r w:rsidRPr="00AB7570">
        <w:rPr>
          <w:rFonts w:cs="Cambria"/>
          <w:lang w:val="en-US"/>
        </w:rPr>
        <w:t>highlights that encompassing, centralized and/or coordinate</w:t>
      </w:r>
      <w:r>
        <w:rPr>
          <w:rFonts w:cs="Cambria"/>
          <w:lang w:val="en-US"/>
        </w:rPr>
        <w:t>d</w:t>
      </w:r>
      <w:r w:rsidRPr="00AB7570">
        <w:rPr>
          <w:rFonts w:cs="Cambria"/>
          <w:lang w:val="en-US"/>
        </w:rPr>
        <w:t xml:space="preserve"> collective bargaining at the national level reduces the collective action problem among unions to push for higher wage increases, leading to persistent wage moderation</w:t>
      </w:r>
      <w:r>
        <w:t xml:space="preserve">. </w:t>
      </w:r>
    </w:p>
    <w:p w14:paraId="254F1993" w14:textId="77777777" w:rsidR="0023707F" w:rsidRDefault="0023707F" w:rsidP="0023707F">
      <w:pPr>
        <w:spacing w:line="276" w:lineRule="auto"/>
        <w:jc w:val="both"/>
      </w:pPr>
    </w:p>
    <w:p w14:paraId="6694E1DC" w14:textId="77777777" w:rsidR="0023707F" w:rsidRPr="0028421E" w:rsidRDefault="0023707F" w:rsidP="0023707F">
      <w:pPr>
        <w:spacing w:line="276" w:lineRule="auto"/>
        <w:jc w:val="both"/>
      </w:pPr>
      <w:r>
        <w:t xml:space="preserve">Given that labor market institutions impact inflation, we suggest that such political dynamics may also constrain housing bubbles through their impact on housing demand.  Coordinated wage setting institutions may have bubble-mitigation effects for two reasons.  First, repressed income growth that stems from these institutions reduce domestic demand for all goods, including debt instruments required for purchasing major durable goods (i.e. home mortgages).  Second, since collective bargaining institutions </w:t>
      </w:r>
      <w:r w:rsidRPr="00FB2015">
        <w:rPr>
          <w:i/>
        </w:rPr>
        <w:t>can be</w:t>
      </w:r>
      <w:r>
        <w:t xml:space="preserve"> relatively sticky (i.e. not subject to frequent change), they may influence households’ future expectations of income growth.  If wage coordination mechanisms consistently deliver slow income growth in the past, households may expect that these institutions will continue to deliver wage moderation in the future, and adjust their demand for mortgages accordingly.</w:t>
      </w:r>
    </w:p>
    <w:p w14:paraId="78A99D5E" w14:textId="77777777" w:rsidR="0023707F" w:rsidRDefault="0023707F" w:rsidP="0023707F">
      <w:pPr>
        <w:spacing w:line="276" w:lineRule="auto"/>
        <w:jc w:val="both"/>
      </w:pPr>
    </w:p>
    <w:p w14:paraId="1E07274C" w14:textId="77777777" w:rsidR="0023707F" w:rsidRDefault="0023707F" w:rsidP="0023707F">
      <w:pPr>
        <w:spacing w:line="276" w:lineRule="auto"/>
        <w:jc w:val="both"/>
      </w:pPr>
      <w:r>
        <w:t xml:space="preserve">Recent political economy literature outlines the importance of </w:t>
      </w:r>
      <w:r w:rsidRPr="007D4849">
        <w:rPr>
          <w:i/>
        </w:rPr>
        <w:t xml:space="preserve">sectoral </w:t>
      </w:r>
      <w:r>
        <w:rPr>
          <w:i/>
        </w:rPr>
        <w:t xml:space="preserve">dynamics </w:t>
      </w:r>
      <w:r>
        <w:t xml:space="preserve">when examining the influence of labor market institutions on policy preferences (Rehm &amp; Wren 2014). </w:t>
      </w:r>
      <w:r w:rsidR="008E178E">
        <w:t>Others</w:t>
      </w:r>
      <w:r>
        <w:t xml:space="preserve"> have examined how sectoral coalitions influence aggregate wages and prices (Brandl, 2012; Johnston et al, 2014). National demand is determined by income growth in two different types of sectors: tradable (export-oriented) and non-tradable (domestic–oriented).  Wage-setters in the former have the incentive to restrain wage growth, because employers are less able to pass wage increases onto prices due to competitiveness constraints. If unions price wages too high, employers are more likely to respond with employment shedding rather than price mark-ups.  Wage-setters in the non-tradable sector, however, do not possess similar incentives as employers have greater leeway to pass on wage increases to prices (in the public sector, such wage increases can be passed onto/funded by taxes or borrowing). The conflicting incentives of these different sectoral-class interests have important consequences for domestic </w:t>
      </w:r>
      <w:r>
        <w:lastRenderedPageBreak/>
        <w:t xml:space="preserve">inflation, yet the possible influence of these sectoral differences on </w:t>
      </w:r>
      <w:r w:rsidRPr="00ED59A2">
        <w:rPr>
          <w:i/>
        </w:rPr>
        <w:t>asset-prices</w:t>
      </w:r>
      <w:r>
        <w:t xml:space="preserve"> remains largely unexplored.  </w:t>
      </w:r>
    </w:p>
    <w:p w14:paraId="137B43BD" w14:textId="77777777" w:rsidR="0023707F" w:rsidRDefault="0023707F" w:rsidP="0023707F">
      <w:pPr>
        <w:spacing w:line="276" w:lineRule="auto"/>
        <w:jc w:val="both"/>
      </w:pPr>
    </w:p>
    <w:p w14:paraId="7AE254D1" w14:textId="11904AAA" w:rsidR="0023707F" w:rsidRDefault="0023707F" w:rsidP="0023707F">
      <w:pPr>
        <w:spacing w:line="276" w:lineRule="auto"/>
        <w:jc w:val="both"/>
      </w:pPr>
      <w:r>
        <w:t>Despite the fact that differences in sectoral-class interests exist within all political economies, some countries possess domestic labor market institutions that better contain the influence of the non-tradable sector in shaping aggregate wage outcomes. These countries have coordinated wage-setting institutions that grant the export-sector</w:t>
      </w:r>
      <w:r w:rsidR="00D70AC5">
        <w:t>, either directly or indirectly via state intervention,</w:t>
      </w:r>
      <w:r>
        <w:t xml:space="preserve"> veto powers in the determination of national wages.  Because </w:t>
      </w:r>
      <w:r w:rsidR="00D70AC5">
        <w:t xml:space="preserve">export-based </w:t>
      </w:r>
      <w:r w:rsidR="00A33AC6">
        <w:t>coalitions</w:t>
      </w:r>
      <w:r>
        <w:t xml:space="preserve"> have the incentive to limit aggregate wage growth</w:t>
      </w:r>
      <w:r w:rsidR="0030202A">
        <w:t xml:space="preserve"> in sheltered sectors</w:t>
      </w:r>
      <w:r>
        <w:t xml:space="preserve"> for competitiveness reasons, </w:t>
      </w:r>
      <w:r>
        <w:rPr>
          <w:i/>
        </w:rPr>
        <w:t>coordinated</w:t>
      </w:r>
      <w:r w:rsidRPr="00646BF1">
        <w:rPr>
          <w:i/>
        </w:rPr>
        <w:t xml:space="preserve"> </w:t>
      </w:r>
      <w:r>
        <w:rPr>
          <w:i/>
        </w:rPr>
        <w:t xml:space="preserve">collective bargaining </w:t>
      </w:r>
      <w:r w:rsidRPr="00646BF1">
        <w:rPr>
          <w:i/>
        </w:rPr>
        <w:t>institutions</w:t>
      </w:r>
      <w:r>
        <w:t xml:space="preserve"> that grant them </w:t>
      </w:r>
      <w:r w:rsidR="00023F61">
        <w:t>greater political leverage</w:t>
      </w:r>
      <w:r>
        <w:t xml:space="preserve"> in wage negotiations make it easier for these interests to enforce their wage moderation preferences on the economy at large.  Such institutions frequently underpin export-led growth regimes but have generally been overlooked in IPE research on the macroeconomic roots of the international financial crisis.</w:t>
      </w:r>
    </w:p>
    <w:p w14:paraId="57DCC7BE" w14:textId="77777777" w:rsidR="0023707F" w:rsidRDefault="0023707F" w:rsidP="0023707F">
      <w:pPr>
        <w:spacing w:line="276" w:lineRule="auto"/>
        <w:jc w:val="both"/>
      </w:pPr>
    </w:p>
    <w:p w14:paraId="4BE79A91" w14:textId="7F52EF91" w:rsidR="0023707F" w:rsidRDefault="0023707F" w:rsidP="0023707F">
      <w:pPr>
        <w:spacing w:line="276" w:lineRule="auto"/>
        <w:jc w:val="both"/>
      </w:pPr>
      <w:r>
        <w:t>Building on previous work on sectoral-class politics (Brandl, 2012; Johnston et al, 2014), we suggest that there are three coordinated wage-setting regimes that grant greater agenda setting and veto powers to the export sector, thereby enhancing their political bargaining power vis-à-vis sheltered sector</w:t>
      </w:r>
      <w:r w:rsidR="0006373F">
        <w:t xml:space="preserve"> unions</w:t>
      </w:r>
      <w:r>
        <w:t xml:space="preserve">. These include: </w:t>
      </w:r>
      <w:r w:rsidRPr="00907FB5">
        <w:rPr>
          <w:i/>
        </w:rPr>
        <w:t>multi-employer</w:t>
      </w:r>
      <w:r>
        <w:t xml:space="preserve"> pattern bargaining regimes where exposed sector firms act as trend-setters (Germany and Austria); </w:t>
      </w:r>
      <w:r w:rsidRPr="00907FB5">
        <w:rPr>
          <w:i/>
        </w:rPr>
        <w:t>state imposed</w:t>
      </w:r>
      <w:r>
        <w:t xml:space="preserve"> coordination regimes that grant the government unilateral power to deliver </w:t>
      </w:r>
      <w:r w:rsidR="00D70AC5">
        <w:t>(</w:t>
      </w:r>
      <w:r>
        <w:t>public sector</w:t>
      </w:r>
      <w:r w:rsidR="00D70AC5">
        <w:t>)</w:t>
      </w:r>
      <w:r>
        <w:t xml:space="preserve"> pay outcomes in line with export-sector preferences (France and Belgium), and; state-led wage pacts where the social partners bargain in the state’s </w:t>
      </w:r>
      <w:r w:rsidRPr="00D00A8A">
        <w:rPr>
          <w:i/>
        </w:rPr>
        <w:t>shadow of hierarchy</w:t>
      </w:r>
      <w:r>
        <w:t>. These pacts grant the state the unilateral</w:t>
      </w:r>
      <w:r w:rsidRPr="00D00A8A">
        <w:rPr>
          <w:i/>
        </w:rPr>
        <w:t xml:space="preserve"> capacity</w:t>
      </w:r>
      <w:r>
        <w:t xml:space="preserve"> to establish productivity-based wage ceilings (or, in times of crisis, wage freezes) </w:t>
      </w:r>
      <w:r w:rsidRPr="00A329E1">
        <w:rPr>
          <w:i/>
        </w:rPr>
        <w:t>if</w:t>
      </w:r>
      <w:r>
        <w:t xml:space="preserve"> unions and employers fail to negotiate wage restraint (Finland and the Netherlands).  </w:t>
      </w:r>
    </w:p>
    <w:p w14:paraId="0F217EA7" w14:textId="77777777" w:rsidR="0023707F" w:rsidRDefault="0023707F" w:rsidP="0023707F">
      <w:pPr>
        <w:spacing w:line="276" w:lineRule="auto"/>
        <w:jc w:val="both"/>
      </w:pPr>
    </w:p>
    <w:p w14:paraId="13047535" w14:textId="77777777" w:rsidR="0023707F" w:rsidRDefault="0023707F" w:rsidP="0023707F">
      <w:pPr>
        <w:numPr>
          <w:ilvl w:val="0"/>
          <w:numId w:val="5"/>
        </w:numPr>
        <w:spacing w:line="276" w:lineRule="auto"/>
        <w:contextualSpacing/>
        <w:jc w:val="both"/>
      </w:pPr>
      <w:r>
        <w:t xml:space="preserve">In pattern bargaining regimes, sectoral-class interests in the export sector (the metalworking sector for Germany and Austria) establish wage-settlements first. These then serve as the upper limit for all subsequent sectoral wage agreements in the wider economy.  The political strength of the export (manufacturing) sector in Germany and Austria stems from the prominence of this sectoral-class coalition in shaping their national export-led growth regime, which has been sustained in the face of globalization due to their value-added production niches (Hall and Soskice, 2001).  </w:t>
      </w:r>
    </w:p>
    <w:p w14:paraId="2D112FFF" w14:textId="77777777" w:rsidR="0023707F" w:rsidRDefault="0023707F" w:rsidP="0023707F">
      <w:pPr>
        <w:spacing w:line="276" w:lineRule="auto"/>
        <w:jc w:val="both"/>
      </w:pPr>
    </w:p>
    <w:p w14:paraId="076B16E4" w14:textId="77777777" w:rsidR="0023707F" w:rsidRDefault="0023707F" w:rsidP="0023707F">
      <w:pPr>
        <w:numPr>
          <w:ilvl w:val="0"/>
          <w:numId w:val="5"/>
        </w:numPr>
        <w:spacing w:line="276" w:lineRule="auto"/>
        <w:contextualSpacing/>
        <w:jc w:val="both"/>
      </w:pPr>
      <w:r>
        <w:t xml:space="preserve">State imposed coordination regimes allot the state a unilateral role in monitoring wage inflation in line with exposed-sector interests.  In France, such coordination stems from the state’s use of the collective agreements of large exporting firms, which then act as non-negotiable benchmarks for the public sector (Hancké, 2002).  In Belgium, the state’s imposing role occurs through </w:t>
      </w:r>
      <w:r>
        <w:lastRenderedPageBreak/>
        <w:t>legislative statutory acts, which grant the government the capacity to intervene and cap wage growth if labor costs exceeds that of the average of Belgium’s three largest trading partners (France, Germany and the Netherlands).</w:t>
      </w:r>
    </w:p>
    <w:p w14:paraId="3259E6B8" w14:textId="77777777" w:rsidR="0023707F" w:rsidRDefault="0023707F" w:rsidP="0023707F">
      <w:pPr>
        <w:spacing w:line="276" w:lineRule="auto"/>
        <w:jc w:val="both"/>
      </w:pPr>
    </w:p>
    <w:p w14:paraId="3DF4FC08" w14:textId="77777777" w:rsidR="0023707F" w:rsidRDefault="0023707F" w:rsidP="0023707F">
      <w:pPr>
        <w:numPr>
          <w:ilvl w:val="0"/>
          <w:numId w:val="5"/>
        </w:numPr>
        <w:spacing w:line="276" w:lineRule="auto"/>
        <w:contextualSpacing/>
        <w:jc w:val="both"/>
      </w:pPr>
      <w:r>
        <w:t xml:space="preserve">The state’s role in monitoring wage developments in the interest of the export-sector also exists in countries with state-led wage pacts. These tripartite pacts grant the government the statutory means to control wage increases but are usually a </w:t>
      </w:r>
      <w:r w:rsidRPr="002B4029">
        <w:rPr>
          <w:i/>
        </w:rPr>
        <w:t xml:space="preserve">temporary </w:t>
      </w:r>
      <w:r>
        <w:t xml:space="preserve">feature of collective bargaining. They do not result in </w:t>
      </w:r>
      <w:r w:rsidRPr="002C0B50">
        <w:rPr>
          <w:i/>
        </w:rPr>
        <w:t>direct</w:t>
      </w:r>
      <w:r>
        <w:t xml:space="preserve"> unilateral state intervention, but rather </w:t>
      </w:r>
      <w:r w:rsidRPr="002C0B50">
        <w:rPr>
          <w:i/>
        </w:rPr>
        <w:t>indirect</w:t>
      </w:r>
      <w:r>
        <w:t xml:space="preserve"> state action via its threats to intervene unilaterally if wage restraint is not delivered.  In the Netherlands, such wage pacts are used reactively in response to sudden increases in inflation and their terms involve either national wage ceilings or wage freezes, which are subject to legislative decrees if they are not met.  </w:t>
      </w:r>
    </w:p>
    <w:p w14:paraId="7A759AEA" w14:textId="77777777" w:rsidR="0023707F" w:rsidRDefault="0023707F" w:rsidP="0023707F">
      <w:pPr>
        <w:spacing w:line="276" w:lineRule="auto"/>
        <w:jc w:val="both"/>
      </w:pPr>
    </w:p>
    <w:p w14:paraId="0CC50550" w14:textId="1FF91982" w:rsidR="0023707F" w:rsidRDefault="0023707F" w:rsidP="0023707F">
      <w:pPr>
        <w:spacing w:line="276" w:lineRule="auto"/>
        <w:jc w:val="both"/>
      </w:pPr>
      <w:r>
        <w:t xml:space="preserve">Other wage-setting regimes </w:t>
      </w:r>
      <w:r w:rsidRPr="002B4029">
        <w:rPr>
          <w:i/>
        </w:rPr>
        <w:t>fail</w:t>
      </w:r>
      <w:r>
        <w:t xml:space="preserve"> to grant veto powers to the export sector, thereby weakening </w:t>
      </w:r>
      <w:r w:rsidR="00A405CB">
        <w:t xml:space="preserve">its </w:t>
      </w:r>
      <w:r>
        <w:t xml:space="preserve">agenda setting power vis-à-vis the non-tradable sector. These include:  peak bargaining regimes where both exposed and sheltered sector unions/employers are united under a confederal umbrella (Italy, Spain and Portugal); uncoordinated market-oriented regimes where individual wage-setters bargain independently with employers (the US and UK), and; </w:t>
      </w:r>
      <w:r w:rsidRPr="006514B9">
        <w:t>non-state-led</w:t>
      </w:r>
      <w:r>
        <w:t xml:space="preserve"> wage pacts where wage pacts are concluded between union and employer confederations but the state lacks the power to ensure collective compliance (Ireland). </w:t>
      </w:r>
    </w:p>
    <w:p w14:paraId="7D697CBD" w14:textId="77777777" w:rsidR="0023707F" w:rsidRDefault="0023707F" w:rsidP="0023707F">
      <w:pPr>
        <w:spacing w:line="276" w:lineRule="auto"/>
        <w:jc w:val="both"/>
      </w:pPr>
    </w:p>
    <w:p w14:paraId="2FE313F2" w14:textId="1EC06DC5" w:rsidR="00C35F80" w:rsidRDefault="0023707F" w:rsidP="00C35F80">
      <w:pPr>
        <w:numPr>
          <w:ilvl w:val="0"/>
          <w:numId w:val="6"/>
        </w:numPr>
        <w:spacing w:line="276" w:lineRule="auto"/>
        <w:contextualSpacing/>
        <w:jc w:val="both"/>
      </w:pPr>
      <w:r>
        <w:t xml:space="preserve">In peak bargaining regimes, union confederations are unable to unify sectoral conflicts among competing affiliates.  If the public sector holds greater membership in these umbrella organizations than the export sector, peak bargaining can be more prone to inflation. Sheltered sector dominated peak bargaining regimes differ to exposed sector dominated peak bargaining regimes where the export sector continues to exert influence in the peak confederation, due to its higher membership representation.  In Denmark, for example, the manufacturing sector’s dominance within the LO has been maintained by the formation of the CO-Metal export cartel since 1992.  </w:t>
      </w:r>
    </w:p>
    <w:p w14:paraId="573FEBAB" w14:textId="77777777" w:rsidR="00C35F80" w:rsidRDefault="00C35F80" w:rsidP="00C35F80">
      <w:pPr>
        <w:spacing w:line="276" w:lineRule="auto"/>
        <w:ind w:left="720"/>
        <w:contextualSpacing/>
        <w:jc w:val="both"/>
      </w:pPr>
    </w:p>
    <w:p w14:paraId="2E30995C" w14:textId="77777777" w:rsidR="00C35F80" w:rsidRDefault="00C35F80" w:rsidP="00C35F80">
      <w:pPr>
        <w:numPr>
          <w:ilvl w:val="0"/>
          <w:numId w:val="6"/>
        </w:numPr>
        <w:spacing w:line="276" w:lineRule="auto"/>
        <w:contextualSpacing/>
        <w:jc w:val="both"/>
      </w:pPr>
      <w:r>
        <w:t xml:space="preserve">These coordination problems are also present in non-state-led wage pacts (Ireland prior to the crisis). These pacts are delivered by peak-level confederations and their conclusion and enforcement relies upon the collective compliance of affiliates.  However, unlike state-led wage pacts, the state has little capacity to ensure that concluded wage levels stay within or below agreed limits.  In Ireland, where the dynamic multinational sector is non-unionized and hence relatively absent in the Irish Congress of Trade Unions (ICTU), these regular wage pacts rest largely on the preferences of public sector unions (Regan, 2012).  </w:t>
      </w:r>
    </w:p>
    <w:p w14:paraId="3580EDD3" w14:textId="77777777" w:rsidR="00C35F80" w:rsidRDefault="00C35F80" w:rsidP="00C35F80">
      <w:pPr>
        <w:pStyle w:val="ListParagraph"/>
      </w:pPr>
    </w:p>
    <w:p w14:paraId="20204610" w14:textId="4A40D570" w:rsidR="0023707F" w:rsidRDefault="00D70AC5" w:rsidP="0023707F">
      <w:pPr>
        <w:numPr>
          <w:ilvl w:val="0"/>
          <w:numId w:val="6"/>
        </w:numPr>
        <w:spacing w:line="276" w:lineRule="auto"/>
        <w:contextualSpacing/>
        <w:jc w:val="both"/>
      </w:pPr>
      <w:r>
        <w:lastRenderedPageBreak/>
        <w:t>U</w:t>
      </w:r>
      <w:r w:rsidR="0023707F">
        <w:t>ncoordinated market-oriented regimes</w:t>
      </w:r>
      <w:r>
        <w:t xml:space="preserve"> are</w:t>
      </w:r>
      <w:r w:rsidR="00A405CB">
        <w:t>, politically,</w:t>
      </w:r>
      <w:r>
        <w:t xml:space="preserve"> more sector-neutral.</w:t>
      </w:r>
      <w:r w:rsidR="0023707F">
        <w:t xml:space="preserve"> </w:t>
      </w:r>
      <w:r>
        <w:t xml:space="preserve"> I</w:t>
      </w:r>
      <w:r w:rsidR="0023707F">
        <w:t xml:space="preserve">ndividual firms set wage growth on par with productivity developments, which for the non-tradable sector is usually lower than the export sector.  However, such regimes do not have the capacity to deliver the degree of national wage suppression that exist in </w:t>
      </w:r>
      <w:r w:rsidR="0023707F" w:rsidRPr="00EB45E0">
        <w:rPr>
          <w:i/>
        </w:rPr>
        <w:t xml:space="preserve">collective </w:t>
      </w:r>
      <w:r w:rsidR="0023707F">
        <w:t xml:space="preserve">bargaining regimes, as fragmentation inhibits employers’ capacity to coordinate and moderate wage growth in </w:t>
      </w:r>
      <w:r w:rsidR="0023707F" w:rsidRPr="00EB45E0">
        <w:rPr>
          <w:i/>
        </w:rPr>
        <w:t>all</w:t>
      </w:r>
      <w:r w:rsidR="0023707F">
        <w:t xml:space="preserve"> sheltered sectors.  Additionally, these regimes have the capacity to be wage inflationary if </w:t>
      </w:r>
      <w:r w:rsidR="0023707F">
        <w:rPr>
          <w:i/>
        </w:rPr>
        <w:t>income</w:t>
      </w:r>
      <w:r w:rsidR="0023707F" w:rsidRPr="00EB45E0">
        <w:rPr>
          <w:i/>
        </w:rPr>
        <w:t xml:space="preserve"> inequality</w:t>
      </w:r>
      <w:r w:rsidR="0023707F">
        <w:t xml:space="preserve"> leads to disproportionate wage increases at the upper end of the earnings distribution.  </w:t>
      </w:r>
    </w:p>
    <w:p w14:paraId="0DB1475C" w14:textId="32B0EEE0" w:rsidR="0023707F" w:rsidRDefault="0023707F" w:rsidP="0030202A">
      <w:pPr>
        <w:spacing w:line="276" w:lineRule="auto"/>
        <w:contextualSpacing/>
        <w:jc w:val="both"/>
      </w:pPr>
    </w:p>
    <w:p w14:paraId="650B4EF0" w14:textId="36C7D83F" w:rsidR="0023707F" w:rsidRDefault="0023707F" w:rsidP="0023707F">
      <w:pPr>
        <w:spacing w:line="276" w:lineRule="auto"/>
        <w:jc w:val="both"/>
      </w:pPr>
      <w:r>
        <w:t xml:space="preserve">Appendix A provides the complete list of these wage-setting regimes and countries’ classifications within them between 1980 and 2007.  Our theoretical model rests on examining how these six wage coordination institutions (and their underlying sectoral-class interests) influence housing prices via income growth.  We hypothesize that wage-setting regimes that limit income growth in non-tradable sectors (pattern bargaining, state-imposed coordination and state-led wage pacts) are more prone towards moderated income growth.  Such repressed income growth reduces the demand for mortgage credit, which in turn limits the demand for housing, mitigating the possibility that house price increases turn into housing </w:t>
      </w:r>
      <w:r w:rsidRPr="00B74961">
        <w:rPr>
          <w:i/>
        </w:rPr>
        <w:t>bubble</w:t>
      </w:r>
      <w:r>
        <w:t xml:space="preserve">s.  </w:t>
      </w:r>
    </w:p>
    <w:p w14:paraId="7DE04811" w14:textId="77777777" w:rsidR="0023707F" w:rsidRPr="00B83FC3" w:rsidRDefault="0023707F" w:rsidP="0023707F">
      <w:pPr>
        <w:spacing w:line="276" w:lineRule="auto"/>
        <w:jc w:val="both"/>
        <w:rPr>
          <w:b/>
          <w:i/>
        </w:rPr>
      </w:pPr>
    </w:p>
    <w:p w14:paraId="2039B02F" w14:textId="77777777" w:rsidR="0023707F" w:rsidRDefault="0023707F" w:rsidP="0023707F">
      <w:pPr>
        <w:spacing w:line="276" w:lineRule="auto"/>
        <w:jc w:val="both"/>
        <w:rPr>
          <w:b/>
        </w:rPr>
      </w:pPr>
      <w:r>
        <w:rPr>
          <w:b/>
        </w:rPr>
        <w:t xml:space="preserve">An Institutional Model of Housing Bubbles in the OECD: Empirical Evidence </w:t>
      </w:r>
    </w:p>
    <w:p w14:paraId="6028C63A" w14:textId="77777777" w:rsidR="0023707F" w:rsidRDefault="0023707F" w:rsidP="0023707F">
      <w:pPr>
        <w:spacing w:line="276" w:lineRule="auto"/>
        <w:jc w:val="both"/>
        <w:rPr>
          <w:b/>
        </w:rPr>
      </w:pPr>
    </w:p>
    <w:p w14:paraId="17498008" w14:textId="77777777" w:rsidR="0023707F" w:rsidRPr="00690F4B" w:rsidRDefault="0023707F" w:rsidP="0023707F">
      <w:pPr>
        <w:spacing w:line="276" w:lineRule="auto"/>
        <w:jc w:val="both"/>
        <w:rPr>
          <w:i/>
        </w:rPr>
      </w:pPr>
      <w:r>
        <w:rPr>
          <w:i/>
        </w:rPr>
        <w:t xml:space="preserve">Variables and </w:t>
      </w:r>
      <w:r w:rsidRPr="00690F4B">
        <w:rPr>
          <w:i/>
        </w:rPr>
        <w:t>Estimator</w:t>
      </w:r>
    </w:p>
    <w:p w14:paraId="79C16807" w14:textId="77777777" w:rsidR="0023707F" w:rsidRDefault="0023707F" w:rsidP="0023707F">
      <w:pPr>
        <w:spacing w:line="276" w:lineRule="auto"/>
        <w:jc w:val="both"/>
      </w:pPr>
    </w:p>
    <w:p w14:paraId="0BC0CC6F" w14:textId="77777777" w:rsidR="0023707F" w:rsidRDefault="0023707F" w:rsidP="0023707F">
      <w:pPr>
        <w:spacing w:line="276" w:lineRule="auto"/>
        <w:jc w:val="both"/>
      </w:pPr>
      <w:r>
        <w:t>We employ a panel analysis of 17 OECD</w:t>
      </w:r>
      <w:r>
        <w:rPr>
          <w:rStyle w:val="FootnoteReference"/>
        </w:rPr>
        <w:footnoteReference w:id="9"/>
      </w:r>
      <w:r>
        <w:t xml:space="preserve"> economies from 1980 to 2007 to test whether income is more impactful in explaining housing price growth than financial factors.  Our baseline model stems from </w:t>
      </w:r>
      <w:proofErr w:type="spellStart"/>
      <w:r>
        <w:t>Aizenman</w:t>
      </w:r>
      <w:proofErr w:type="spellEnd"/>
      <w:r>
        <w:t xml:space="preserve"> and </w:t>
      </w:r>
      <w:proofErr w:type="spellStart"/>
      <w:r>
        <w:t>Jinjarak</w:t>
      </w:r>
      <w:proofErr w:type="spellEnd"/>
      <w:r>
        <w:t xml:space="preserve"> (2009), who examine the influence of current account balances on housing prices.  The authors use a (one year) distributive lag model to examine determinants of real-estate valuations for 43 countries between 1990 and 2005.  </w:t>
      </w:r>
      <w:proofErr w:type="spellStart"/>
      <w:r>
        <w:t>Aizenman</w:t>
      </w:r>
      <w:proofErr w:type="spellEnd"/>
      <w:r>
        <w:t xml:space="preserve"> and </w:t>
      </w:r>
      <w:proofErr w:type="spellStart"/>
      <w:r>
        <w:t>Jinjarak’s</w:t>
      </w:r>
      <w:proofErr w:type="spellEnd"/>
      <w:r>
        <w:t xml:space="preserve"> model includes only lagged independent variables, rather than present value independent variables, because real-estate is a substantial investment for households, who must incur significant debt burdens to purchase these assets.  Therefore, changes in housing purchases that result from changes in income and interest rates are likely subject to greater delays than for other goods and financial assets.  </w:t>
      </w:r>
    </w:p>
    <w:p w14:paraId="7E6F6369" w14:textId="77777777" w:rsidR="0023707F" w:rsidRDefault="0023707F" w:rsidP="0023707F">
      <w:pPr>
        <w:spacing w:line="276" w:lineRule="auto"/>
        <w:jc w:val="both"/>
      </w:pPr>
    </w:p>
    <w:p w14:paraId="1245AFFA" w14:textId="20ECAE02" w:rsidR="0023707F" w:rsidRDefault="0023707F" w:rsidP="0023707F">
      <w:pPr>
        <w:spacing w:line="276" w:lineRule="auto"/>
        <w:jc w:val="both"/>
      </w:pPr>
      <w:r>
        <w:t xml:space="preserve">The authors’ final model includes only one year lags of the independent variable, although they </w:t>
      </w:r>
      <w:r w:rsidR="00A405CB">
        <w:t xml:space="preserve">acknowledge </w:t>
      </w:r>
      <w:r>
        <w:t xml:space="preserve">that the effects of current account balances persist up to five years. Below, we also present results for a </w:t>
      </w:r>
      <w:r w:rsidRPr="005B6DE6">
        <w:rPr>
          <w:i/>
        </w:rPr>
        <w:t>two year</w:t>
      </w:r>
      <w:r>
        <w:t xml:space="preserve"> distributive lag model (all independent variables are two years removed from the present value of the dependent </w:t>
      </w:r>
      <w:r>
        <w:lastRenderedPageBreak/>
        <w:t xml:space="preserve">variable), and the results are largely similar, except for population growth which becomes significant.  The </w:t>
      </w:r>
      <w:proofErr w:type="gramStart"/>
      <w:r>
        <w:t>impact of all our independent variables become</w:t>
      </w:r>
      <w:proofErr w:type="gramEnd"/>
      <w:r>
        <w:t xml:space="preserve"> insignificant within the </w:t>
      </w:r>
      <w:r w:rsidR="00A405CB">
        <w:rPr>
          <w:i/>
        </w:rPr>
        <w:t xml:space="preserve">third </w:t>
      </w:r>
      <w:r w:rsidRPr="005B6DE6">
        <w:rPr>
          <w:i/>
        </w:rPr>
        <w:t>year</w:t>
      </w:r>
      <w:r>
        <w:t xml:space="preserve"> lag (</w:t>
      </w:r>
      <w:r w:rsidR="008D2BC9" w:rsidRPr="008D2BC9">
        <w:rPr>
          <w:highlight w:val="yellow"/>
        </w:rPr>
        <w:t>show results</w:t>
      </w:r>
      <w:r w:rsidRPr="008D2BC9">
        <w:rPr>
          <w:highlight w:val="yellow"/>
        </w:rPr>
        <w:t xml:space="preserve"> in an online appendix</w:t>
      </w:r>
      <w:r w:rsidR="008D2BC9" w:rsidRPr="008D2BC9">
        <w:rPr>
          <w:highlight w:val="yellow"/>
        </w:rPr>
        <w:t>…</w:t>
      </w:r>
      <w:r>
        <w:t>).  Our baseline model can be summarized as follows:</w:t>
      </w:r>
    </w:p>
    <w:p w14:paraId="167CD4FA" w14:textId="77777777" w:rsidR="0023707F" w:rsidRDefault="0023707F" w:rsidP="0023707F">
      <w:pPr>
        <w:spacing w:line="276" w:lineRule="auto"/>
        <w:jc w:val="both"/>
      </w:pPr>
    </w:p>
    <w:p w14:paraId="4E03356A" w14:textId="77777777" w:rsidR="0023707F" w:rsidRDefault="00A36759" w:rsidP="0023707F">
      <w:pPr>
        <w:spacing w:line="276" w:lineRule="auto"/>
        <w:jc w:val="both"/>
      </w:pPr>
      <m:oMath>
        <m:sSub>
          <m:sSubPr>
            <m:ctrlPr>
              <w:rPr>
                <w:rFonts w:ascii="Cambria Math" w:hAnsi="Cambria Math"/>
                <w:i/>
              </w:rPr>
            </m:ctrlPr>
          </m:sSubPr>
          <m:e>
            <m:r>
              <w:rPr>
                <w:rFonts w:ascii="Cambria Math" w:hAnsi="Cambria Math"/>
              </w:rPr>
              <m:t>HP</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y</m:t>
            </m:r>
          </m:e>
          <m:sub>
            <m:r>
              <w:rPr>
                <w:rFonts w:ascii="Cambria Math" w:hAnsi="Cambria Math"/>
              </w:rPr>
              <m:t>i, 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pop</m:t>
            </m:r>
          </m:e>
          <m:sub>
            <m:r>
              <w:rPr>
                <w:rFonts w:ascii="Cambria Math" w:hAnsi="Cambria Math"/>
              </w:rPr>
              <m:t>i, t-1</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4</m:t>
            </m:r>
          </m:sub>
        </m:sSub>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i,t-1</m:t>
                </m:r>
              </m:sub>
            </m:sSub>
          </m:e>
        </m:nary>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5</m:t>
            </m:r>
          </m:sub>
        </m:sSub>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Y</m:t>
                </m:r>
              </m:e>
              <m:sub>
                <m:r>
                  <w:rPr>
                    <w:rFonts w:ascii="Cambria Math" w:hAnsi="Cambria Math"/>
                  </w:rPr>
                  <m:t>i,t-1</m:t>
                </m:r>
              </m:sub>
            </m:sSub>
          </m:e>
        </m:nary>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6</m:t>
            </m:r>
          </m:sub>
        </m:sSub>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Z</m:t>
                </m:r>
              </m:e>
              <m:sub>
                <m:r>
                  <w:rPr>
                    <w:rFonts w:ascii="Cambria Math" w:hAnsi="Cambria Math"/>
                  </w:rPr>
                  <m:t>t</m:t>
                </m:r>
              </m:sub>
            </m:sSub>
          </m:e>
        </m:nary>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i.t</m:t>
            </m:r>
          </m:sub>
        </m:sSub>
      </m:oMath>
      <w:r w:rsidR="0023707F">
        <w:t xml:space="preserve"> </w:t>
      </w:r>
    </w:p>
    <w:p w14:paraId="6C24FEFE" w14:textId="77777777" w:rsidR="0023707F" w:rsidRDefault="0023707F" w:rsidP="0023707F">
      <w:pPr>
        <w:spacing w:line="276" w:lineRule="auto"/>
        <w:jc w:val="both"/>
      </w:pPr>
    </w:p>
    <w:p w14:paraId="62574E28" w14:textId="77777777" w:rsidR="0023707F" w:rsidRDefault="0023707F" w:rsidP="0023707F">
      <w:pPr>
        <w:spacing w:line="276" w:lineRule="auto"/>
        <w:jc w:val="both"/>
      </w:pPr>
      <w:r>
        <w:t xml:space="preserve">All of our variables, except for the capital account openness index, central bank independence (CBI), and government partisanship, are differenced, as panels exhibit either consistently increasing or decreasing trends, rather than stochastic processes required by time series.  </w:t>
      </w:r>
      <m:oMath>
        <m:sSub>
          <m:sSubPr>
            <m:ctrlPr>
              <w:rPr>
                <w:rFonts w:ascii="Cambria Math" w:hAnsi="Cambria Math"/>
                <w:i/>
              </w:rPr>
            </m:ctrlPr>
          </m:sSubPr>
          <m:e>
            <m:r>
              <w:rPr>
                <w:rFonts w:ascii="Cambria Math" w:hAnsi="Cambria Math"/>
              </w:rPr>
              <m:t>HP</m:t>
            </m:r>
          </m:e>
          <m:sub>
            <m:r>
              <w:rPr>
                <w:rFonts w:ascii="Cambria Math" w:hAnsi="Cambria Math"/>
              </w:rPr>
              <m:t>i,t</m:t>
            </m:r>
          </m:sub>
        </m:sSub>
        <m:r>
          <w:rPr>
            <w:rFonts w:ascii="Cambria Math" w:hAnsi="Cambria Math"/>
          </w:rPr>
          <m:t xml:space="preserve"> </m:t>
        </m:r>
      </m:oMath>
      <w:proofErr w:type="gramStart"/>
      <w:r>
        <w:t>is</w:t>
      </w:r>
      <w:proofErr w:type="gramEnd"/>
      <w:r>
        <w:t xml:space="preserve"> real housing price growth (</w:t>
      </w:r>
      <w:r w:rsidRPr="007565E7">
        <w:rPr>
          <w:i/>
        </w:rPr>
        <w:t>percentage change</w:t>
      </w:r>
      <w:r>
        <w:rPr>
          <w:rStyle w:val="FootnoteReference"/>
        </w:rPr>
        <w:footnoteReference w:id="10"/>
      </w:r>
      <w:r>
        <w:t xml:space="preserve"> from the previous year) in country </w:t>
      </w:r>
      <w:proofErr w:type="spellStart"/>
      <w:r>
        <w:t>i</w:t>
      </w:r>
      <w:proofErr w:type="spellEnd"/>
      <w:r>
        <w:t xml:space="preserve"> in year t. </w:t>
      </w:r>
      <m:oMath>
        <m:sSub>
          <m:sSubPr>
            <m:ctrlPr>
              <w:rPr>
                <w:rFonts w:ascii="Cambria Math" w:hAnsi="Cambria Math"/>
                <w:i/>
              </w:rPr>
            </m:ctrlPr>
          </m:sSubPr>
          <m:e>
            <m:r>
              <w:rPr>
                <w:rFonts w:ascii="Cambria Math" w:hAnsi="Cambria Math"/>
              </w:rPr>
              <m:t>y</m:t>
            </m:r>
          </m:e>
          <m:sub>
            <m:r>
              <w:rPr>
                <w:rFonts w:ascii="Cambria Math" w:hAnsi="Cambria Math"/>
              </w:rPr>
              <m:t>i, t-1</m:t>
            </m:r>
          </m:sub>
        </m:sSub>
      </m:oMath>
      <w:r>
        <w:t xml:space="preserve"> is per capita real income growth (</w:t>
      </w:r>
      <w:r w:rsidRPr="007565E7">
        <w:rPr>
          <w:i/>
        </w:rPr>
        <w:t>percentage change</w:t>
      </w:r>
      <w:r>
        <w:t xml:space="preserve"> from the previous year) in country </w:t>
      </w:r>
      <w:proofErr w:type="spellStart"/>
      <w:r>
        <w:t>i</w:t>
      </w:r>
      <w:proofErr w:type="spellEnd"/>
      <w:r>
        <w:t xml:space="preserve"> in year t-1.  </w:t>
      </w:r>
      <m:oMath>
        <m:sSub>
          <m:sSubPr>
            <m:ctrlPr>
              <w:rPr>
                <w:rFonts w:ascii="Cambria Math" w:hAnsi="Cambria Math"/>
                <w:i/>
              </w:rPr>
            </m:ctrlPr>
          </m:sSubPr>
          <m:e>
            <m:r>
              <w:rPr>
                <w:rFonts w:ascii="Cambria Math" w:hAnsi="Cambria Math"/>
              </w:rPr>
              <m:t>pop</m:t>
            </m:r>
          </m:e>
          <m:sub>
            <m:r>
              <w:rPr>
                <w:rFonts w:ascii="Cambria Math" w:hAnsi="Cambria Math"/>
              </w:rPr>
              <m:t>i, t-1</m:t>
            </m:r>
          </m:sub>
        </m:sSub>
      </m:oMath>
      <w:r>
        <w:t>, a rough proxy of housing stock demand, is population growth (</w:t>
      </w:r>
      <w:r w:rsidRPr="007565E7">
        <w:rPr>
          <w:i/>
        </w:rPr>
        <w:t>percentage change</w:t>
      </w:r>
      <w:r>
        <w:t xml:space="preserve"> from the previous year) in country </w:t>
      </w:r>
      <w:proofErr w:type="spellStart"/>
      <w:r>
        <w:t>i</w:t>
      </w:r>
      <w:proofErr w:type="spellEnd"/>
      <w:r>
        <w:t xml:space="preserve"> in year t-1.   Real housing price data (private dwellings) stem from OECD (2012a), except for Austria and Portugal (OECD data missing), whose residential property price data came from the Bank of International Settlements (2014).  Population and real income growth data stem from the OECD (2014).</w:t>
      </w:r>
    </w:p>
    <w:p w14:paraId="4A5E4659" w14:textId="77777777" w:rsidR="0023707F" w:rsidRDefault="0023707F" w:rsidP="0023707F">
      <w:pPr>
        <w:spacing w:line="276" w:lineRule="auto"/>
        <w:jc w:val="both"/>
      </w:pPr>
    </w:p>
    <w:p w14:paraId="1DBD9ACD" w14:textId="571D53A3" w:rsidR="0023707F" w:rsidRDefault="00A36759" w:rsidP="0023707F">
      <w:pPr>
        <w:spacing w:line="276" w:lineRule="auto"/>
        <w:jc w:val="both"/>
      </w:pP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i,t-1</m:t>
                </m:r>
              </m:sub>
            </m:sSub>
          </m:e>
        </m:nary>
        <m:r>
          <w:rPr>
            <w:rFonts w:ascii="Cambria Math" w:hAnsi="Cambria Math"/>
          </w:rPr>
          <m:t xml:space="preserve"> </m:t>
        </m:r>
      </m:oMath>
      <w:r w:rsidR="0023707F">
        <w:t xml:space="preserve"> </w:t>
      </w:r>
      <w:proofErr w:type="gramStart"/>
      <w:r w:rsidR="0023707F">
        <w:t>is</w:t>
      </w:r>
      <w:proofErr w:type="gramEnd"/>
      <w:r w:rsidR="0023707F">
        <w:t xml:space="preserve"> a vector of lagged financial variables.  This includes the lagged real interest rate (</w:t>
      </w:r>
      <w:r w:rsidR="0023707F" w:rsidRPr="007565E7">
        <w:rPr>
          <w:i/>
        </w:rPr>
        <w:t>differenced</w:t>
      </w:r>
      <w:r w:rsidR="0023707F">
        <w:t xml:space="preserve"> from the previous year), the lagged ratio of domestic credit provided by financial institutions to </w:t>
      </w:r>
      <w:r w:rsidR="00825E94">
        <w:t xml:space="preserve">the </w:t>
      </w:r>
      <w:r w:rsidR="0023707F">
        <w:t>private</w:t>
      </w:r>
      <w:r w:rsidR="00825E94">
        <w:t xml:space="preserve"> sector</w:t>
      </w:r>
      <w:r w:rsidR="0023707F">
        <w:t xml:space="preserve"> as a ratio of GDP (a proxy for financial </w:t>
      </w:r>
      <w:r w:rsidR="0023707F" w:rsidRPr="007F124B">
        <w:rPr>
          <w:i/>
        </w:rPr>
        <w:t>depth</w:t>
      </w:r>
      <w:r w:rsidR="0023707F">
        <w:t xml:space="preserve">, this ratio is also </w:t>
      </w:r>
      <w:r w:rsidR="0023707F" w:rsidRPr="007565E7">
        <w:rPr>
          <w:i/>
        </w:rPr>
        <w:t>differenced</w:t>
      </w:r>
      <w:r w:rsidR="0023707F">
        <w:t xml:space="preserve"> from the previous year), and the lagged capital account openness index (a proxy of financial </w:t>
      </w:r>
      <w:r w:rsidR="0023707F" w:rsidRPr="00BA450D">
        <w:rPr>
          <w:i/>
        </w:rPr>
        <w:t>liberalization</w:t>
      </w:r>
      <w:r w:rsidR="0023707F">
        <w:t xml:space="preserve">) for country </w:t>
      </w:r>
      <w:proofErr w:type="spellStart"/>
      <w:r w:rsidR="0023707F">
        <w:t>i</w:t>
      </w:r>
      <w:proofErr w:type="spellEnd"/>
      <w:r w:rsidR="0023707F">
        <w:t xml:space="preserve"> in year t-1.  </w:t>
      </w:r>
      <w:r w:rsidR="00893E2E">
        <w:t xml:space="preserve">The domestic (private) credit supply variable, taken from the World Bank, 2014, includes </w:t>
      </w:r>
      <w:r w:rsidR="00893E2E" w:rsidRPr="00A254CA">
        <w:rPr>
          <w:i/>
        </w:rPr>
        <w:t>not only mortgage debt</w:t>
      </w:r>
      <w:r w:rsidR="00893E2E">
        <w:t xml:space="preserve">, but also non-mortgage based loans to households and firms (including student loans made by private financial institutions), </w:t>
      </w:r>
      <w:r w:rsidR="00893E2E" w:rsidRPr="00825E94">
        <w:t>purchases of non</w:t>
      </w:r>
      <w:r w:rsidR="00893E2E">
        <w:t>-</w:t>
      </w:r>
      <w:r w:rsidR="00893E2E" w:rsidRPr="00825E94">
        <w:t>equity securities,</w:t>
      </w:r>
      <w:r w:rsidR="00893E2E">
        <w:t xml:space="preserve"> private loans to public enterprises,</w:t>
      </w:r>
      <w:r w:rsidR="00893E2E" w:rsidRPr="00825E94">
        <w:t xml:space="preserve"> and trade credit</w:t>
      </w:r>
      <w:r w:rsidR="00893E2E">
        <w:t>s and other accounts receivable</w:t>
      </w:r>
      <w:r w:rsidR="00893E2E" w:rsidRPr="00825E94">
        <w:t xml:space="preserve"> that establish a claim for repayment</w:t>
      </w:r>
      <w:r w:rsidR="00893E2E">
        <w:t xml:space="preserve">.  </w:t>
      </w:r>
      <w:r w:rsidR="0023707F">
        <w:t>The capital account index measures capital and current account restrictions, requirements to surrender export proceeds, and the presence of multiple exchange rates: higher values indicate greater capital account openness.  Real interest rate data stems from</w:t>
      </w:r>
      <w:r w:rsidR="00893E2E">
        <w:t xml:space="preserve"> the EU’s AMECO Database (2014)</w:t>
      </w:r>
      <w:r w:rsidR="0023707F">
        <w:t xml:space="preserve"> and the capital account openness index stems from </w:t>
      </w:r>
      <w:proofErr w:type="spellStart"/>
      <w:r w:rsidR="0023707F">
        <w:t>Karcher</w:t>
      </w:r>
      <w:proofErr w:type="spellEnd"/>
      <w:r w:rsidR="0023707F">
        <w:t xml:space="preserve"> and Steinberg’s (2012) revised measure of the Chinn-Ito (2006) index.</w:t>
      </w:r>
    </w:p>
    <w:p w14:paraId="0DE8757B" w14:textId="77777777" w:rsidR="0023707F" w:rsidRDefault="0023707F" w:rsidP="0023707F">
      <w:pPr>
        <w:spacing w:line="276" w:lineRule="auto"/>
        <w:jc w:val="both"/>
      </w:pPr>
    </w:p>
    <w:p w14:paraId="29EF9C58" w14:textId="77777777" w:rsidR="0023707F" w:rsidRPr="00C94BDF" w:rsidRDefault="00A36759" w:rsidP="0023707F">
      <w:pPr>
        <w:spacing w:line="276" w:lineRule="auto"/>
        <w:jc w:val="both"/>
      </w:pP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Y</m:t>
                </m:r>
              </m:e>
              <m:sub>
                <m:r>
                  <w:rPr>
                    <w:rFonts w:ascii="Cambria Math" w:hAnsi="Cambria Math"/>
                  </w:rPr>
                  <m:t>i,t-1</m:t>
                </m:r>
              </m:sub>
            </m:sSub>
          </m:e>
        </m:nary>
        <m:r>
          <w:rPr>
            <w:rFonts w:ascii="Cambria Math" w:hAnsi="Cambria Math"/>
          </w:rPr>
          <m:t xml:space="preserve"> </m:t>
        </m:r>
      </m:oMath>
      <w:r w:rsidR="0023707F">
        <w:t xml:space="preserve"> </w:t>
      </w:r>
      <w:proofErr w:type="gramStart"/>
      <w:r w:rsidR="0023707F">
        <w:t>is</w:t>
      </w:r>
      <w:proofErr w:type="gramEnd"/>
      <w:r w:rsidR="0023707F">
        <w:t xml:space="preserve"> a vector of lagged domestic political controls.  We include partisanship, the lagged proportion of cabinet seats occupied by right parties</w:t>
      </w:r>
      <w:r w:rsidR="0023707F">
        <w:rPr>
          <w:rStyle w:val="FootnoteReference"/>
        </w:rPr>
        <w:footnoteReference w:id="11"/>
      </w:r>
      <w:r w:rsidR="0023707F">
        <w:t xml:space="preserve">, because right parties, given their capital/business leanings, may be more prone towards passing mortgage-credit-friendly policies than left parties.  We also include the lagged CBI index as a rough proxy for the inflation aversion of the domestic central bank.   The presence of a </w:t>
      </w:r>
      <w:r w:rsidR="0023707F">
        <w:lastRenderedPageBreak/>
        <w:t xml:space="preserve">supranational central bank (the European Central Bank) within our panel poses some problems for comparing EMU to non-EMU countries: the ECB does not have the same inflation </w:t>
      </w:r>
      <w:r w:rsidR="0023707F" w:rsidRPr="00C94BDF">
        <w:t>monitoring power for individual Eurozone countries as national central banks do.  Therefore, we weight the CBI index by the proportion of national GDP to the central bank’s jurisdiction.</w:t>
      </w:r>
      <w:r w:rsidR="0023707F" w:rsidRPr="00C94BDF">
        <w:rPr>
          <w:rStyle w:val="FootnoteReference"/>
        </w:rPr>
        <w:footnoteReference w:id="12"/>
      </w:r>
      <w:r w:rsidR="0023707F" w:rsidRPr="00C94BDF">
        <w:t xml:space="preserve">  For countries with their own central banks, this weight equals 1 (national GDP </w:t>
      </w:r>
      <w:r w:rsidR="0023707F" w:rsidRPr="00C94BDF">
        <w:rPr>
          <w:i/>
        </w:rPr>
        <w:t>is</w:t>
      </w:r>
      <w:r w:rsidR="0023707F" w:rsidRPr="00C94BDF">
        <w:t xml:space="preserve"> the central bank’s jurisdiction).  For EMU countries, this weight equals the ratio of national output to the Eurozone’s output.  Partisanship data stems from Swank (2006), while the CBI index stems from Cukierman (1992), with updated data from </w:t>
      </w:r>
      <w:proofErr w:type="spellStart"/>
      <w:r w:rsidR="0023707F" w:rsidRPr="00C94BDF">
        <w:t>Polillo</w:t>
      </w:r>
      <w:proofErr w:type="spellEnd"/>
      <w:r w:rsidR="0023707F" w:rsidRPr="00C94BDF">
        <w:t xml:space="preserve"> and </w:t>
      </w:r>
      <w:proofErr w:type="spellStart"/>
      <w:r w:rsidR="0023707F" w:rsidRPr="00C94BDF">
        <w:t>Gullién</w:t>
      </w:r>
      <w:proofErr w:type="spellEnd"/>
      <w:r w:rsidR="0023707F" w:rsidRPr="00C94BDF">
        <w:t xml:space="preserve"> (2005).  EMU country’s output weights to Eurozone GDP are calculated using data from the EU AMECO Database (2014).      </w:t>
      </w:r>
    </w:p>
    <w:p w14:paraId="684D9955" w14:textId="77777777" w:rsidR="0023707F" w:rsidRPr="00C94BDF" w:rsidRDefault="0023707F" w:rsidP="0023707F">
      <w:pPr>
        <w:spacing w:line="276" w:lineRule="auto"/>
        <w:jc w:val="both"/>
      </w:pPr>
    </w:p>
    <w:p w14:paraId="04004905" w14:textId="77777777" w:rsidR="0023707F" w:rsidRDefault="00A36759" w:rsidP="0023707F">
      <w:pPr>
        <w:spacing w:line="276" w:lineRule="auto"/>
        <w:jc w:val="both"/>
      </w:pP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Z</m:t>
                </m:r>
              </m:e>
              <m:sub>
                <m:r>
                  <w:rPr>
                    <w:rFonts w:ascii="Cambria Math" w:hAnsi="Cambria Math"/>
                  </w:rPr>
                  <m:t>t</m:t>
                </m:r>
              </m:sub>
            </m:sSub>
          </m:e>
        </m:nary>
      </m:oMath>
      <w:r w:rsidR="0023707F" w:rsidRPr="00C94BDF">
        <w:t xml:space="preserve"> </w:t>
      </w:r>
      <w:proofErr w:type="gramStart"/>
      <w:r w:rsidR="0023707F" w:rsidRPr="00C94BDF">
        <w:t>is</w:t>
      </w:r>
      <w:proofErr w:type="gramEnd"/>
      <w:r w:rsidR="0023707F" w:rsidRPr="00C94BDF">
        <w:t xml:space="preserve"> a vector of (n-1) year dummies to control for omitted time shocks.  Optimally, our analysis would include measures</w:t>
      </w:r>
      <w:r w:rsidR="0023707F">
        <w:t xml:space="preserve"> of national policies towards mortgage debt accumulation (mortgage tax subsidies, maximum loan to value ratios, etc.).  However this data is not available on a consistent time series basis.  OECD (2011) possesses cross-sectional data on mortgage tax subsidies for 2009 only and maximum loan-to-value ratios for 1990 and 2000 only.  Therefore, we omitted these variables from our regressions, although we incorporate them into our case study analysis, where we tease out the causal mechanism.  Finally, all independent variables, but </w:t>
      </w:r>
      <w:r w:rsidR="0023707F" w:rsidRPr="001D5E28">
        <w:rPr>
          <w:i/>
        </w:rPr>
        <w:t>not</w:t>
      </w:r>
      <w:r w:rsidR="0023707F">
        <w:t xml:space="preserve"> our dependent variable, are </w:t>
      </w:r>
      <w:r w:rsidR="0023707F" w:rsidRPr="00BA450D">
        <w:rPr>
          <w:i/>
        </w:rPr>
        <w:t xml:space="preserve">standardized </w:t>
      </w:r>
      <w:r w:rsidR="0023707F">
        <w:t xml:space="preserve">making it possible to compare the impact magnitudes of the independent variables on housing price growth (beta coefficients are interpreted as “a one standard deviation change in X leads to a </w:t>
      </w:r>
      <m:oMath>
        <m:r>
          <w:rPr>
            <w:rFonts w:ascii="Cambria Math" w:hAnsi="Cambria Math"/>
          </w:rPr>
          <m:t>β</m:t>
        </m:r>
      </m:oMath>
      <w:r w:rsidR="0023707F">
        <w:t>% change in housing prices”).</w:t>
      </w:r>
    </w:p>
    <w:p w14:paraId="19FDF0F4" w14:textId="77777777" w:rsidR="0023707F" w:rsidRDefault="0023707F" w:rsidP="0023707F">
      <w:pPr>
        <w:spacing w:line="276" w:lineRule="auto"/>
        <w:jc w:val="both"/>
      </w:pPr>
    </w:p>
    <w:p w14:paraId="3E117398" w14:textId="77777777" w:rsidR="0023707F" w:rsidRDefault="0023707F" w:rsidP="0023707F">
      <w:pPr>
        <w:spacing w:line="276" w:lineRule="auto"/>
        <w:jc w:val="both"/>
        <w:rPr>
          <w:lang w:val="en-US"/>
        </w:rPr>
      </w:pPr>
      <w:r>
        <w:t xml:space="preserve">We begin </w:t>
      </w:r>
      <w:r w:rsidRPr="003B7948">
        <w:t>our analysis with a standard OLS estimator with</w:t>
      </w:r>
      <w:r>
        <w:t xml:space="preserve"> </w:t>
      </w:r>
      <w:r w:rsidRPr="003B7948">
        <w:t xml:space="preserve">country clustered standard errors to control for </w:t>
      </w:r>
      <w:r w:rsidRPr="003B7948">
        <w:rPr>
          <w:lang w:val="en-US"/>
        </w:rPr>
        <w:t>contemporaneous correlation and panel heteroskedasticity</w:t>
      </w:r>
      <w:r>
        <w:rPr>
          <w:lang w:val="en-US"/>
        </w:rPr>
        <w:t>.</w:t>
      </w:r>
      <w:r>
        <w:rPr>
          <w:rStyle w:val="FootnoteReference"/>
          <w:lang w:val="en-US"/>
        </w:rPr>
        <w:footnoteReference w:id="13"/>
      </w:r>
      <w:r>
        <w:rPr>
          <w:lang w:val="en-US"/>
        </w:rPr>
        <w:t xml:space="preserve">  A distributive lag model should blunt the likelihood of reverse causality between housing price and income growth: present housing prices should not influence past income growth.  However, if housing price shocks linger for more than one period, endogeneity between these two variables may continue to exist.  Therefore, we use instrumental variable regression (IV or two stage least squares, 2SLS), using lagged (n-1) coordination regime dummies (pattern bargaining, state-imposed coordination, </w:t>
      </w:r>
      <w:r w:rsidR="00A46E48">
        <w:rPr>
          <w:lang w:val="en-US"/>
        </w:rPr>
        <w:t xml:space="preserve">state-led </w:t>
      </w:r>
      <w:r>
        <w:rPr>
          <w:lang w:val="en-US"/>
        </w:rPr>
        <w:t>wage pacts, no coordination, and peak-level bargaining,</w:t>
      </w:r>
      <w:r>
        <w:rPr>
          <w:rStyle w:val="FootnoteReference"/>
          <w:lang w:val="en-US"/>
        </w:rPr>
        <w:footnoteReference w:id="14"/>
      </w:r>
      <w:r>
        <w:rPr>
          <w:lang w:val="en-US"/>
        </w:rPr>
        <w:t xml:space="preserve"> with </w:t>
      </w:r>
      <w:r w:rsidR="00A46E48">
        <w:t>non-state-led</w:t>
      </w:r>
      <w:r>
        <w:t xml:space="preserve"> wage pacts</w:t>
      </w:r>
      <w:r w:rsidDel="002800B5">
        <w:rPr>
          <w:lang w:val="en-US"/>
        </w:rPr>
        <w:t xml:space="preserve"> </w:t>
      </w:r>
      <w:r>
        <w:rPr>
          <w:lang w:val="en-US"/>
        </w:rPr>
        <w:t>as the omitted baseline category) as instruments for lagged income growth.</w:t>
      </w:r>
      <w:r>
        <w:rPr>
          <w:rStyle w:val="FootnoteReference"/>
          <w:lang w:val="en-US"/>
        </w:rPr>
        <w:footnoteReference w:id="15"/>
      </w:r>
      <w:r>
        <w:rPr>
          <w:lang w:val="en-US"/>
        </w:rPr>
        <w:t xml:space="preserve">   Because we select </w:t>
      </w:r>
      <w:r w:rsidR="00A46E48">
        <w:t xml:space="preserve">non-state-led </w:t>
      </w:r>
      <w:r>
        <w:rPr>
          <w:lang w:val="en-US"/>
        </w:rPr>
        <w:t>wage pacts as the baseline category, identified by some as the regime that best enhances the</w:t>
      </w:r>
      <w:r w:rsidR="00D66C3D">
        <w:rPr>
          <w:lang w:val="en-US"/>
        </w:rPr>
        <w:t xml:space="preserve"> sheltered sector’s</w:t>
      </w:r>
      <w:r>
        <w:rPr>
          <w:lang w:val="en-US"/>
        </w:rPr>
        <w:t xml:space="preserve"> political bargaining power </w:t>
      </w:r>
      <w:r>
        <w:rPr>
          <w:lang w:val="en-US"/>
        </w:rPr>
        <w:lastRenderedPageBreak/>
        <w:t xml:space="preserve">(Brandl, 2012; Johnston et al, 2014), it is possible that all our coordination regime dummies will be significantly negative in the first stage. Our coordination regime data for 1980-2003 and 2004-2007 stem from Brandl (2012) and Johnston et al (2014), respectively.  </w:t>
      </w:r>
    </w:p>
    <w:p w14:paraId="3E8C557A" w14:textId="77777777" w:rsidR="0023707F" w:rsidRDefault="0023707F" w:rsidP="0023707F">
      <w:pPr>
        <w:spacing w:line="276" w:lineRule="auto"/>
        <w:jc w:val="both"/>
        <w:rPr>
          <w:lang w:val="en-US"/>
        </w:rPr>
      </w:pPr>
    </w:p>
    <w:p w14:paraId="28B7F932" w14:textId="77777777" w:rsidR="0023707F" w:rsidRDefault="0023707F" w:rsidP="0023707F">
      <w:pPr>
        <w:spacing w:line="276" w:lineRule="auto"/>
        <w:jc w:val="both"/>
        <w:rPr>
          <w:lang w:val="en-US"/>
        </w:rPr>
      </w:pPr>
      <w:r>
        <w:rPr>
          <w:lang w:val="en-US"/>
        </w:rPr>
        <w:t xml:space="preserve">In order to act as suitable instruments, our coordination dummies must be relevant (significantly correlated with income growth), and exogenous (not correlated with the error term in the second stage regression).  First stage results assessing the influence of coordination regimes on real income growth are jointly significant, validating the first requirement.  We present the joint F-test of significance, and in all models, the F-statistic exceeds 10, the threshold which distinguishes between weakly significant (&lt;10) and strongly significant (&gt;10) instruments (Stock and </w:t>
      </w:r>
      <w:proofErr w:type="spellStart"/>
      <w:r>
        <w:rPr>
          <w:lang w:val="en-US"/>
        </w:rPr>
        <w:t>Yogo</w:t>
      </w:r>
      <w:proofErr w:type="spellEnd"/>
      <w:r>
        <w:rPr>
          <w:lang w:val="en-US"/>
        </w:rPr>
        <w:t xml:space="preserve">, 2005).  Though we assume that wage coordination regimes’ influence on housing prices operates </w:t>
      </w:r>
      <w:r w:rsidRPr="00E9620C">
        <w:rPr>
          <w:i/>
          <w:lang w:val="en-US"/>
        </w:rPr>
        <w:t>solely</w:t>
      </w:r>
      <w:r>
        <w:rPr>
          <w:lang w:val="en-US"/>
        </w:rPr>
        <w:t xml:space="preserve"> through their effect on income growth, it is impossible to be completely sure that our instruments are fully exogenous as one cannot formally test this.  However, given the inclusion of various controls, we account for omitted variables that may cause </w:t>
      </w:r>
      <w:r w:rsidR="00D66C3D">
        <w:rPr>
          <w:lang w:val="en-US"/>
        </w:rPr>
        <w:t xml:space="preserve">our </w:t>
      </w:r>
      <w:r>
        <w:rPr>
          <w:lang w:val="en-US"/>
        </w:rPr>
        <w:t>instrument</w:t>
      </w:r>
      <w:r w:rsidR="00D66C3D">
        <w:rPr>
          <w:lang w:val="en-US"/>
        </w:rPr>
        <w:t>s</w:t>
      </w:r>
      <w:r>
        <w:rPr>
          <w:lang w:val="en-US"/>
        </w:rPr>
        <w:t xml:space="preserve"> to be endogenous to housing price growth, increasing the probability of </w:t>
      </w:r>
      <w:r w:rsidR="00D66C3D">
        <w:rPr>
          <w:lang w:val="en-US"/>
        </w:rPr>
        <w:t xml:space="preserve">their </w:t>
      </w:r>
      <w:proofErr w:type="spellStart"/>
      <w:r>
        <w:rPr>
          <w:lang w:val="en-US"/>
        </w:rPr>
        <w:t>exogeneity</w:t>
      </w:r>
      <w:proofErr w:type="spellEnd"/>
      <w:r>
        <w:rPr>
          <w:lang w:val="en-US"/>
        </w:rPr>
        <w:t>.  Export-friendly coordination regimes may be more typical of governments with greater inflation aversion or resistance towards credit expansion, both of which have important implications for housing prices.  However, the CBI index proxies as a country’s central bank’s aversion to inflation.  Additionally, by including cabinet right-party share and the expansion of the ratio of domestic credit provision to GDP in our models, we also control for possible partisan determinants of inflation/credit expansion, highlighted in the CPE literature.</w:t>
      </w:r>
    </w:p>
    <w:p w14:paraId="34DFBEC5" w14:textId="77777777" w:rsidR="0023707F" w:rsidRDefault="0023707F" w:rsidP="0023707F">
      <w:pPr>
        <w:spacing w:line="276" w:lineRule="auto"/>
        <w:jc w:val="both"/>
        <w:rPr>
          <w:lang w:val="en-US"/>
        </w:rPr>
      </w:pPr>
    </w:p>
    <w:p w14:paraId="1AFF1D62" w14:textId="1BCE2D07" w:rsidR="008D2BC9" w:rsidRDefault="0023707F" w:rsidP="008D2BC9">
      <w:pPr>
        <w:spacing w:line="276" w:lineRule="auto"/>
        <w:jc w:val="both"/>
        <w:rPr>
          <w:lang w:val="en-US"/>
        </w:rPr>
      </w:pPr>
      <w:r>
        <w:rPr>
          <w:lang w:val="en-US"/>
        </w:rPr>
        <w:t>Finally, both our OLS and IV estimators include random effects rather than country-specific</w:t>
      </w:r>
      <w:r w:rsidR="008D2BC9">
        <w:rPr>
          <w:lang w:val="en-US"/>
        </w:rPr>
        <w:t xml:space="preserve"> fixed</w:t>
      </w:r>
      <w:r>
        <w:rPr>
          <w:lang w:val="en-US"/>
        </w:rPr>
        <w:t xml:space="preserve"> effects.  While these dummies control for omitted time-invariant country effects (although such omitted variables are more pressing for level effects, rather than differenced/growth-rate effects, which our models estimate), their incorporation into the IV/2SLS analysis is problematic for the coordination regime dummies, as well as for the CBI index.  Some countries (Canada, the UK and the US) exhibit no change in their coordination regimes over the entire period, meaning that their country dummies </w:t>
      </w:r>
      <w:r w:rsidRPr="003222E6">
        <w:rPr>
          <w:lang w:val="en-US"/>
        </w:rPr>
        <w:t>would be perfectly correlated with the</w:t>
      </w:r>
      <w:r>
        <w:rPr>
          <w:lang w:val="en-US"/>
        </w:rPr>
        <w:t>ir</w:t>
      </w:r>
      <w:r w:rsidRPr="003222E6">
        <w:rPr>
          <w:lang w:val="en-US"/>
        </w:rPr>
        <w:t xml:space="preserve"> coordination regimes (see </w:t>
      </w:r>
      <w:proofErr w:type="spellStart"/>
      <w:r w:rsidRPr="003222E6">
        <w:t>Plümper</w:t>
      </w:r>
      <w:proofErr w:type="spellEnd"/>
      <w:r>
        <w:t xml:space="preserve"> et al, 2005, for a general critique on the use of fixed effects </w:t>
      </w:r>
      <w:r w:rsidR="00C44FB5">
        <w:t>when</w:t>
      </w:r>
      <w:r>
        <w:t xml:space="preserve"> incorporating institutional controls)</w:t>
      </w:r>
      <w:r w:rsidRPr="003222E6">
        <w:rPr>
          <w:lang w:val="en-US"/>
        </w:rPr>
        <w:t>.</w:t>
      </w:r>
      <w:r w:rsidR="008D2BC9">
        <w:rPr>
          <w:lang w:val="en-US"/>
        </w:rPr>
        <w:t xml:space="preserve"> </w:t>
      </w:r>
      <w:r>
        <w:rPr>
          <w:lang w:val="en-US"/>
        </w:rPr>
        <w:t xml:space="preserve"> This is substantiated in our regression output: in our IV/2SLS regressions, the inclusion of country dummies rendered the coordination regime dummies insignificant in the first stage (</w:t>
      </w:r>
      <w:r w:rsidR="008D2BC9" w:rsidRPr="008D2BC9">
        <w:rPr>
          <w:highlight w:val="yellow"/>
        </w:rPr>
        <w:t>show results in an online appendix…</w:t>
      </w:r>
      <w:r w:rsidR="00A412EE">
        <w:rPr>
          <w:lang w:val="en-US"/>
        </w:rPr>
        <w:t>).</w:t>
      </w:r>
      <w:r w:rsidR="008D2BC9">
        <w:rPr>
          <w:rStyle w:val="FootnoteReference"/>
          <w:lang w:val="en-US"/>
        </w:rPr>
        <w:footnoteReference w:id="16"/>
      </w:r>
      <w:r w:rsidR="008D2BC9">
        <w:rPr>
          <w:lang w:val="en-US"/>
        </w:rPr>
        <w:t xml:space="preserve">  </w:t>
      </w:r>
      <w:r w:rsidR="008D2BC9" w:rsidRPr="003222E6">
        <w:rPr>
          <w:lang w:val="en-US"/>
        </w:rPr>
        <w:t>However</w:t>
      </w:r>
      <w:r w:rsidR="008D2BC9">
        <w:rPr>
          <w:lang w:val="en-US"/>
        </w:rPr>
        <w:t xml:space="preserve">, realizing that income growth and mortgage credit demand may serve as substitutes </w:t>
      </w:r>
      <w:r w:rsidR="008D2BC9">
        <w:rPr>
          <w:lang w:val="en-US"/>
        </w:rPr>
        <w:lastRenderedPageBreak/>
        <w:t>rather than complements for credit-permissive liberal market economies</w:t>
      </w:r>
      <w:r w:rsidR="008D2BC9">
        <w:rPr>
          <w:rStyle w:val="FootnoteReference"/>
          <w:lang w:val="en-US"/>
        </w:rPr>
        <w:footnoteReference w:id="17"/>
      </w:r>
      <w:r w:rsidR="008D2BC9">
        <w:rPr>
          <w:lang w:val="en-US"/>
        </w:rPr>
        <w:t xml:space="preserve"> (the UK and US) where mortgage securitization was central to their growth regimes (Hay 2009), we introduce US and UK country dummy interactions with lagged income growth in the </w:t>
      </w:r>
      <w:r w:rsidR="008D2BC9" w:rsidRPr="00C44FB5">
        <w:rPr>
          <w:i/>
          <w:lang w:val="en-US"/>
        </w:rPr>
        <w:t>OLS</w:t>
      </w:r>
      <w:r w:rsidR="008D2BC9">
        <w:rPr>
          <w:lang w:val="en-US"/>
        </w:rPr>
        <w:t xml:space="preserve"> model to determine if income’s effect on housing prices for these economies is different to the wider OECD sample.  </w:t>
      </w:r>
    </w:p>
    <w:p w14:paraId="3462A86F" w14:textId="77777777" w:rsidR="0023707F" w:rsidRDefault="0023707F" w:rsidP="0023707F">
      <w:pPr>
        <w:spacing w:line="276" w:lineRule="auto"/>
        <w:jc w:val="both"/>
        <w:rPr>
          <w:lang w:val="en-US"/>
        </w:rPr>
      </w:pPr>
    </w:p>
    <w:p w14:paraId="47E47E18" w14:textId="77777777" w:rsidR="0023707F" w:rsidRPr="00B400D8" w:rsidRDefault="0023707F" w:rsidP="0023707F">
      <w:pPr>
        <w:spacing w:line="276" w:lineRule="auto"/>
        <w:jc w:val="both"/>
        <w:rPr>
          <w:i/>
          <w:lang w:val="en-US"/>
        </w:rPr>
      </w:pPr>
      <w:r w:rsidRPr="00B400D8">
        <w:rPr>
          <w:i/>
          <w:lang w:val="en-US"/>
        </w:rPr>
        <w:t>Results</w:t>
      </w:r>
    </w:p>
    <w:p w14:paraId="23C63B68" w14:textId="77777777" w:rsidR="0023707F" w:rsidRDefault="0023707F" w:rsidP="0023707F">
      <w:pPr>
        <w:spacing w:line="276" w:lineRule="auto"/>
        <w:jc w:val="both"/>
        <w:rPr>
          <w:lang w:val="en-US"/>
        </w:rPr>
      </w:pPr>
    </w:p>
    <w:p w14:paraId="06E1D2B6" w14:textId="77777777" w:rsidR="00273E38" w:rsidRDefault="0023707F" w:rsidP="0023707F">
      <w:pPr>
        <w:spacing w:line="276" w:lineRule="auto"/>
        <w:jc w:val="both"/>
        <w:rPr>
          <w:lang w:val="en-US"/>
        </w:rPr>
      </w:pPr>
      <w:r>
        <w:rPr>
          <w:lang w:val="en-US"/>
        </w:rPr>
        <w:t xml:space="preserve">Table 1 presents our results for the OLS estimator.  Our baseline model (Model I, Table 1) excludes the capital account openness index, as this variable is largely absent for Belgium, which would exclude it from our sample.  Model II in Table 1 includes the capital account openness index.  Model III, Table 1, includes our domestic political controls.  Model IV </w:t>
      </w:r>
      <w:r w:rsidR="00C44FB5">
        <w:rPr>
          <w:lang w:val="en-US"/>
        </w:rPr>
        <w:t xml:space="preserve">presents results for the US and UK country dummy interactions with lagged income growth.  Model V </w:t>
      </w:r>
      <w:r>
        <w:rPr>
          <w:lang w:val="en-US"/>
        </w:rPr>
        <w:t>presents results for a two year, rather than one year, lag of the independent variables.  Model V</w:t>
      </w:r>
      <w:r w:rsidR="00C44FB5">
        <w:rPr>
          <w:lang w:val="en-US"/>
        </w:rPr>
        <w:t>I</w:t>
      </w:r>
      <w:r>
        <w:rPr>
          <w:lang w:val="en-US"/>
        </w:rPr>
        <w:t xml:space="preserve"> presents an alternative measure of income growth that examines the extent to which wage growth in the sheltered </w:t>
      </w:r>
      <w:r w:rsidRPr="005B6DE6">
        <w:rPr>
          <w:i/>
          <w:lang w:val="en-US"/>
        </w:rPr>
        <w:t>non-market services</w:t>
      </w:r>
      <w:r>
        <w:rPr>
          <w:lang w:val="en-US"/>
        </w:rPr>
        <w:t xml:space="preserve"> </w:t>
      </w:r>
      <w:r w:rsidRPr="00DB6873">
        <w:rPr>
          <w:lang w:val="en-US"/>
        </w:rPr>
        <w:t xml:space="preserve">sector </w:t>
      </w:r>
      <w:r>
        <w:rPr>
          <w:lang w:val="en-US"/>
        </w:rPr>
        <w:t>(</w:t>
      </w:r>
      <w:r w:rsidRPr="00DB6873">
        <w:t xml:space="preserve">a weighted composite of public </w:t>
      </w:r>
      <w:r>
        <w:t>administration and defence, education</w:t>
      </w:r>
      <w:r w:rsidRPr="00DB6873">
        <w:t>, and</w:t>
      </w:r>
      <w:r>
        <w:t xml:space="preserve"> health/social work)</w:t>
      </w:r>
      <w:r w:rsidRPr="00DB6873">
        <w:rPr>
          <w:lang w:val="en-US"/>
        </w:rPr>
        <w:t xml:space="preserve"> </w:t>
      </w:r>
      <w:r>
        <w:rPr>
          <w:lang w:val="en-US"/>
        </w:rPr>
        <w:t xml:space="preserve">exceeds wage growth in the manufacturing sector (data stemming from EU KLEMS, 2010).  Coordination regimes that grant the export sector </w:t>
      </w:r>
      <w:r w:rsidR="00A46E48">
        <w:rPr>
          <w:lang w:val="en-US"/>
        </w:rPr>
        <w:t xml:space="preserve">or the state </w:t>
      </w:r>
      <w:r>
        <w:rPr>
          <w:lang w:val="en-US"/>
        </w:rPr>
        <w:t xml:space="preserve">greater political leverage in wage bargaining </w:t>
      </w:r>
      <w:r w:rsidR="00A46E48">
        <w:rPr>
          <w:lang w:val="en-US"/>
        </w:rPr>
        <w:t xml:space="preserve">tend to </w:t>
      </w:r>
      <w:r>
        <w:rPr>
          <w:lang w:val="en-US"/>
        </w:rPr>
        <w:t xml:space="preserve">exhibit smaller or negative values in wage growth differentials between the non-market services and manufacturing sector, while those that grant </w:t>
      </w:r>
      <w:r w:rsidR="00B82835">
        <w:rPr>
          <w:lang w:val="en-US"/>
        </w:rPr>
        <w:t>unions</w:t>
      </w:r>
      <w:r>
        <w:rPr>
          <w:lang w:val="en-US"/>
        </w:rPr>
        <w:t xml:space="preserve"> in the non-tradable sectors greater bargaining power </w:t>
      </w:r>
      <w:r w:rsidR="00A46E48">
        <w:rPr>
          <w:lang w:val="en-US"/>
        </w:rPr>
        <w:t xml:space="preserve">tend to </w:t>
      </w:r>
      <w:r>
        <w:rPr>
          <w:lang w:val="en-US"/>
        </w:rPr>
        <w:t>exhibit larger differentials.  Therefore, if this variable is high (non-market services wage growth outpaces that in the manufacturing sector), housing price growth, driven by sheltered sector wage inflation, should increase.</w:t>
      </w:r>
      <w:r w:rsidR="00D66C3D">
        <w:rPr>
          <w:lang w:val="en-US"/>
        </w:rPr>
        <w:t xml:space="preserve">  </w:t>
      </w:r>
    </w:p>
    <w:p w14:paraId="205D4000" w14:textId="77777777" w:rsidR="00D66C3D" w:rsidRDefault="00D66C3D" w:rsidP="0023707F">
      <w:pPr>
        <w:spacing w:line="276" w:lineRule="auto"/>
        <w:jc w:val="both"/>
        <w:rPr>
          <w:lang w:val="en-US"/>
        </w:rPr>
      </w:pPr>
    </w:p>
    <w:p w14:paraId="2E944A6E" w14:textId="77777777" w:rsidR="00BF4744" w:rsidRDefault="00BF4744" w:rsidP="0023707F">
      <w:pPr>
        <w:spacing w:line="276" w:lineRule="auto"/>
        <w:jc w:val="both"/>
        <w:rPr>
          <w:lang w:val="en-US"/>
        </w:rPr>
      </w:pPr>
    </w:p>
    <w:p w14:paraId="09F822E6" w14:textId="77777777" w:rsidR="00BF4744" w:rsidRDefault="00BF4744" w:rsidP="0023707F">
      <w:pPr>
        <w:spacing w:line="276" w:lineRule="auto"/>
        <w:jc w:val="both"/>
        <w:rPr>
          <w:lang w:val="en-US"/>
        </w:rPr>
      </w:pPr>
    </w:p>
    <w:p w14:paraId="0F5F893B" w14:textId="77777777" w:rsidR="00BF4744" w:rsidRDefault="00BF4744" w:rsidP="0023707F">
      <w:pPr>
        <w:spacing w:line="276" w:lineRule="auto"/>
        <w:jc w:val="both"/>
        <w:rPr>
          <w:lang w:val="en-US"/>
        </w:rPr>
      </w:pPr>
    </w:p>
    <w:p w14:paraId="5F204E56" w14:textId="77777777" w:rsidR="00BF4744" w:rsidRDefault="00BF4744" w:rsidP="0023707F">
      <w:pPr>
        <w:spacing w:line="276" w:lineRule="auto"/>
        <w:jc w:val="both"/>
        <w:rPr>
          <w:lang w:val="en-US"/>
        </w:rPr>
      </w:pPr>
    </w:p>
    <w:p w14:paraId="1EA00B5A" w14:textId="77777777" w:rsidR="008D2BC9" w:rsidRDefault="008D2BC9" w:rsidP="0023707F">
      <w:pPr>
        <w:spacing w:line="276" w:lineRule="auto"/>
        <w:jc w:val="both"/>
        <w:rPr>
          <w:lang w:val="en-US"/>
        </w:rPr>
      </w:pPr>
    </w:p>
    <w:p w14:paraId="7CE04A37" w14:textId="77777777" w:rsidR="008D2BC9" w:rsidRDefault="008D2BC9" w:rsidP="0023707F">
      <w:pPr>
        <w:spacing w:line="276" w:lineRule="auto"/>
        <w:jc w:val="both"/>
        <w:rPr>
          <w:lang w:val="en-US"/>
        </w:rPr>
      </w:pPr>
    </w:p>
    <w:p w14:paraId="438C2DF8" w14:textId="77777777" w:rsidR="008D2BC9" w:rsidRDefault="008D2BC9" w:rsidP="0023707F">
      <w:pPr>
        <w:spacing w:line="276" w:lineRule="auto"/>
        <w:jc w:val="both"/>
        <w:rPr>
          <w:lang w:val="en-US"/>
        </w:rPr>
      </w:pPr>
    </w:p>
    <w:p w14:paraId="73CC6506" w14:textId="77777777" w:rsidR="008D2BC9" w:rsidRDefault="008D2BC9" w:rsidP="0023707F">
      <w:pPr>
        <w:spacing w:line="276" w:lineRule="auto"/>
        <w:jc w:val="both"/>
        <w:rPr>
          <w:lang w:val="en-US"/>
        </w:rPr>
      </w:pPr>
    </w:p>
    <w:p w14:paraId="034C8088" w14:textId="77777777" w:rsidR="008D2BC9" w:rsidRDefault="008D2BC9" w:rsidP="0023707F">
      <w:pPr>
        <w:spacing w:line="276" w:lineRule="auto"/>
        <w:jc w:val="both"/>
        <w:rPr>
          <w:lang w:val="en-US"/>
        </w:rPr>
      </w:pPr>
    </w:p>
    <w:p w14:paraId="28EBA3DF" w14:textId="77777777" w:rsidR="008D2BC9" w:rsidRDefault="008D2BC9" w:rsidP="0023707F">
      <w:pPr>
        <w:spacing w:line="276" w:lineRule="auto"/>
        <w:jc w:val="both"/>
        <w:rPr>
          <w:lang w:val="en-US"/>
        </w:rPr>
      </w:pPr>
    </w:p>
    <w:p w14:paraId="346CF619" w14:textId="77777777" w:rsidR="00210552" w:rsidRDefault="00273E38" w:rsidP="00D66C3D">
      <w:pPr>
        <w:spacing w:line="276" w:lineRule="auto"/>
        <w:jc w:val="center"/>
        <w:rPr>
          <w:b/>
          <w:sz w:val="22"/>
          <w:szCs w:val="22"/>
          <w:lang w:val="en-US"/>
        </w:rPr>
      </w:pPr>
      <w:r w:rsidRPr="00C41A49">
        <w:rPr>
          <w:b/>
          <w:sz w:val="22"/>
          <w:szCs w:val="22"/>
          <w:lang w:val="en-US"/>
        </w:rPr>
        <w:lastRenderedPageBreak/>
        <w:t xml:space="preserve">Table 1: OLS estimates for the determinants of </w:t>
      </w:r>
      <w:r>
        <w:rPr>
          <w:b/>
          <w:sz w:val="22"/>
          <w:szCs w:val="22"/>
          <w:lang w:val="en-US"/>
        </w:rPr>
        <w:t xml:space="preserve">real </w:t>
      </w:r>
      <w:r w:rsidR="00210552">
        <w:rPr>
          <w:b/>
          <w:sz w:val="22"/>
          <w:szCs w:val="22"/>
          <w:lang w:val="en-US"/>
        </w:rPr>
        <w:t>housing price growth</w:t>
      </w:r>
    </w:p>
    <w:tbl>
      <w:tblPr>
        <w:tblW w:w="9777" w:type="dxa"/>
        <w:tblInd w:w="-162" w:type="dxa"/>
        <w:tblLook w:val="04A0" w:firstRow="1" w:lastRow="0" w:firstColumn="1" w:lastColumn="0" w:noHBand="0" w:noVBand="1"/>
      </w:tblPr>
      <w:tblGrid>
        <w:gridCol w:w="3780"/>
        <w:gridCol w:w="990"/>
        <w:gridCol w:w="990"/>
        <w:gridCol w:w="1080"/>
        <w:gridCol w:w="990"/>
        <w:gridCol w:w="990"/>
        <w:gridCol w:w="957"/>
      </w:tblGrid>
      <w:tr w:rsidR="00346A6E" w:rsidRPr="002F1920" w14:paraId="141C3F14" w14:textId="77777777" w:rsidTr="00210552">
        <w:trPr>
          <w:trHeight w:val="300"/>
        </w:trPr>
        <w:tc>
          <w:tcPr>
            <w:tcW w:w="3780" w:type="dxa"/>
            <w:tcBorders>
              <w:top w:val="single" w:sz="4" w:space="0" w:color="auto"/>
              <w:left w:val="single" w:sz="4" w:space="0" w:color="auto"/>
              <w:bottom w:val="nil"/>
              <w:right w:val="single" w:sz="4" w:space="0" w:color="auto"/>
            </w:tcBorders>
            <w:shd w:val="clear" w:color="auto" w:fill="auto"/>
            <w:noWrap/>
            <w:vAlign w:val="bottom"/>
            <w:hideMark/>
          </w:tcPr>
          <w:p w14:paraId="5329FC77"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Standardized Independent Variables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CC743D7"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I</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3824414"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II</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77A9D37"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III</w:t>
            </w:r>
          </w:p>
        </w:tc>
        <w:tc>
          <w:tcPr>
            <w:tcW w:w="990" w:type="dxa"/>
            <w:tcBorders>
              <w:top w:val="single" w:sz="4" w:space="0" w:color="auto"/>
              <w:left w:val="nil"/>
              <w:bottom w:val="single" w:sz="4" w:space="0" w:color="auto"/>
              <w:right w:val="single" w:sz="4" w:space="0" w:color="auto"/>
            </w:tcBorders>
            <w:vAlign w:val="bottom"/>
          </w:tcPr>
          <w:p w14:paraId="45EE1AAD" w14:textId="77777777" w:rsidR="00346A6E" w:rsidRPr="00346A6E" w:rsidRDefault="00346A6E" w:rsidP="00210552">
            <w:pPr>
              <w:jc w:val="center"/>
              <w:rPr>
                <w:rFonts w:eastAsia="Times New Roman"/>
                <w:color w:val="000000"/>
                <w:sz w:val="18"/>
                <w:szCs w:val="18"/>
                <w:lang w:val="en-US"/>
              </w:rPr>
            </w:pPr>
            <w:r w:rsidRPr="00346A6E">
              <w:rPr>
                <w:rFonts w:eastAsia="Times New Roman"/>
                <w:color w:val="000000"/>
                <w:sz w:val="18"/>
                <w:szCs w:val="18"/>
                <w:lang w:val="en-US"/>
              </w:rPr>
              <w:t>IV</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23490"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V</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14:paraId="502770B9"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V</w:t>
            </w:r>
          </w:p>
        </w:tc>
      </w:tr>
      <w:tr w:rsidR="00346A6E" w:rsidRPr="002F1920" w14:paraId="2E40A356" w14:textId="77777777" w:rsidTr="00210552">
        <w:trPr>
          <w:trHeight w:val="300"/>
        </w:trPr>
        <w:tc>
          <w:tcPr>
            <w:tcW w:w="3780" w:type="dxa"/>
            <w:tcBorders>
              <w:top w:val="single" w:sz="4" w:space="0" w:color="auto"/>
              <w:left w:val="single" w:sz="4" w:space="0" w:color="auto"/>
              <w:bottom w:val="nil"/>
              <w:right w:val="single" w:sz="4" w:space="0" w:color="auto"/>
            </w:tcBorders>
            <w:shd w:val="clear" w:color="auto" w:fill="auto"/>
            <w:noWrap/>
            <w:vAlign w:val="bottom"/>
            <w:hideMark/>
          </w:tcPr>
          <w:p w14:paraId="1AAC9BE3" w14:textId="09581D75" w:rsidR="00346A6E" w:rsidRPr="00346A6E" w:rsidRDefault="008D2BC9" w:rsidP="00273E38">
            <w:pPr>
              <w:jc w:val="center"/>
              <w:rPr>
                <w:rFonts w:eastAsia="Times New Roman"/>
                <w:color w:val="000000"/>
                <w:sz w:val="18"/>
                <w:szCs w:val="18"/>
                <w:lang w:val="en-US"/>
              </w:rPr>
            </w:pPr>
            <w:r>
              <w:rPr>
                <w:rFonts w:eastAsia="Times New Roman"/>
                <w:color w:val="000000"/>
                <w:sz w:val="18"/>
                <w:szCs w:val="18"/>
                <w:lang w:val="en-US"/>
              </w:rPr>
              <w:t>Population Growth</w:t>
            </w:r>
            <w:r w:rsidR="00346A6E" w:rsidRPr="00346A6E">
              <w:rPr>
                <w:rFonts w:eastAsia="Times New Roman"/>
                <w:color w:val="000000"/>
                <w:sz w:val="18"/>
                <w:szCs w:val="18"/>
                <w:lang w:val="en-US"/>
              </w:rPr>
              <w:t>(t-1)</w:t>
            </w:r>
          </w:p>
        </w:tc>
        <w:tc>
          <w:tcPr>
            <w:tcW w:w="990" w:type="dxa"/>
            <w:tcBorders>
              <w:top w:val="nil"/>
              <w:left w:val="nil"/>
              <w:bottom w:val="nil"/>
              <w:right w:val="single" w:sz="4" w:space="0" w:color="auto"/>
            </w:tcBorders>
            <w:shd w:val="clear" w:color="auto" w:fill="auto"/>
            <w:noWrap/>
            <w:vAlign w:val="bottom"/>
            <w:hideMark/>
          </w:tcPr>
          <w:p w14:paraId="6AE52117"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0.226</w:t>
            </w:r>
          </w:p>
        </w:tc>
        <w:tc>
          <w:tcPr>
            <w:tcW w:w="990" w:type="dxa"/>
            <w:tcBorders>
              <w:top w:val="nil"/>
              <w:left w:val="nil"/>
              <w:bottom w:val="nil"/>
              <w:right w:val="single" w:sz="4" w:space="0" w:color="auto"/>
            </w:tcBorders>
            <w:shd w:val="clear" w:color="auto" w:fill="auto"/>
            <w:noWrap/>
            <w:vAlign w:val="bottom"/>
            <w:hideMark/>
          </w:tcPr>
          <w:p w14:paraId="73335016"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0.252</w:t>
            </w:r>
          </w:p>
        </w:tc>
        <w:tc>
          <w:tcPr>
            <w:tcW w:w="1080" w:type="dxa"/>
            <w:tcBorders>
              <w:top w:val="nil"/>
              <w:left w:val="nil"/>
              <w:bottom w:val="nil"/>
              <w:right w:val="single" w:sz="4" w:space="0" w:color="auto"/>
            </w:tcBorders>
            <w:shd w:val="clear" w:color="auto" w:fill="auto"/>
            <w:noWrap/>
            <w:vAlign w:val="bottom"/>
            <w:hideMark/>
          </w:tcPr>
          <w:p w14:paraId="12944904"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0.267</w:t>
            </w:r>
          </w:p>
        </w:tc>
        <w:tc>
          <w:tcPr>
            <w:tcW w:w="990" w:type="dxa"/>
            <w:tcBorders>
              <w:top w:val="single" w:sz="4" w:space="0" w:color="auto"/>
              <w:left w:val="nil"/>
              <w:bottom w:val="nil"/>
              <w:right w:val="single" w:sz="4" w:space="0" w:color="auto"/>
            </w:tcBorders>
            <w:vAlign w:val="bottom"/>
          </w:tcPr>
          <w:p w14:paraId="5DC1DD04" w14:textId="77777777" w:rsidR="00346A6E" w:rsidRPr="00346A6E" w:rsidRDefault="00BF17B2" w:rsidP="00210552">
            <w:pPr>
              <w:jc w:val="center"/>
              <w:rPr>
                <w:rFonts w:eastAsia="Times New Roman"/>
                <w:color w:val="000000"/>
                <w:sz w:val="18"/>
                <w:szCs w:val="18"/>
                <w:lang w:val="en-US"/>
              </w:rPr>
            </w:pPr>
            <w:r>
              <w:rPr>
                <w:rFonts w:eastAsia="Times New Roman"/>
                <w:color w:val="000000"/>
                <w:sz w:val="18"/>
                <w:szCs w:val="18"/>
                <w:lang w:val="en-US"/>
              </w:rPr>
              <w:t>0.333</w:t>
            </w:r>
          </w:p>
        </w:tc>
        <w:tc>
          <w:tcPr>
            <w:tcW w:w="990" w:type="dxa"/>
            <w:tcBorders>
              <w:top w:val="nil"/>
              <w:left w:val="single" w:sz="4" w:space="0" w:color="auto"/>
              <w:bottom w:val="nil"/>
              <w:right w:val="single" w:sz="4" w:space="0" w:color="auto"/>
            </w:tcBorders>
            <w:shd w:val="clear" w:color="auto" w:fill="auto"/>
            <w:noWrap/>
            <w:vAlign w:val="bottom"/>
            <w:hideMark/>
          </w:tcPr>
          <w:p w14:paraId="7148D5FD"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57" w:type="dxa"/>
            <w:tcBorders>
              <w:top w:val="nil"/>
              <w:left w:val="nil"/>
              <w:bottom w:val="nil"/>
              <w:right w:val="single" w:sz="4" w:space="0" w:color="auto"/>
            </w:tcBorders>
            <w:shd w:val="clear" w:color="auto" w:fill="auto"/>
            <w:noWrap/>
            <w:vAlign w:val="bottom"/>
            <w:hideMark/>
          </w:tcPr>
          <w:p w14:paraId="12464E90"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0.564**</w:t>
            </w:r>
          </w:p>
        </w:tc>
      </w:tr>
      <w:tr w:rsidR="00346A6E" w:rsidRPr="002F1920" w14:paraId="5C0594F5" w14:textId="77777777" w:rsidTr="00210552">
        <w:trPr>
          <w:trHeight w:val="225"/>
        </w:trPr>
        <w:tc>
          <w:tcPr>
            <w:tcW w:w="3780" w:type="dxa"/>
            <w:tcBorders>
              <w:top w:val="nil"/>
              <w:left w:val="single" w:sz="4" w:space="0" w:color="auto"/>
              <w:bottom w:val="nil"/>
              <w:right w:val="single" w:sz="4" w:space="0" w:color="auto"/>
            </w:tcBorders>
            <w:shd w:val="clear" w:color="auto" w:fill="auto"/>
            <w:noWrap/>
            <w:vAlign w:val="bottom"/>
            <w:hideMark/>
          </w:tcPr>
          <w:p w14:paraId="00C6D67D"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671F2E62"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(0.251)</w:t>
            </w:r>
          </w:p>
        </w:tc>
        <w:tc>
          <w:tcPr>
            <w:tcW w:w="990" w:type="dxa"/>
            <w:tcBorders>
              <w:top w:val="nil"/>
              <w:left w:val="nil"/>
              <w:bottom w:val="nil"/>
              <w:right w:val="single" w:sz="4" w:space="0" w:color="auto"/>
            </w:tcBorders>
            <w:shd w:val="clear" w:color="auto" w:fill="auto"/>
            <w:noWrap/>
            <w:vAlign w:val="bottom"/>
            <w:hideMark/>
          </w:tcPr>
          <w:p w14:paraId="32434F8D"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(0.250)</w:t>
            </w:r>
          </w:p>
        </w:tc>
        <w:tc>
          <w:tcPr>
            <w:tcW w:w="1080" w:type="dxa"/>
            <w:tcBorders>
              <w:top w:val="nil"/>
              <w:left w:val="nil"/>
              <w:bottom w:val="nil"/>
              <w:right w:val="single" w:sz="4" w:space="0" w:color="auto"/>
            </w:tcBorders>
            <w:shd w:val="clear" w:color="auto" w:fill="auto"/>
            <w:noWrap/>
            <w:vAlign w:val="bottom"/>
            <w:hideMark/>
          </w:tcPr>
          <w:p w14:paraId="5B4FB361"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(0.265)</w:t>
            </w:r>
          </w:p>
        </w:tc>
        <w:tc>
          <w:tcPr>
            <w:tcW w:w="990" w:type="dxa"/>
            <w:tcBorders>
              <w:top w:val="nil"/>
              <w:left w:val="nil"/>
              <w:bottom w:val="nil"/>
              <w:right w:val="single" w:sz="4" w:space="0" w:color="auto"/>
            </w:tcBorders>
            <w:vAlign w:val="bottom"/>
          </w:tcPr>
          <w:p w14:paraId="1BA1844E" w14:textId="77777777" w:rsidR="00346A6E" w:rsidRPr="00346A6E" w:rsidRDefault="00BF17B2" w:rsidP="00210552">
            <w:pPr>
              <w:jc w:val="center"/>
              <w:rPr>
                <w:rFonts w:eastAsia="Times New Roman"/>
                <w:color w:val="000000"/>
                <w:sz w:val="18"/>
                <w:szCs w:val="18"/>
                <w:lang w:val="en-US"/>
              </w:rPr>
            </w:pPr>
            <w:r>
              <w:rPr>
                <w:rFonts w:eastAsia="Times New Roman"/>
                <w:color w:val="000000"/>
                <w:sz w:val="18"/>
                <w:szCs w:val="18"/>
                <w:lang w:val="en-US"/>
              </w:rPr>
              <w:t>(0.306)</w:t>
            </w:r>
          </w:p>
        </w:tc>
        <w:tc>
          <w:tcPr>
            <w:tcW w:w="990" w:type="dxa"/>
            <w:tcBorders>
              <w:top w:val="nil"/>
              <w:left w:val="single" w:sz="4" w:space="0" w:color="auto"/>
              <w:bottom w:val="nil"/>
              <w:right w:val="single" w:sz="4" w:space="0" w:color="auto"/>
            </w:tcBorders>
            <w:shd w:val="clear" w:color="auto" w:fill="auto"/>
            <w:noWrap/>
            <w:vAlign w:val="bottom"/>
            <w:hideMark/>
          </w:tcPr>
          <w:p w14:paraId="1E5D65AD"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57" w:type="dxa"/>
            <w:tcBorders>
              <w:top w:val="nil"/>
              <w:left w:val="nil"/>
              <w:bottom w:val="nil"/>
              <w:right w:val="single" w:sz="4" w:space="0" w:color="auto"/>
            </w:tcBorders>
            <w:shd w:val="clear" w:color="auto" w:fill="auto"/>
            <w:noWrap/>
            <w:vAlign w:val="bottom"/>
            <w:hideMark/>
          </w:tcPr>
          <w:p w14:paraId="00126050"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(0.224)</w:t>
            </w:r>
          </w:p>
        </w:tc>
      </w:tr>
      <w:tr w:rsidR="00346A6E" w:rsidRPr="002F1920" w14:paraId="13A86D24" w14:textId="77777777" w:rsidTr="00210552">
        <w:trPr>
          <w:trHeight w:val="300"/>
        </w:trPr>
        <w:tc>
          <w:tcPr>
            <w:tcW w:w="3780" w:type="dxa"/>
            <w:tcBorders>
              <w:top w:val="nil"/>
              <w:left w:val="single" w:sz="4" w:space="0" w:color="auto"/>
              <w:bottom w:val="nil"/>
              <w:right w:val="single" w:sz="4" w:space="0" w:color="auto"/>
            </w:tcBorders>
            <w:shd w:val="clear" w:color="auto" w:fill="auto"/>
            <w:noWrap/>
            <w:vAlign w:val="bottom"/>
            <w:hideMark/>
          </w:tcPr>
          <w:p w14:paraId="5D30682D" w14:textId="7AE9076F" w:rsidR="00346A6E" w:rsidRPr="00346A6E" w:rsidRDefault="008D2BC9" w:rsidP="00273E38">
            <w:pPr>
              <w:jc w:val="center"/>
              <w:rPr>
                <w:rFonts w:eastAsia="Times New Roman"/>
                <w:color w:val="000000"/>
                <w:sz w:val="18"/>
                <w:szCs w:val="18"/>
                <w:lang w:val="en-US"/>
              </w:rPr>
            </w:pPr>
            <w:r>
              <w:rPr>
                <w:rFonts w:eastAsia="Times New Roman"/>
                <w:color w:val="000000"/>
                <w:sz w:val="18"/>
                <w:szCs w:val="18"/>
                <w:lang w:val="en-US"/>
              </w:rPr>
              <w:t>Δ Real Interest Rate</w:t>
            </w:r>
            <w:r w:rsidR="00346A6E" w:rsidRPr="00346A6E">
              <w:rPr>
                <w:rFonts w:eastAsia="Times New Roman"/>
                <w:color w:val="000000"/>
                <w:sz w:val="18"/>
                <w:szCs w:val="18"/>
                <w:lang w:val="en-US"/>
              </w:rPr>
              <w:t>(t-1)</w:t>
            </w:r>
          </w:p>
        </w:tc>
        <w:tc>
          <w:tcPr>
            <w:tcW w:w="990" w:type="dxa"/>
            <w:tcBorders>
              <w:top w:val="nil"/>
              <w:left w:val="nil"/>
              <w:bottom w:val="nil"/>
              <w:right w:val="single" w:sz="4" w:space="0" w:color="auto"/>
            </w:tcBorders>
            <w:shd w:val="clear" w:color="auto" w:fill="auto"/>
            <w:noWrap/>
            <w:vAlign w:val="bottom"/>
            <w:hideMark/>
          </w:tcPr>
          <w:p w14:paraId="2519606A"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-0.696**</w:t>
            </w:r>
          </w:p>
        </w:tc>
        <w:tc>
          <w:tcPr>
            <w:tcW w:w="990" w:type="dxa"/>
            <w:tcBorders>
              <w:top w:val="nil"/>
              <w:left w:val="nil"/>
              <w:bottom w:val="nil"/>
              <w:right w:val="single" w:sz="4" w:space="0" w:color="auto"/>
            </w:tcBorders>
            <w:shd w:val="clear" w:color="auto" w:fill="auto"/>
            <w:noWrap/>
            <w:vAlign w:val="bottom"/>
            <w:hideMark/>
          </w:tcPr>
          <w:p w14:paraId="599482B8"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-0.720**</w:t>
            </w:r>
          </w:p>
        </w:tc>
        <w:tc>
          <w:tcPr>
            <w:tcW w:w="1080" w:type="dxa"/>
            <w:tcBorders>
              <w:top w:val="nil"/>
              <w:left w:val="nil"/>
              <w:bottom w:val="nil"/>
              <w:right w:val="single" w:sz="4" w:space="0" w:color="auto"/>
            </w:tcBorders>
            <w:shd w:val="clear" w:color="auto" w:fill="auto"/>
            <w:noWrap/>
            <w:vAlign w:val="bottom"/>
            <w:hideMark/>
          </w:tcPr>
          <w:p w14:paraId="3167C03C"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-0.716**</w:t>
            </w:r>
          </w:p>
        </w:tc>
        <w:tc>
          <w:tcPr>
            <w:tcW w:w="990" w:type="dxa"/>
            <w:tcBorders>
              <w:top w:val="nil"/>
              <w:left w:val="nil"/>
              <w:bottom w:val="nil"/>
              <w:right w:val="single" w:sz="4" w:space="0" w:color="auto"/>
            </w:tcBorders>
            <w:vAlign w:val="bottom"/>
          </w:tcPr>
          <w:p w14:paraId="74468D25" w14:textId="77777777" w:rsidR="00346A6E" w:rsidRPr="00346A6E" w:rsidRDefault="00FD797F" w:rsidP="00210552">
            <w:pPr>
              <w:jc w:val="center"/>
              <w:rPr>
                <w:rFonts w:eastAsia="Times New Roman"/>
                <w:color w:val="000000"/>
                <w:sz w:val="18"/>
                <w:szCs w:val="18"/>
                <w:lang w:val="en-US"/>
              </w:rPr>
            </w:pPr>
            <w:r>
              <w:rPr>
                <w:rFonts w:eastAsia="Times New Roman"/>
                <w:color w:val="000000"/>
                <w:sz w:val="18"/>
                <w:szCs w:val="18"/>
                <w:lang w:val="en-US"/>
              </w:rPr>
              <w:t>-</w:t>
            </w:r>
            <w:r w:rsidR="00BF17B2">
              <w:rPr>
                <w:rFonts w:eastAsia="Times New Roman"/>
                <w:color w:val="000000"/>
                <w:sz w:val="18"/>
                <w:szCs w:val="18"/>
                <w:lang w:val="en-US"/>
              </w:rPr>
              <w:t>0</w:t>
            </w:r>
            <w:r>
              <w:rPr>
                <w:rFonts w:eastAsia="Times New Roman"/>
                <w:color w:val="000000"/>
                <w:sz w:val="18"/>
                <w:szCs w:val="18"/>
                <w:lang w:val="en-US"/>
              </w:rPr>
              <w:t>.777</w:t>
            </w:r>
            <w:r w:rsidR="00BF17B2">
              <w:rPr>
                <w:rFonts w:eastAsia="Times New Roman"/>
                <w:color w:val="000000"/>
                <w:sz w:val="18"/>
                <w:szCs w:val="18"/>
                <w:lang w:val="en-US"/>
              </w:rPr>
              <w:t>***</w:t>
            </w:r>
          </w:p>
        </w:tc>
        <w:tc>
          <w:tcPr>
            <w:tcW w:w="990" w:type="dxa"/>
            <w:tcBorders>
              <w:top w:val="nil"/>
              <w:left w:val="single" w:sz="4" w:space="0" w:color="auto"/>
              <w:bottom w:val="nil"/>
              <w:right w:val="single" w:sz="4" w:space="0" w:color="auto"/>
            </w:tcBorders>
            <w:shd w:val="clear" w:color="auto" w:fill="auto"/>
            <w:noWrap/>
            <w:vAlign w:val="bottom"/>
            <w:hideMark/>
          </w:tcPr>
          <w:p w14:paraId="51A1ABFE"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57" w:type="dxa"/>
            <w:tcBorders>
              <w:top w:val="nil"/>
              <w:left w:val="nil"/>
              <w:bottom w:val="nil"/>
              <w:right w:val="single" w:sz="4" w:space="0" w:color="auto"/>
            </w:tcBorders>
            <w:shd w:val="clear" w:color="auto" w:fill="auto"/>
            <w:noWrap/>
            <w:vAlign w:val="bottom"/>
            <w:hideMark/>
          </w:tcPr>
          <w:p w14:paraId="42500A50"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-0.663*</w:t>
            </w:r>
          </w:p>
        </w:tc>
      </w:tr>
      <w:tr w:rsidR="00346A6E" w:rsidRPr="002F1920" w14:paraId="0157C772" w14:textId="77777777" w:rsidTr="00210552">
        <w:trPr>
          <w:trHeight w:val="243"/>
        </w:trPr>
        <w:tc>
          <w:tcPr>
            <w:tcW w:w="3780" w:type="dxa"/>
            <w:tcBorders>
              <w:top w:val="nil"/>
              <w:left w:val="single" w:sz="4" w:space="0" w:color="auto"/>
              <w:bottom w:val="nil"/>
              <w:right w:val="single" w:sz="4" w:space="0" w:color="auto"/>
            </w:tcBorders>
            <w:shd w:val="clear" w:color="auto" w:fill="auto"/>
            <w:noWrap/>
            <w:vAlign w:val="bottom"/>
            <w:hideMark/>
          </w:tcPr>
          <w:p w14:paraId="3F6FBBE5"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3C881469"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(0.279)</w:t>
            </w:r>
          </w:p>
        </w:tc>
        <w:tc>
          <w:tcPr>
            <w:tcW w:w="990" w:type="dxa"/>
            <w:tcBorders>
              <w:top w:val="nil"/>
              <w:left w:val="nil"/>
              <w:bottom w:val="nil"/>
              <w:right w:val="single" w:sz="4" w:space="0" w:color="auto"/>
            </w:tcBorders>
            <w:shd w:val="clear" w:color="auto" w:fill="auto"/>
            <w:noWrap/>
            <w:vAlign w:val="bottom"/>
            <w:hideMark/>
          </w:tcPr>
          <w:p w14:paraId="4B83E047"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(0.301)</w:t>
            </w:r>
          </w:p>
        </w:tc>
        <w:tc>
          <w:tcPr>
            <w:tcW w:w="1080" w:type="dxa"/>
            <w:tcBorders>
              <w:top w:val="nil"/>
              <w:left w:val="nil"/>
              <w:bottom w:val="nil"/>
              <w:right w:val="single" w:sz="4" w:space="0" w:color="auto"/>
            </w:tcBorders>
            <w:shd w:val="clear" w:color="auto" w:fill="auto"/>
            <w:noWrap/>
            <w:vAlign w:val="bottom"/>
            <w:hideMark/>
          </w:tcPr>
          <w:p w14:paraId="1D3FDF5C"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(0.301)</w:t>
            </w:r>
          </w:p>
        </w:tc>
        <w:tc>
          <w:tcPr>
            <w:tcW w:w="990" w:type="dxa"/>
            <w:tcBorders>
              <w:top w:val="nil"/>
              <w:left w:val="nil"/>
              <w:bottom w:val="nil"/>
              <w:right w:val="single" w:sz="4" w:space="0" w:color="auto"/>
            </w:tcBorders>
            <w:vAlign w:val="bottom"/>
          </w:tcPr>
          <w:p w14:paraId="36687E8D" w14:textId="77777777" w:rsidR="00346A6E" w:rsidRPr="00346A6E" w:rsidRDefault="00BF17B2" w:rsidP="00210552">
            <w:pPr>
              <w:jc w:val="center"/>
              <w:rPr>
                <w:rFonts w:eastAsia="Times New Roman"/>
                <w:color w:val="000000"/>
                <w:sz w:val="18"/>
                <w:szCs w:val="18"/>
                <w:lang w:val="en-US"/>
              </w:rPr>
            </w:pPr>
            <w:r>
              <w:rPr>
                <w:rFonts w:eastAsia="Times New Roman"/>
                <w:color w:val="000000"/>
                <w:sz w:val="18"/>
                <w:szCs w:val="18"/>
                <w:lang w:val="en-US"/>
              </w:rPr>
              <w:t>(0.301)</w:t>
            </w:r>
          </w:p>
        </w:tc>
        <w:tc>
          <w:tcPr>
            <w:tcW w:w="990" w:type="dxa"/>
            <w:tcBorders>
              <w:top w:val="nil"/>
              <w:left w:val="single" w:sz="4" w:space="0" w:color="auto"/>
              <w:bottom w:val="nil"/>
              <w:right w:val="single" w:sz="4" w:space="0" w:color="auto"/>
            </w:tcBorders>
            <w:shd w:val="clear" w:color="auto" w:fill="auto"/>
            <w:noWrap/>
            <w:vAlign w:val="bottom"/>
            <w:hideMark/>
          </w:tcPr>
          <w:p w14:paraId="61CBAE8D"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57" w:type="dxa"/>
            <w:tcBorders>
              <w:top w:val="nil"/>
              <w:left w:val="nil"/>
              <w:bottom w:val="nil"/>
              <w:right w:val="single" w:sz="4" w:space="0" w:color="auto"/>
            </w:tcBorders>
            <w:shd w:val="clear" w:color="auto" w:fill="auto"/>
            <w:noWrap/>
            <w:vAlign w:val="bottom"/>
            <w:hideMark/>
          </w:tcPr>
          <w:p w14:paraId="5DF4546D"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(0.350)</w:t>
            </w:r>
          </w:p>
        </w:tc>
      </w:tr>
      <w:tr w:rsidR="00346A6E" w:rsidRPr="002F1920" w14:paraId="13A6F41D" w14:textId="77777777" w:rsidTr="00210552">
        <w:trPr>
          <w:trHeight w:val="300"/>
        </w:trPr>
        <w:tc>
          <w:tcPr>
            <w:tcW w:w="3780" w:type="dxa"/>
            <w:tcBorders>
              <w:top w:val="nil"/>
              <w:left w:val="single" w:sz="4" w:space="0" w:color="auto"/>
              <w:bottom w:val="nil"/>
              <w:right w:val="single" w:sz="4" w:space="0" w:color="auto"/>
            </w:tcBorders>
            <w:shd w:val="clear" w:color="auto" w:fill="auto"/>
            <w:noWrap/>
            <w:vAlign w:val="bottom"/>
            <w:hideMark/>
          </w:tcPr>
          <w:p w14:paraId="1F8B1ED5" w14:textId="204E9791" w:rsidR="00346A6E" w:rsidRPr="00346A6E" w:rsidRDefault="008D2BC9" w:rsidP="00273E38">
            <w:pPr>
              <w:jc w:val="center"/>
              <w:rPr>
                <w:rFonts w:eastAsia="Times New Roman"/>
                <w:color w:val="000000"/>
                <w:sz w:val="18"/>
                <w:szCs w:val="18"/>
                <w:lang w:val="en-US"/>
              </w:rPr>
            </w:pPr>
            <w:r>
              <w:rPr>
                <w:rFonts w:eastAsia="Times New Roman"/>
                <w:color w:val="000000"/>
                <w:sz w:val="18"/>
                <w:szCs w:val="18"/>
                <w:lang w:val="en-US"/>
              </w:rPr>
              <w:t>Δ Private Credit to GDP</w:t>
            </w:r>
            <w:r w:rsidR="00346A6E" w:rsidRPr="00346A6E">
              <w:rPr>
                <w:rFonts w:eastAsia="Times New Roman"/>
                <w:color w:val="000000"/>
                <w:sz w:val="18"/>
                <w:szCs w:val="18"/>
                <w:lang w:val="en-US"/>
              </w:rPr>
              <w:t>(t-1)</w:t>
            </w:r>
          </w:p>
        </w:tc>
        <w:tc>
          <w:tcPr>
            <w:tcW w:w="990" w:type="dxa"/>
            <w:tcBorders>
              <w:top w:val="nil"/>
              <w:left w:val="nil"/>
              <w:bottom w:val="nil"/>
              <w:right w:val="single" w:sz="4" w:space="0" w:color="auto"/>
            </w:tcBorders>
            <w:shd w:val="clear" w:color="auto" w:fill="auto"/>
            <w:noWrap/>
            <w:vAlign w:val="bottom"/>
            <w:hideMark/>
          </w:tcPr>
          <w:p w14:paraId="372A909F"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0.337</w:t>
            </w:r>
          </w:p>
        </w:tc>
        <w:tc>
          <w:tcPr>
            <w:tcW w:w="990" w:type="dxa"/>
            <w:tcBorders>
              <w:top w:val="nil"/>
              <w:left w:val="nil"/>
              <w:bottom w:val="nil"/>
              <w:right w:val="single" w:sz="4" w:space="0" w:color="auto"/>
            </w:tcBorders>
            <w:shd w:val="clear" w:color="auto" w:fill="auto"/>
            <w:noWrap/>
            <w:vAlign w:val="bottom"/>
            <w:hideMark/>
          </w:tcPr>
          <w:p w14:paraId="76FAEE6D"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0.315</w:t>
            </w:r>
          </w:p>
        </w:tc>
        <w:tc>
          <w:tcPr>
            <w:tcW w:w="1080" w:type="dxa"/>
            <w:tcBorders>
              <w:top w:val="nil"/>
              <w:left w:val="nil"/>
              <w:bottom w:val="nil"/>
              <w:right w:val="single" w:sz="4" w:space="0" w:color="auto"/>
            </w:tcBorders>
            <w:shd w:val="clear" w:color="auto" w:fill="auto"/>
            <w:noWrap/>
            <w:vAlign w:val="bottom"/>
            <w:hideMark/>
          </w:tcPr>
          <w:p w14:paraId="1399B8D9"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0.313</w:t>
            </w:r>
          </w:p>
        </w:tc>
        <w:tc>
          <w:tcPr>
            <w:tcW w:w="990" w:type="dxa"/>
            <w:tcBorders>
              <w:top w:val="nil"/>
              <w:left w:val="nil"/>
              <w:bottom w:val="nil"/>
              <w:right w:val="single" w:sz="4" w:space="0" w:color="auto"/>
            </w:tcBorders>
            <w:vAlign w:val="bottom"/>
          </w:tcPr>
          <w:p w14:paraId="0B550A04" w14:textId="77777777" w:rsidR="00346A6E" w:rsidRPr="00346A6E" w:rsidRDefault="00BF17B2" w:rsidP="00210552">
            <w:pPr>
              <w:jc w:val="center"/>
              <w:rPr>
                <w:rFonts w:eastAsia="Times New Roman"/>
                <w:color w:val="000000"/>
                <w:sz w:val="18"/>
                <w:szCs w:val="18"/>
                <w:lang w:val="en-US"/>
              </w:rPr>
            </w:pPr>
            <w:r>
              <w:rPr>
                <w:rFonts w:eastAsia="Times New Roman"/>
                <w:color w:val="000000"/>
                <w:sz w:val="18"/>
                <w:szCs w:val="18"/>
                <w:lang w:val="en-US"/>
              </w:rPr>
              <w:t>0.274</w:t>
            </w:r>
          </w:p>
        </w:tc>
        <w:tc>
          <w:tcPr>
            <w:tcW w:w="990" w:type="dxa"/>
            <w:tcBorders>
              <w:top w:val="nil"/>
              <w:left w:val="single" w:sz="4" w:space="0" w:color="auto"/>
              <w:bottom w:val="nil"/>
              <w:right w:val="single" w:sz="4" w:space="0" w:color="auto"/>
            </w:tcBorders>
            <w:shd w:val="clear" w:color="auto" w:fill="auto"/>
            <w:noWrap/>
            <w:vAlign w:val="bottom"/>
            <w:hideMark/>
          </w:tcPr>
          <w:p w14:paraId="586E033C"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57" w:type="dxa"/>
            <w:tcBorders>
              <w:top w:val="nil"/>
              <w:left w:val="nil"/>
              <w:bottom w:val="nil"/>
              <w:right w:val="single" w:sz="4" w:space="0" w:color="auto"/>
            </w:tcBorders>
            <w:shd w:val="clear" w:color="auto" w:fill="auto"/>
            <w:noWrap/>
            <w:vAlign w:val="bottom"/>
            <w:hideMark/>
          </w:tcPr>
          <w:p w14:paraId="0F7EEF17"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0.424</w:t>
            </w:r>
          </w:p>
        </w:tc>
      </w:tr>
      <w:tr w:rsidR="00346A6E" w:rsidRPr="002F1920" w14:paraId="7A316D31" w14:textId="77777777" w:rsidTr="00210552">
        <w:trPr>
          <w:trHeight w:val="234"/>
        </w:trPr>
        <w:tc>
          <w:tcPr>
            <w:tcW w:w="3780" w:type="dxa"/>
            <w:tcBorders>
              <w:top w:val="nil"/>
              <w:left w:val="single" w:sz="4" w:space="0" w:color="auto"/>
              <w:bottom w:val="nil"/>
              <w:right w:val="single" w:sz="4" w:space="0" w:color="auto"/>
            </w:tcBorders>
            <w:shd w:val="clear" w:color="auto" w:fill="auto"/>
            <w:noWrap/>
            <w:vAlign w:val="bottom"/>
            <w:hideMark/>
          </w:tcPr>
          <w:p w14:paraId="06EFBD34"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363A1E00"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(0.242)</w:t>
            </w:r>
          </w:p>
        </w:tc>
        <w:tc>
          <w:tcPr>
            <w:tcW w:w="990" w:type="dxa"/>
            <w:tcBorders>
              <w:top w:val="nil"/>
              <w:left w:val="nil"/>
              <w:bottom w:val="nil"/>
              <w:right w:val="single" w:sz="4" w:space="0" w:color="auto"/>
            </w:tcBorders>
            <w:shd w:val="clear" w:color="auto" w:fill="auto"/>
            <w:noWrap/>
            <w:vAlign w:val="bottom"/>
            <w:hideMark/>
          </w:tcPr>
          <w:p w14:paraId="6E9DC2FC"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(0.257)</w:t>
            </w:r>
          </w:p>
        </w:tc>
        <w:tc>
          <w:tcPr>
            <w:tcW w:w="1080" w:type="dxa"/>
            <w:tcBorders>
              <w:top w:val="nil"/>
              <w:left w:val="nil"/>
              <w:bottom w:val="nil"/>
              <w:right w:val="single" w:sz="4" w:space="0" w:color="auto"/>
            </w:tcBorders>
            <w:shd w:val="clear" w:color="auto" w:fill="auto"/>
            <w:noWrap/>
            <w:vAlign w:val="bottom"/>
            <w:hideMark/>
          </w:tcPr>
          <w:p w14:paraId="354E2759"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(0.257)</w:t>
            </w:r>
          </w:p>
        </w:tc>
        <w:tc>
          <w:tcPr>
            <w:tcW w:w="990" w:type="dxa"/>
            <w:tcBorders>
              <w:top w:val="nil"/>
              <w:left w:val="nil"/>
              <w:bottom w:val="nil"/>
              <w:right w:val="single" w:sz="4" w:space="0" w:color="auto"/>
            </w:tcBorders>
            <w:vAlign w:val="bottom"/>
          </w:tcPr>
          <w:p w14:paraId="12484718" w14:textId="77777777" w:rsidR="00346A6E" w:rsidRPr="00346A6E" w:rsidRDefault="00BF17B2" w:rsidP="00210552">
            <w:pPr>
              <w:jc w:val="center"/>
              <w:rPr>
                <w:rFonts w:eastAsia="Times New Roman"/>
                <w:color w:val="000000"/>
                <w:sz w:val="18"/>
                <w:szCs w:val="18"/>
                <w:lang w:val="en-US"/>
              </w:rPr>
            </w:pPr>
            <w:r>
              <w:rPr>
                <w:rFonts w:eastAsia="Times New Roman"/>
                <w:color w:val="000000"/>
                <w:sz w:val="18"/>
                <w:szCs w:val="18"/>
                <w:lang w:val="en-US"/>
              </w:rPr>
              <w:t>(0</w:t>
            </w:r>
            <w:r w:rsidRPr="00BF17B2">
              <w:rPr>
                <w:rFonts w:eastAsia="Times New Roman"/>
                <w:color w:val="000000"/>
                <w:sz w:val="18"/>
                <w:szCs w:val="18"/>
                <w:lang w:val="en-US"/>
              </w:rPr>
              <w:t>.247</w:t>
            </w:r>
            <w:r>
              <w:rPr>
                <w:rFonts w:eastAsia="Times New Roman"/>
                <w:color w:val="000000"/>
                <w:sz w:val="18"/>
                <w:szCs w:val="18"/>
                <w:lang w:val="en-US"/>
              </w:rPr>
              <w:t>)</w:t>
            </w:r>
          </w:p>
        </w:tc>
        <w:tc>
          <w:tcPr>
            <w:tcW w:w="990" w:type="dxa"/>
            <w:tcBorders>
              <w:top w:val="nil"/>
              <w:left w:val="single" w:sz="4" w:space="0" w:color="auto"/>
              <w:bottom w:val="nil"/>
              <w:right w:val="single" w:sz="4" w:space="0" w:color="auto"/>
            </w:tcBorders>
            <w:shd w:val="clear" w:color="auto" w:fill="auto"/>
            <w:noWrap/>
            <w:vAlign w:val="bottom"/>
            <w:hideMark/>
          </w:tcPr>
          <w:p w14:paraId="79DC1B50"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57" w:type="dxa"/>
            <w:tcBorders>
              <w:top w:val="nil"/>
              <w:left w:val="nil"/>
              <w:bottom w:val="nil"/>
              <w:right w:val="single" w:sz="4" w:space="0" w:color="auto"/>
            </w:tcBorders>
            <w:shd w:val="clear" w:color="auto" w:fill="auto"/>
            <w:noWrap/>
            <w:vAlign w:val="bottom"/>
            <w:hideMark/>
          </w:tcPr>
          <w:p w14:paraId="0C10C3BA"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(0.327)</w:t>
            </w:r>
          </w:p>
        </w:tc>
      </w:tr>
      <w:tr w:rsidR="00346A6E" w:rsidRPr="002F1920" w14:paraId="4A02497B" w14:textId="77777777" w:rsidTr="00210552">
        <w:trPr>
          <w:trHeight w:val="300"/>
        </w:trPr>
        <w:tc>
          <w:tcPr>
            <w:tcW w:w="3780" w:type="dxa"/>
            <w:tcBorders>
              <w:top w:val="nil"/>
              <w:left w:val="single" w:sz="4" w:space="0" w:color="auto"/>
              <w:bottom w:val="nil"/>
              <w:right w:val="single" w:sz="4" w:space="0" w:color="auto"/>
            </w:tcBorders>
            <w:shd w:val="clear" w:color="auto" w:fill="auto"/>
            <w:noWrap/>
            <w:vAlign w:val="bottom"/>
            <w:hideMark/>
          </w:tcPr>
          <w:p w14:paraId="5536DA99" w14:textId="2120776F" w:rsidR="00346A6E" w:rsidRPr="00346A6E" w:rsidRDefault="008D2BC9" w:rsidP="00273E38">
            <w:pPr>
              <w:jc w:val="center"/>
              <w:rPr>
                <w:rFonts w:eastAsia="Times New Roman"/>
                <w:color w:val="000000"/>
                <w:sz w:val="18"/>
                <w:szCs w:val="18"/>
                <w:lang w:val="en-US"/>
              </w:rPr>
            </w:pPr>
            <w:r>
              <w:rPr>
                <w:rFonts w:eastAsia="Times New Roman"/>
                <w:color w:val="000000"/>
                <w:sz w:val="18"/>
                <w:szCs w:val="18"/>
                <w:lang w:val="en-US"/>
              </w:rPr>
              <w:t>Real Income Growth</w:t>
            </w:r>
            <w:r w:rsidR="00346A6E" w:rsidRPr="00346A6E">
              <w:rPr>
                <w:rFonts w:eastAsia="Times New Roman"/>
                <w:color w:val="000000"/>
                <w:sz w:val="18"/>
                <w:szCs w:val="18"/>
                <w:lang w:val="en-US"/>
              </w:rPr>
              <w:t>(t-1)</w:t>
            </w:r>
          </w:p>
        </w:tc>
        <w:tc>
          <w:tcPr>
            <w:tcW w:w="990" w:type="dxa"/>
            <w:tcBorders>
              <w:top w:val="nil"/>
              <w:left w:val="nil"/>
              <w:bottom w:val="nil"/>
              <w:right w:val="single" w:sz="4" w:space="0" w:color="auto"/>
            </w:tcBorders>
            <w:shd w:val="clear" w:color="auto" w:fill="auto"/>
            <w:noWrap/>
            <w:vAlign w:val="bottom"/>
            <w:hideMark/>
          </w:tcPr>
          <w:p w14:paraId="346D0BB4"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3.043***</w:t>
            </w:r>
          </w:p>
        </w:tc>
        <w:tc>
          <w:tcPr>
            <w:tcW w:w="990" w:type="dxa"/>
            <w:tcBorders>
              <w:top w:val="nil"/>
              <w:left w:val="nil"/>
              <w:bottom w:val="nil"/>
              <w:right w:val="single" w:sz="4" w:space="0" w:color="auto"/>
            </w:tcBorders>
            <w:shd w:val="clear" w:color="auto" w:fill="auto"/>
            <w:noWrap/>
            <w:vAlign w:val="bottom"/>
            <w:hideMark/>
          </w:tcPr>
          <w:p w14:paraId="5666D65A"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3.062***</w:t>
            </w:r>
          </w:p>
        </w:tc>
        <w:tc>
          <w:tcPr>
            <w:tcW w:w="1080" w:type="dxa"/>
            <w:tcBorders>
              <w:top w:val="nil"/>
              <w:left w:val="nil"/>
              <w:bottom w:val="nil"/>
              <w:right w:val="single" w:sz="4" w:space="0" w:color="auto"/>
            </w:tcBorders>
            <w:shd w:val="clear" w:color="auto" w:fill="auto"/>
            <w:noWrap/>
            <w:vAlign w:val="bottom"/>
            <w:hideMark/>
          </w:tcPr>
          <w:p w14:paraId="423A0BFE"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3.082***</w:t>
            </w:r>
          </w:p>
        </w:tc>
        <w:tc>
          <w:tcPr>
            <w:tcW w:w="990" w:type="dxa"/>
            <w:tcBorders>
              <w:top w:val="nil"/>
              <w:left w:val="nil"/>
              <w:bottom w:val="nil"/>
              <w:right w:val="single" w:sz="4" w:space="0" w:color="auto"/>
            </w:tcBorders>
            <w:vAlign w:val="bottom"/>
          </w:tcPr>
          <w:p w14:paraId="47EAEC2F" w14:textId="77777777" w:rsidR="00346A6E" w:rsidRPr="00346A6E" w:rsidRDefault="00BF17B2" w:rsidP="00210552">
            <w:pPr>
              <w:jc w:val="center"/>
              <w:rPr>
                <w:rFonts w:eastAsia="Times New Roman"/>
                <w:color w:val="000000"/>
                <w:sz w:val="18"/>
                <w:szCs w:val="18"/>
                <w:lang w:val="en-US"/>
              </w:rPr>
            </w:pPr>
            <w:r>
              <w:rPr>
                <w:rFonts w:eastAsia="Times New Roman"/>
                <w:color w:val="000000"/>
                <w:sz w:val="18"/>
                <w:szCs w:val="18"/>
                <w:lang w:val="en-US"/>
              </w:rPr>
              <w:t>3.106***</w:t>
            </w:r>
          </w:p>
        </w:tc>
        <w:tc>
          <w:tcPr>
            <w:tcW w:w="990" w:type="dxa"/>
            <w:tcBorders>
              <w:top w:val="nil"/>
              <w:left w:val="single" w:sz="4" w:space="0" w:color="auto"/>
              <w:bottom w:val="nil"/>
              <w:right w:val="single" w:sz="4" w:space="0" w:color="auto"/>
            </w:tcBorders>
            <w:shd w:val="clear" w:color="auto" w:fill="auto"/>
            <w:noWrap/>
            <w:vAlign w:val="bottom"/>
            <w:hideMark/>
          </w:tcPr>
          <w:p w14:paraId="1A73A9E8"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57" w:type="dxa"/>
            <w:tcBorders>
              <w:top w:val="nil"/>
              <w:left w:val="nil"/>
              <w:bottom w:val="nil"/>
              <w:right w:val="single" w:sz="4" w:space="0" w:color="auto"/>
            </w:tcBorders>
            <w:shd w:val="clear" w:color="auto" w:fill="auto"/>
            <w:noWrap/>
            <w:vAlign w:val="bottom"/>
            <w:hideMark/>
          </w:tcPr>
          <w:p w14:paraId="6249F329"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r>
      <w:tr w:rsidR="00346A6E" w:rsidRPr="002F1920" w14:paraId="1A62DBA5" w14:textId="77777777" w:rsidTr="00210552">
        <w:trPr>
          <w:trHeight w:val="243"/>
        </w:trPr>
        <w:tc>
          <w:tcPr>
            <w:tcW w:w="3780" w:type="dxa"/>
            <w:tcBorders>
              <w:top w:val="nil"/>
              <w:left w:val="single" w:sz="4" w:space="0" w:color="auto"/>
              <w:bottom w:val="nil"/>
              <w:right w:val="single" w:sz="4" w:space="0" w:color="auto"/>
            </w:tcBorders>
            <w:shd w:val="clear" w:color="auto" w:fill="auto"/>
            <w:noWrap/>
            <w:vAlign w:val="bottom"/>
            <w:hideMark/>
          </w:tcPr>
          <w:p w14:paraId="54C9C880"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5C1DC804"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(0.406)</w:t>
            </w:r>
          </w:p>
        </w:tc>
        <w:tc>
          <w:tcPr>
            <w:tcW w:w="990" w:type="dxa"/>
            <w:tcBorders>
              <w:top w:val="nil"/>
              <w:left w:val="nil"/>
              <w:bottom w:val="nil"/>
              <w:right w:val="single" w:sz="4" w:space="0" w:color="auto"/>
            </w:tcBorders>
            <w:shd w:val="clear" w:color="auto" w:fill="auto"/>
            <w:noWrap/>
            <w:vAlign w:val="bottom"/>
            <w:hideMark/>
          </w:tcPr>
          <w:p w14:paraId="7D8F2268"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(0.381)</w:t>
            </w:r>
          </w:p>
        </w:tc>
        <w:tc>
          <w:tcPr>
            <w:tcW w:w="1080" w:type="dxa"/>
            <w:tcBorders>
              <w:top w:val="nil"/>
              <w:left w:val="nil"/>
              <w:bottom w:val="nil"/>
              <w:right w:val="single" w:sz="4" w:space="0" w:color="auto"/>
            </w:tcBorders>
            <w:shd w:val="clear" w:color="auto" w:fill="auto"/>
            <w:noWrap/>
            <w:vAlign w:val="bottom"/>
            <w:hideMark/>
          </w:tcPr>
          <w:p w14:paraId="7727F1A1"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(0.382)</w:t>
            </w:r>
          </w:p>
        </w:tc>
        <w:tc>
          <w:tcPr>
            <w:tcW w:w="990" w:type="dxa"/>
            <w:tcBorders>
              <w:top w:val="nil"/>
              <w:left w:val="nil"/>
              <w:bottom w:val="nil"/>
              <w:right w:val="single" w:sz="4" w:space="0" w:color="auto"/>
            </w:tcBorders>
            <w:vAlign w:val="bottom"/>
          </w:tcPr>
          <w:p w14:paraId="526DA573" w14:textId="77777777" w:rsidR="00346A6E" w:rsidRPr="00346A6E" w:rsidRDefault="00BF17B2" w:rsidP="00210552">
            <w:pPr>
              <w:jc w:val="center"/>
              <w:rPr>
                <w:rFonts w:eastAsia="Times New Roman"/>
                <w:color w:val="000000"/>
                <w:sz w:val="18"/>
                <w:szCs w:val="18"/>
                <w:lang w:val="en-US"/>
              </w:rPr>
            </w:pPr>
            <w:r>
              <w:rPr>
                <w:rFonts w:eastAsia="Times New Roman"/>
                <w:color w:val="000000"/>
                <w:sz w:val="18"/>
                <w:szCs w:val="18"/>
                <w:lang w:val="en-US"/>
              </w:rPr>
              <w:t>(0</w:t>
            </w:r>
            <w:r w:rsidRPr="00BF17B2">
              <w:rPr>
                <w:rFonts w:eastAsia="Times New Roman"/>
                <w:color w:val="000000"/>
                <w:sz w:val="18"/>
                <w:szCs w:val="18"/>
                <w:lang w:val="en-US"/>
              </w:rPr>
              <w:t>.404</w:t>
            </w:r>
            <w:r>
              <w:rPr>
                <w:rFonts w:eastAsia="Times New Roman"/>
                <w:color w:val="000000"/>
                <w:sz w:val="18"/>
                <w:szCs w:val="18"/>
                <w:lang w:val="en-US"/>
              </w:rPr>
              <w:t>)</w:t>
            </w:r>
          </w:p>
        </w:tc>
        <w:tc>
          <w:tcPr>
            <w:tcW w:w="990" w:type="dxa"/>
            <w:tcBorders>
              <w:top w:val="nil"/>
              <w:left w:val="single" w:sz="4" w:space="0" w:color="auto"/>
              <w:bottom w:val="nil"/>
              <w:right w:val="single" w:sz="4" w:space="0" w:color="auto"/>
            </w:tcBorders>
            <w:shd w:val="clear" w:color="auto" w:fill="auto"/>
            <w:noWrap/>
            <w:vAlign w:val="bottom"/>
            <w:hideMark/>
          </w:tcPr>
          <w:p w14:paraId="5370FF46"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57" w:type="dxa"/>
            <w:tcBorders>
              <w:top w:val="nil"/>
              <w:left w:val="nil"/>
              <w:bottom w:val="nil"/>
              <w:right w:val="single" w:sz="4" w:space="0" w:color="auto"/>
            </w:tcBorders>
            <w:shd w:val="clear" w:color="auto" w:fill="auto"/>
            <w:noWrap/>
            <w:vAlign w:val="bottom"/>
            <w:hideMark/>
          </w:tcPr>
          <w:p w14:paraId="30FDF9BF"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r>
      <w:tr w:rsidR="00346A6E" w:rsidRPr="002F1920" w14:paraId="3D71C8E9" w14:textId="77777777" w:rsidTr="00210552">
        <w:trPr>
          <w:trHeight w:val="300"/>
        </w:trPr>
        <w:tc>
          <w:tcPr>
            <w:tcW w:w="3780" w:type="dxa"/>
            <w:tcBorders>
              <w:top w:val="nil"/>
              <w:left w:val="single" w:sz="4" w:space="0" w:color="auto"/>
              <w:bottom w:val="nil"/>
              <w:right w:val="single" w:sz="4" w:space="0" w:color="auto"/>
            </w:tcBorders>
            <w:shd w:val="clear" w:color="auto" w:fill="auto"/>
            <w:noWrap/>
            <w:vAlign w:val="bottom"/>
            <w:hideMark/>
          </w:tcPr>
          <w:p w14:paraId="5D9118D0"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Capital Account Liberalization</w:t>
            </w:r>
          </w:p>
        </w:tc>
        <w:tc>
          <w:tcPr>
            <w:tcW w:w="990" w:type="dxa"/>
            <w:tcBorders>
              <w:top w:val="nil"/>
              <w:left w:val="nil"/>
              <w:bottom w:val="nil"/>
              <w:right w:val="single" w:sz="4" w:space="0" w:color="auto"/>
            </w:tcBorders>
            <w:shd w:val="clear" w:color="auto" w:fill="auto"/>
            <w:noWrap/>
            <w:vAlign w:val="bottom"/>
            <w:hideMark/>
          </w:tcPr>
          <w:p w14:paraId="2271D588"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04198073"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-0.368</w:t>
            </w:r>
          </w:p>
        </w:tc>
        <w:tc>
          <w:tcPr>
            <w:tcW w:w="1080" w:type="dxa"/>
            <w:tcBorders>
              <w:top w:val="nil"/>
              <w:left w:val="nil"/>
              <w:bottom w:val="nil"/>
              <w:right w:val="single" w:sz="4" w:space="0" w:color="auto"/>
            </w:tcBorders>
            <w:shd w:val="clear" w:color="auto" w:fill="auto"/>
            <w:noWrap/>
            <w:vAlign w:val="bottom"/>
            <w:hideMark/>
          </w:tcPr>
          <w:p w14:paraId="61617E89"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-0.295</w:t>
            </w:r>
          </w:p>
        </w:tc>
        <w:tc>
          <w:tcPr>
            <w:tcW w:w="990" w:type="dxa"/>
            <w:tcBorders>
              <w:top w:val="nil"/>
              <w:left w:val="nil"/>
              <w:bottom w:val="nil"/>
              <w:right w:val="single" w:sz="4" w:space="0" w:color="auto"/>
            </w:tcBorders>
            <w:vAlign w:val="bottom"/>
          </w:tcPr>
          <w:p w14:paraId="744047E6" w14:textId="77777777" w:rsidR="00346A6E" w:rsidRPr="00346A6E" w:rsidRDefault="00FD797F" w:rsidP="00210552">
            <w:pPr>
              <w:jc w:val="center"/>
              <w:rPr>
                <w:rFonts w:eastAsia="Times New Roman"/>
                <w:color w:val="000000"/>
                <w:sz w:val="18"/>
                <w:szCs w:val="18"/>
                <w:lang w:val="en-US"/>
              </w:rPr>
            </w:pPr>
            <w:r>
              <w:rPr>
                <w:rFonts w:eastAsia="Times New Roman"/>
                <w:color w:val="000000"/>
                <w:sz w:val="18"/>
                <w:szCs w:val="18"/>
                <w:lang w:val="en-US"/>
              </w:rPr>
              <w:t>-</w:t>
            </w:r>
            <w:r w:rsidR="00BF17B2">
              <w:rPr>
                <w:rFonts w:eastAsia="Times New Roman"/>
                <w:color w:val="000000"/>
                <w:sz w:val="18"/>
                <w:szCs w:val="18"/>
                <w:lang w:val="en-US"/>
              </w:rPr>
              <w:t>0</w:t>
            </w:r>
            <w:r>
              <w:rPr>
                <w:rFonts w:eastAsia="Times New Roman"/>
                <w:color w:val="000000"/>
                <w:sz w:val="18"/>
                <w:szCs w:val="18"/>
                <w:lang w:val="en-US"/>
              </w:rPr>
              <w:t>.442</w:t>
            </w:r>
          </w:p>
        </w:tc>
        <w:tc>
          <w:tcPr>
            <w:tcW w:w="990" w:type="dxa"/>
            <w:tcBorders>
              <w:top w:val="nil"/>
              <w:left w:val="single" w:sz="4" w:space="0" w:color="auto"/>
              <w:bottom w:val="nil"/>
              <w:right w:val="single" w:sz="4" w:space="0" w:color="auto"/>
            </w:tcBorders>
            <w:shd w:val="clear" w:color="auto" w:fill="auto"/>
            <w:noWrap/>
            <w:vAlign w:val="bottom"/>
            <w:hideMark/>
          </w:tcPr>
          <w:p w14:paraId="6113459A"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57" w:type="dxa"/>
            <w:tcBorders>
              <w:top w:val="nil"/>
              <w:left w:val="nil"/>
              <w:bottom w:val="nil"/>
              <w:right w:val="single" w:sz="4" w:space="0" w:color="auto"/>
            </w:tcBorders>
            <w:shd w:val="clear" w:color="auto" w:fill="auto"/>
            <w:noWrap/>
            <w:vAlign w:val="bottom"/>
            <w:hideMark/>
          </w:tcPr>
          <w:p w14:paraId="3B62194F"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-0.774</w:t>
            </w:r>
          </w:p>
        </w:tc>
      </w:tr>
      <w:tr w:rsidR="00346A6E" w:rsidRPr="002F1920" w14:paraId="3C92D51E" w14:textId="77777777" w:rsidTr="00210552">
        <w:trPr>
          <w:trHeight w:val="243"/>
        </w:trPr>
        <w:tc>
          <w:tcPr>
            <w:tcW w:w="3780" w:type="dxa"/>
            <w:tcBorders>
              <w:top w:val="nil"/>
              <w:left w:val="single" w:sz="4" w:space="0" w:color="auto"/>
              <w:bottom w:val="nil"/>
              <w:right w:val="single" w:sz="4" w:space="0" w:color="auto"/>
            </w:tcBorders>
            <w:shd w:val="clear" w:color="auto" w:fill="auto"/>
            <w:noWrap/>
            <w:vAlign w:val="bottom"/>
            <w:hideMark/>
          </w:tcPr>
          <w:p w14:paraId="51356AFC" w14:textId="15EBED12" w:rsidR="00346A6E" w:rsidRPr="00346A6E" w:rsidRDefault="008D2BC9" w:rsidP="00273E38">
            <w:pPr>
              <w:jc w:val="center"/>
              <w:rPr>
                <w:rFonts w:eastAsia="Times New Roman"/>
                <w:color w:val="000000"/>
                <w:sz w:val="18"/>
                <w:szCs w:val="18"/>
                <w:lang w:val="en-US"/>
              </w:rPr>
            </w:pPr>
            <w:r>
              <w:rPr>
                <w:rFonts w:eastAsia="Times New Roman"/>
                <w:color w:val="000000"/>
                <w:sz w:val="18"/>
                <w:szCs w:val="18"/>
                <w:lang w:val="en-US"/>
              </w:rPr>
              <w:t>Index</w:t>
            </w:r>
            <w:r w:rsidR="00346A6E" w:rsidRPr="00346A6E">
              <w:rPr>
                <w:rFonts w:eastAsia="Times New Roman"/>
                <w:color w:val="000000"/>
                <w:sz w:val="18"/>
                <w:szCs w:val="18"/>
                <w:lang w:val="en-US"/>
              </w:rPr>
              <w:t>(t-1)</w:t>
            </w:r>
          </w:p>
        </w:tc>
        <w:tc>
          <w:tcPr>
            <w:tcW w:w="990" w:type="dxa"/>
            <w:tcBorders>
              <w:top w:val="nil"/>
              <w:left w:val="nil"/>
              <w:bottom w:val="nil"/>
              <w:right w:val="single" w:sz="4" w:space="0" w:color="auto"/>
            </w:tcBorders>
            <w:shd w:val="clear" w:color="auto" w:fill="auto"/>
            <w:noWrap/>
            <w:vAlign w:val="bottom"/>
            <w:hideMark/>
          </w:tcPr>
          <w:p w14:paraId="0956254F"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48E2006B"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(0.476)</w:t>
            </w:r>
          </w:p>
        </w:tc>
        <w:tc>
          <w:tcPr>
            <w:tcW w:w="1080" w:type="dxa"/>
            <w:tcBorders>
              <w:top w:val="nil"/>
              <w:left w:val="nil"/>
              <w:bottom w:val="nil"/>
              <w:right w:val="single" w:sz="4" w:space="0" w:color="auto"/>
            </w:tcBorders>
            <w:shd w:val="clear" w:color="auto" w:fill="auto"/>
            <w:noWrap/>
            <w:vAlign w:val="bottom"/>
            <w:hideMark/>
          </w:tcPr>
          <w:p w14:paraId="2136F5F8"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(0.483)</w:t>
            </w:r>
          </w:p>
        </w:tc>
        <w:tc>
          <w:tcPr>
            <w:tcW w:w="990" w:type="dxa"/>
            <w:tcBorders>
              <w:top w:val="nil"/>
              <w:left w:val="nil"/>
              <w:bottom w:val="nil"/>
              <w:right w:val="single" w:sz="4" w:space="0" w:color="auto"/>
            </w:tcBorders>
            <w:vAlign w:val="bottom"/>
          </w:tcPr>
          <w:p w14:paraId="5486F08D" w14:textId="77777777" w:rsidR="00346A6E" w:rsidRPr="00346A6E" w:rsidRDefault="00BF17B2" w:rsidP="00210552">
            <w:pPr>
              <w:jc w:val="center"/>
              <w:rPr>
                <w:rFonts w:eastAsia="Times New Roman"/>
                <w:color w:val="000000"/>
                <w:sz w:val="18"/>
                <w:szCs w:val="18"/>
                <w:lang w:val="en-US"/>
              </w:rPr>
            </w:pPr>
            <w:r>
              <w:rPr>
                <w:rFonts w:eastAsia="Times New Roman"/>
                <w:color w:val="000000"/>
                <w:sz w:val="18"/>
                <w:szCs w:val="18"/>
                <w:lang w:val="en-US"/>
              </w:rPr>
              <w:t>(0</w:t>
            </w:r>
            <w:r w:rsidRPr="00BF17B2">
              <w:rPr>
                <w:rFonts w:eastAsia="Times New Roman"/>
                <w:color w:val="000000"/>
                <w:sz w:val="18"/>
                <w:szCs w:val="18"/>
                <w:lang w:val="en-US"/>
              </w:rPr>
              <w:t>.462</w:t>
            </w:r>
            <w:r>
              <w:rPr>
                <w:rFonts w:eastAsia="Times New Roman"/>
                <w:color w:val="000000"/>
                <w:sz w:val="18"/>
                <w:szCs w:val="18"/>
                <w:lang w:val="en-US"/>
              </w:rPr>
              <w:t>)</w:t>
            </w:r>
          </w:p>
        </w:tc>
        <w:tc>
          <w:tcPr>
            <w:tcW w:w="990" w:type="dxa"/>
            <w:tcBorders>
              <w:top w:val="nil"/>
              <w:left w:val="single" w:sz="4" w:space="0" w:color="auto"/>
              <w:bottom w:val="nil"/>
              <w:right w:val="single" w:sz="4" w:space="0" w:color="auto"/>
            </w:tcBorders>
            <w:shd w:val="clear" w:color="auto" w:fill="auto"/>
            <w:noWrap/>
            <w:vAlign w:val="bottom"/>
            <w:hideMark/>
          </w:tcPr>
          <w:p w14:paraId="57C739AC"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57" w:type="dxa"/>
            <w:tcBorders>
              <w:top w:val="nil"/>
              <w:left w:val="nil"/>
              <w:bottom w:val="nil"/>
              <w:right w:val="single" w:sz="4" w:space="0" w:color="auto"/>
            </w:tcBorders>
            <w:shd w:val="clear" w:color="auto" w:fill="auto"/>
            <w:noWrap/>
            <w:vAlign w:val="bottom"/>
            <w:hideMark/>
          </w:tcPr>
          <w:p w14:paraId="10FC5D45"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(0.496)</w:t>
            </w:r>
          </w:p>
        </w:tc>
      </w:tr>
      <w:tr w:rsidR="00346A6E" w:rsidRPr="002F1920" w14:paraId="37175A7D" w14:textId="77777777" w:rsidTr="00210552">
        <w:trPr>
          <w:trHeight w:val="300"/>
        </w:trPr>
        <w:tc>
          <w:tcPr>
            <w:tcW w:w="3780" w:type="dxa"/>
            <w:tcBorders>
              <w:top w:val="nil"/>
              <w:left w:val="single" w:sz="4" w:space="0" w:color="auto"/>
              <w:bottom w:val="nil"/>
              <w:right w:val="single" w:sz="4" w:space="0" w:color="auto"/>
            </w:tcBorders>
            <w:shd w:val="clear" w:color="auto" w:fill="auto"/>
            <w:noWrap/>
            <w:vAlign w:val="bottom"/>
            <w:hideMark/>
          </w:tcPr>
          <w:p w14:paraId="6806AA73"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xml:space="preserve">Proportion of Cabinet Seats </w:t>
            </w:r>
          </w:p>
        </w:tc>
        <w:tc>
          <w:tcPr>
            <w:tcW w:w="990" w:type="dxa"/>
            <w:tcBorders>
              <w:top w:val="nil"/>
              <w:left w:val="nil"/>
              <w:bottom w:val="nil"/>
              <w:right w:val="single" w:sz="4" w:space="0" w:color="auto"/>
            </w:tcBorders>
            <w:shd w:val="clear" w:color="auto" w:fill="auto"/>
            <w:noWrap/>
            <w:vAlign w:val="bottom"/>
            <w:hideMark/>
          </w:tcPr>
          <w:p w14:paraId="62C5F3B6"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5F238992"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1080" w:type="dxa"/>
            <w:tcBorders>
              <w:top w:val="nil"/>
              <w:left w:val="nil"/>
              <w:bottom w:val="nil"/>
              <w:right w:val="single" w:sz="4" w:space="0" w:color="auto"/>
            </w:tcBorders>
            <w:shd w:val="clear" w:color="auto" w:fill="auto"/>
            <w:noWrap/>
            <w:vAlign w:val="bottom"/>
            <w:hideMark/>
          </w:tcPr>
          <w:p w14:paraId="71619AED"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-0.251</w:t>
            </w:r>
          </w:p>
        </w:tc>
        <w:tc>
          <w:tcPr>
            <w:tcW w:w="990" w:type="dxa"/>
            <w:tcBorders>
              <w:top w:val="nil"/>
              <w:left w:val="nil"/>
              <w:bottom w:val="nil"/>
              <w:right w:val="single" w:sz="4" w:space="0" w:color="auto"/>
            </w:tcBorders>
            <w:vAlign w:val="bottom"/>
          </w:tcPr>
          <w:p w14:paraId="48815DB9" w14:textId="77777777" w:rsidR="00346A6E" w:rsidRPr="00346A6E" w:rsidRDefault="00BF17B2" w:rsidP="00210552">
            <w:pPr>
              <w:jc w:val="center"/>
              <w:rPr>
                <w:rFonts w:eastAsia="Times New Roman"/>
                <w:color w:val="000000"/>
                <w:sz w:val="18"/>
                <w:szCs w:val="18"/>
                <w:lang w:val="en-US"/>
              </w:rPr>
            </w:pPr>
            <w:r>
              <w:rPr>
                <w:rFonts w:eastAsia="Times New Roman"/>
                <w:color w:val="000000"/>
                <w:sz w:val="18"/>
                <w:szCs w:val="18"/>
                <w:lang w:val="en-US"/>
              </w:rPr>
              <w:t>-0.309</w:t>
            </w:r>
          </w:p>
        </w:tc>
        <w:tc>
          <w:tcPr>
            <w:tcW w:w="990" w:type="dxa"/>
            <w:tcBorders>
              <w:top w:val="nil"/>
              <w:left w:val="single" w:sz="4" w:space="0" w:color="auto"/>
              <w:bottom w:val="nil"/>
              <w:right w:val="single" w:sz="4" w:space="0" w:color="auto"/>
            </w:tcBorders>
            <w:shd w:val="clear" w:color="auto" w:fill="auto"/>
            <w:noWrap/>
            <w:vAlign w:val="bottom"/>
            <w:hideMark/>
          </w:tcPr>
          <w:p w14:paraId="25F56424"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57" w:type="dxa"/>
            <w:tcBorders>
              <w:top w:val="nil"/>
              <w:left w:val="nil"/>
              <w:bottom w:val="nil"/>
              <w:right w:val="single" w:sz="4" w:space="0" w:color="auto"/>
            </w:tcBorders>
            <w:shd w:val="clear" w:color="auto" w:fill="auto"/>
            <w:noWrap/>
            <w:vAlign w:val="bottom"/>
            <w:hideMark/>
          </w:tcPr>
          <w:p w14:paraId="520F7C10"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-0.094</w:t>
            </w:r>
          </w:p>
        </w:tc>
      </w:tr>
      <w:tr w:rsidR="00346A6E" w:rsidRPr="002F1920" w14:paraId="196EFC6D" w14:textId="77777777" w:rsidTr="00210552">
        <w:trPr>
          <w:trHeight w:val="144"/>
        </w:trPr>
        <w:tc>
          <w:tcPr>
            <w:tcW w:w="3780" w:type="dxa"/>
            <w:tcBorders>
              <w:top w:val="nil"/>
              <w:left w:val="single" w:sz="4" w:space="0" w:color="auto"/>
              <w:bottom w:val="nil"/>
              <w:right w:val="single" w:sz="4" w:space="0" w:color="auto"/>
            </w:tcBorders>
            <w:shd w:val="clear" w:color="auto" w:fill="auto"/>
            <w:noWrap/>
            <w:vAlign w:val="bottom"/>
            <w:hideMark/>
          </w:tcPr>
          <w:p w14:paraId="15F73DBC" w14:textId="6EBD9C9B" w:rsidR="00346A6E" w:rsidRPr="00346A6E" w:rsidRDefault="008D2BC9" w:rsidP="00273E38">
            <w:pPr>
              <w:jc w:val="center"/>
              <w:rPr>
                <w:rFonts w:eastAsia="Times New Roman"/>
                <w:color w:val="000000"/>
                <w:sz w:val="18"/>
                <w:szCs w:val="18"/>
                <w:lang w:val="en-US"/>
              </w:rPr>
            </w:pPr>
            <w:r>
              <w:rPr>
                <w:rFonts w:eastAsia="Times New Roman"/>
                <w:color w:val="000000"/>
                <w:sz w:val="18"/>
                <w:szCs w:val="18"/>
                <w:lang w:val="en-US"/>
              </w:rPr>
              <w:t>occupied by right parties</w:t>
            </w:r>
            <w:r w:rsidR="00346A6E" w:rsidRPr="00346A6E">
              <w:rPr>
                <w:rFonts w:eastAsia="Times New Roman"/>
                <w:color w:val="000000"/>
                <w:sz w:val="18"/>
                <w:szCs w:val="18"/>
                <w:lang w:val="en-US"/>
              </w:rPr>
              <w:t>(t-1)</w:t>
            </w:r>
          </w:p>
        </w:tc>
        <w:tc>
          <w:tcPr>
            <w:tcW w:w="990" w:type="dxa"/>
            <w:tcBorders>
              <w:top w:val="nil"/>
              <w:left w:val="nil"/>
              <w:bottom w:val="nil"/>
              <w:right w:val="single" w:sz="4" w:space="0" w:color="auto"/>
            </w:tcBorders>
            <w:shd w:val="clear" w:color="auto" w:fill="auto"/>
            <w:noWrap/>
            <w:vAlign w:val="bottom"/>
            <w:hideMark/>
          </w:tcPr>
          <w:p w14:paraId="49082459"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58673602"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1080" w:type="dxa"/>
            <w:tcBorders>
              <w:top w:val="nil"/>
              <w:left w:val="nil"/>
              <w:bottom w:val="nil"/>
              <w:right w:val="single" w:sz="4" w:space="0" w:color="auto"/>
            </w:tcBorders>
            <w:shd w:val="clear" w:color="auto" w:fill="auto"/>
            <w:noWrap/>
            <w:vAlign w:val="bottom"/>
            <w:hideMark/>
          </w:tcPr>
          <w:p w14:paraId="0A8FD61A"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(0.349)</w:t>
            </w:r>
          </w:p>
        </w:tc>
        <w:tc>
          <w:tcPr>
            <w:tcW w:w="990" w:type="dxa"/>
            <w:tcBorders>
              <w:top w:val="nil"/>
              <w:left w:val="nil"/>
              <w:bottom w:val="nil"/>
              <w:right w:val="single" w:sz="4" w:space="0" w:color="auto"/>
            </w:tcBorders>
            <w:vAlign w:val="bottom"/>
          </w:tcPr>
          <w:p w14:paraId="4B156216" w14:textId="77777777" w:rsidR="00346A6E" w:rsidRPr="00346A6E" w:rsidRDefault="00BF17B2" w:rsidP="00210552">
            <w:pPr>
              <w:jc w:val="center"/>
              <w:rPr>
                <w:rFonts w:eastAsia="Times New Roman"/>
                <w:color w:val="000000"/>
                <w:sz w:val="18"/>
                <w:szCs w:val="18"/>
                <w:lang w:val="en-US"/>
              </w:rPr>
            </w:pPr>
            <w:r>
              <w:rPr>
                <w:rFonts w:eastAsia="Times New Roman"/>
                <w:color w:val="000000"/>
                <w:sz w:val="18"/>
                <w:szCs w:val="18"/>
                <w:lang w:val="en-US"/>
              </w:rPr>
              <w:t>(0</w:t>
            </w:r>
            <w:r w:rsidRPr="00BF17B2">
              <w:rPr>
                <w:rFonts w:eastAsia="Times New Roman"/>
                <w:color w:val="000000"/>
                <w:sz w:val="18"/>
                <w:szCs w:val="18"/>
                <w:lang w:val="en-US"/>
              </w:rPr>
              <w:t>.358</w:t>
            </w:r>
            <w:r>
              <w:rPr>
                <w:rFonts w:eastAsia="Times New Roman"/>
                <w:color w:val="000000"/>
                <w:sz w:val="18"/>
                <w:szCs w:val="18"/>
                <w:lang w:val="en-US"/>
              </w:rPr>
              <w:t>)</w:t>
            </w:r>
          </w:p>
        </w:tc>
        <w:tc>
          <w:tcPr>
            <w:tcW w:w="990" w:type="dxa"/>
            <w:tcBorders>
              <w:top w:val="nil"/>
              <w:left w:val="single" w:sz="4" w:space="0" w:color="auto"/>
              <w:bottom w:val="nil"/>
              <w:right w:val="single" w:sz="4" w:space="0" w:color="auto"/>
            </w:tcBorders>
            <w:shd w:val="clear" w:color="auto" w:fill="auto"/>
            <w:noWrap/>
            <w:vAlign w:val="bottom"/>
            <w:hideMark/>
          </w:tcPr>
          <w:p w14:paraId="0E60BA24"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57" w:type="dxa"/>
            <w:tcBorders>
              <w:top w:val="nil"/>
              <w:left w:val="nil"/>
              <w:bottom w:val="nil"/>
              <w:right w:val="single" w:sz="4" w:space="0" w:color="auto"/>
            </w:tcBorders>
            <w:shd w:val="clear" w:color="auto" w:fill="auto"/>
            <w:noWrap/>
            <w:vAlign w:val="bottom"/>
            <w:hideMark/>
          </w:tcPr>
          <w:p w14:paraId="2FD1A9E1"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(0.363)</w:t>
            </w:r>
          </w:p>
        </w:tc>
      </w:tr>
      <w:tr w:rsidR="00346A6E" w:rsidRPr="002F1920" w14:paraId="1EA2BBBC" w14:textId="77777777" w:rsidTr="00210552">
        <w:trPr>
          <w:trHeight w:val="300"/>
        </w:trPr>
        <w:tc>
          <w:tcPr>
            <w:tcW w:w="3780" w:type="dxa"/>
            <w:tcBorders>
              <w:top w:val="nil"/>
              <w:left w:val="single" w:sz="4" w:space="0" w:color="auto"/>
              <w:bottom w:val="nil"/>
              <w:right w:val="single" w:sz="4" w:space="0" w:color="auto"/>
            </w:tcBorders>
            <w:shd w:val="clear" w:color="auto" w:fill="auto"/>
            <w:noWrap/>
            <w:vAlign w:val="bottom"/>
            <w:hideMark/>
          </w:tcPr>
          <w:p w14:paraId="51D69359" w14:textId="2B0DC00C" w:rsidR="00346A6E" w:rsidRPr="00346A6E" w:rsidRDefault="008D2BC9" w:rsidP="00273E38">
            <w:pPr>
              <w:jc w:val="center"/>
              <w:rPr>
                <w:rFonts w:eastAsia="Times New Roman"/>
                <w:color w:val="000000"/>
                <w:sz w:val="18"/>
                <w:szCs w:val="18"/>
                <w:lang w:val="en-US"/>
              </w:rPr>
            </w:pPr>
            <w:r>
              <w:rPr>
                <w:rFonts w:eastAsia="Times New Roman"/>
                <w:color w:val="000000"/>
                <w:sz w:val="18"/>
                <w:szCs w:val="18"/>
                <w:lang w:val="en-US"/>
              </w:rPr>
              <w:t>Weighted CBI</w:t>
            </w:r>
            <w:r w:rsidR="00346A6E" w:rsidRPr="00346A6E">
              <w:rPr>
                <w:rFonts w:eastAsia="Times New Roman"/>
                <w:color w:val="000000"/>
                <w:sz w:val="18"/>
                <w:szCs w:val="18"/>
                <w:lang w:val="en-US"/>
              </w:rPr>
              <w:t>(t-1)</w:t>
            </w:r>
          </w:p>
        </w:tc>
        <w:tc>
          <w:tcPr>
            <w:tcW w:w="990" w:type="dxa"/>
            <w:tcBorders>
              <w:top w:val="nil"/>
              <w:left w:val="nil"/>
              <w:bottom w:val="nil"/>
              <w:right w:val="single" w:sz="4" w:space="0" w:color="auto"/>
            </w:tcBorders>
            <w:shd w:val="clear" w:color="auto" w:fill="auto"/>
            <w:noWrap/>
            <w:vAlign w:val="bottom"/>
            <w:hideMark/>
          </w:tcPr>
          <w:p w14:paraId="2FDFAE8D"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33381C4F"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1080" w:type="dxa"/>
            <w:tcBorders>
              <w:top w:val="nil"/>
              <w:left w:val="nil"/>
              <w:bottom w:val="nil"/>
              <w:right w:val="single" w:sz="4" w:space="0" w:color="auto"/>
            </w:tcBorders>
            <w:shd w:val="clear" w:color="auto" w:fill="auto"/>
            <w:noWrap/>
            <w:vAlign w:val="bottom"/>
            <w:hideMark/>
          </w:tcPr>
          <w:p w14:paraId="0AA2C850"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-0.004</w:t>
            </w:r>
          </w:p>
        </w:tc>
        <w:tc>
          <w:tcPr>
            <w:tcW w:w="990" w:type="dxa"/>
            <w:tcBorders>
              <w:top w:val="nil"/>
              <w:left w:val="nil"/>
              <w:bottom w:val="nil"/>
              <w:right w:val="single" w:sz="4" w:space="0" w:color="auto"/>
            </w:tcBorders>
            <w:vAlign w:val="bottom"/>
          </w:tcPr>
          <w:p w14:paraId="21EB4EBA" w14:textId="77777777" w:rsidR="00346A6E" w:rsidRPr="00346A6E" w:rsidRDefault="00BF17B2" w:rsidP="00210552">
            <w:pPr>
              <w:jc w:val="center"/>
              <w:rPr>
                <w:rFonts w:eastAsia="Times New Roman"/>
                <w:color w:val="000000"/>
                <w:sz w:val="18"/>
                <w:szCs w:val="18"/>
                <w:lang w:val="en-US"/>
              </w:rPr>
            </w:pPr>
            <w:r>
              <w:rPr>
                <w:rFonts w:eastAsia="Times New Roman"/>
                <w:color w:val="000000"/>
                <w:sz w:val="18"/>
                <w:szCs w:val="18"/>
                <w:lang w:val="en-US"/>
              </w:rPr>
              <w:t>0.031</w:t>
            </w:r>
          </w:p>
        </w:tc>
        <w:tc>
          <w:tcPr>
            <w:tcW w:w="990" w:type="dxa"/>
            <w:tcBorders>
              <w:top w:val="nil"/>
              <w:left w:val="single" w:sz="4" w:space="0" w:color="auto"/>
              <w:bottom w:val="nil"/>
              <w:right w:val="single" w:sz="4" w:space="0" w:color="auto"/>
            </w:tcBorders>
            <w:shd w:val="clear" w:color="auto" w:fill="auto"/>
            <w:noWrap/>
            <w:vAlign w:val="bottom"/>
            <w:hideMark/>
          </w:tcPr>
          <w:p w14:paraId="5B37E8BF"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57" w:type="dxa"/>
            <w:tcBorders>
              <w:top w:val="nil"/>
              <w:left w:val="nil"/>
              <w:bottom w:val="nil"/>
              <w:right w:val="single" w:sz="4" w:space="0" w:color="auto"/>
            </w:tcBorders>
            <w:shd w:val="clear" w:color="auto" w:fill="auto"/>
            <w:noWrap/>
            <w:vAlign w:val="bottom"/>
            <w:hideMark/>
          </w:tcPr>
          <w:p w14:paraId="0AE8C38D"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-0.214</w:t>
            </w:r>
          </w:p>
        </w:tc>
      </w:tr>
      <w:tr w:rsidR="00346A6E" w:rsidRPr="002F1920" w14:paraId="2F1AE0BC" w14:textId="77777777" w:rsidTr="00210552">
        <w:trPr>
          <w:trHeight w:val="180"/>
        </w:trPr>
        <w:tc>
          <w:tcPr>
            <w:tcW w:w="3780" w:type="dxa"/>
            <w:tcBorders>
              <w:top w:val="nil"/>
              <w:left w:val="single" w:sz="4" w:space="0" w:color="auto"/>
              <w:bottom w:val="nil"/>
              <w:right w:val="single" w:sz="4" w:space="0" w:color="auto"/>
            </w:tcBorders>
            <w:shd w:val="clear" w:color="auto" w:fill="auto"/>
            <w:noWrap/>
            <w:vAlign w:val="bottom"/>
            <w:hideMark/>
          </w:tcPr>
          <w:p w14:paraId="6408E806"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44BA0805"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2FD2797D"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1080" w:type="dxa"/>
            <w:tcBorders>
              <w:top w:val="nil"/>
              <w:left w:val="nil"/>
              <w:bottom w:val="nil"/>
              <w:right w:val="single" w:sz="4" w:space="0" w:color="auto"/>
            </w:tcBorders>
            <w:shd w:val="clear" w:color="auto" w:fill="auto"/>
            <w:noWrap/>
            <w:vAlign w:val="bottom"/>
            <w:hideMark/>
          </w:tcPr>
          <w:p w14:paraId="388B89CD"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(0.422)</w:t>
            </w:r>
          </w:p>
        </w:tc>
        <w:tc>
          <w:tcPr>
            <w:tcW w:w="990" w:type="dxa"/>
            <w:tcBorders>
              <w:top w:val="nil"/>
              <w:left w:val="nil"/>
              <w:bottom w:val="nil"/>
              <w:right w:val="single" w:sz="4" w:space="0" w:color="auto"/>
            </w:tcBorders>
            <w:vAlign w:val="bottom"/>
          </w:tcPr>
          <w:p w14:paraId="5C324BB2" w14:textId="77777777" w:rsidR="00346A6E" w:rsidRPr="00346A6E" w:rsidRDefault="00210552" w:rsidP="00210552">
            <w:pPr>
              <w:jc w:val="center"/>
              <w:rPr>
                <w:rFonts w:eastAsia="Times New Roman"/>
                <w:color w:val="000000"/>
                <w:sz w:val="18"/>
                <w:szCs w:val="18"/>
                <w:lang w:val="en-US"/>
              </w:rPr>
            </w:pPr>
            <w:r>
              <w:rPr>
                <w:rFonts w:eastAsia="Times New Roman"/>
                <w:color w:val="000000"/>
                <w:sz w:val="18"/>
                <w:szCs w:val="18"/>
                <w:lang w:val="en-US"/>
              </w:rPr>
              <w:t>(0</w:t>
            </w:r>
            <w:r w:rsidRPr="00210552">
              <w:rPr>
                <w:rFonts w:eastAsia="Times New Roman"/>
                <w:color w:val="000000"/>
                <w:sz w:val="18"/>
                <w:szCs w:val="18"/>
                <w:lang w:val="en-US"/>
              </w:rPr>
              <w:t>.440</w:t>
            </w:r>
            <w:r>
              <w:rPr>
                <w:rFonts w:eastAsia="Times New Roman"/>
                <w:color w:val="000000"/>
                <w:sz w:val="18"/>
                <w:szCs w:val="18"/>
                <w:lang w:val="en-US"/>
              </w:rPr>
              <w:t>)</w:t>
            </w:r>
          </w:p>
        </w:tc>
        <w:tc>
          <w:tcPr>
            <w:tcW w:w="990" w:type="dxa"/>
            <w:tcBorders>
              <w:top w:val="nil"/>
              <w:left w:val="single" w:sz="4" w:space="0" w:color="auto"/>
              <w:bottom w:val="nil"/>
              <w:right w:val="single" w:sz="4" w:space="0" w:color="auto"/>
            </w:tcBorders>
            <w:shd w:val="clear" w:color="auto" w:fill="auto"/>
            <w:noWrap/>
            <w:vAlign w:val="bottom"/>
            <w:hideMark/>
          </w:tcPr>
          <w:p w14:paraId="108EDDC8"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57" w:type="dxa"/>
            <w:tcBorders>
              <w:top w:val="nil"/>
              <w:left w:val="nil"/>
              <w:bottom w:val="nil"/>
              <w:right w:val="single" w:sz="4" w:space="0" w:color="auto"/>
            </w:tcBorders>
            <w:shd w:val="clear" w:color="auto" w:fill="auto"/>
            <w:noWrap/>
            <w:vAlign w:val="bottom"/>
            <w:hideMark/>
          </w:tcPr>
          <w:p w14:paraId="53DF0DA2"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(0.571)</w:t>
            </w:r>
          </w:p>
        </w:tc>
      </w:tr>
      <w:tr w:rsidR="00346A6E" w:rsidRPr="002F1920" w14:paraId="280AFE07" w14:textId="77777777" w:rsidTr="00210552">
        <w:trPr>
          <w:trHeight w:val="300"/>
        </w:trPr>
        <w:tc>
          <w:tcPr>
            <w:tcW w:w="3780" w:type="dxa"/>
            <w:tcBorders>
              <w:top w:val="nil"/>
              <w:left w:val="single" w:sz="4" w:space="0" w:color="auto"/>
              <w:bottom w:val="nil"/>
              <w:right w:val="single" w:sz="4" w:space="0" w:color="auto"/>
            </w:tcBorders>
            <w:shd w:val="clear" w:color="auto" w:fill="auto"/>
            <w:noWrap/>
            <w:vAlign w:val="bottom"/>
          </w:tcPr>
          <w:p w14:paraId="352C60D1" w14:textId="77777777" w:rsidR="00346A6E" w:rsidRPr="00346A6E" w:rsidRDefault="00346A6E" w:rsidP="00346A6E">
            <w:pPr>
              <w:jc w:val="center"/>
              <w:rPr>
                <w:rFonts w:eastAsia="Times New Roman"/>
                <w:color w:val="000000"/>
                <w:sz w:val="18"/>
                <w:szCs w:val="18"/>
                <w:lang w:val="en-US"/>
              </w:rPr>
            </w:pPr>
            <w:r>
              <w:rPr>
                <w:rFonts w:eastAsia="Times New Roman"/>
                <w:color w:val="000000"/>
                <w:sz w:val="18"/>
                <w:szCs w:val="18"/>
                <w:lang w:val="en-US"/>
              </w:rPr>
              <w:t>US Dummy</w:t>
            </w:r>
          </w:p>
        </w:tc>
        <w:tc>
          <w:tcPr>
            <w:tcW w:w="990" w:type="dxa"/>
            <w:tcBorders>
              <w:top w:val="nil"/>
              <w:left w:val="nil"/>
              <w:bottom w:val="nil"/>
              <w:right w:val="single" w:sz="4" w:space="0" w:color="auto"/>
            </w:tcBorders>
            <w:shd w:val="clear" w:color="auto" w:fill="auto"/>
            <w:noWrap/>
            <w:vAlign w:val="bottom"/>
          </w:tcPr>
          <w:p w14:paraId="028B0793" w14:textId="77777777" w:rsidR="00346A6E" w:rsidRPr="00346A6E" w:rsidRDefault="00346A6E" w:rsidP="00346A6E">
            <w:pPr>
              <w:jc w:val="center"/>
              <w:rPr>
                <w:rFonts w:eastAsia="Times New Roman"/>
                <w:color w:val="000000"/>
                <w:sz w:val="18"/>
                <w:szCs w:val="18"/>
                <w:lang w:val="en-US"/>
              </w:rPr>
            </w:pPr>
          </w:p>
        </w:tc>
        <w:tc>
          <w:tcPr>
            <w:tcW w:w="990" w:type="dxa"/>
            <w:tcBorders>
              <w:top w:val="nil"/>
              <w:left w:val="nil"/>
              <w:bottom w:val="nil"/>
              <w:right w:val="single" w:sz="4" w:space="0" w:color="auto"/>
            </w:tcBorders>
            <w:shd w:val="clear" w:color="auto" w:fill="auto"/>
            <w:noWrap/>
            <w:vAlign w:val="bottom"/>
          </w:tcPr>
          <w:p w14:paraId="2AAE371E" w14:textId="77777777" w:rsidR="00346A6E" w:rsidRPr="00346A6E" w:rsidRDefault="00346A6E" w:rsidP="00346A6E">
            <w:pPr>
              <w:jc w:val="center"/>
              <w:rPr>
                <w:rFonts w:eastAsia="Times New Roman"/>
                <w:color w:val="000000"/>
                <w:sz w:val="18"/>
                <w:szCs w:val="18"/>
                <w:lang w:val="en-US"/>
              </w:rPr>
            </w:pPr>
          </w:p>
        </w:tc>
        <w:tc>
          <w:tcPr>
            <w:tcW w:w="1080" w:type="dxa"/>
            <w:tcBorders>
              <w:top w:val="nil"/>
              <w:left w:val="nil"/>
              <w:bottom w:val="nil"/>
              <w:right w:val="single" w:sz="4" w:space="0" w:color="auto"/>
            </w:tcBorders>
            <w:shd w:val="clear" w:color="auto" w:fill="auto"/>
            <w:noWrap/>
            <w:vAlign w:val="bottom"/>
          </w:tcPr>
          <w:p w14:paraId="788553E3" w14:textId="77777777" w:rsidR="00346A6E" w:rsidRPr="00346A6E" w:rsidRDefault="00346A6E" w:rsidP="00346A6E">
            <w:pPr>
              <w:jc w:val="center"/>
              <w:rPr>
                <w:rFonts w:eastAsia="Times New Roman"/>
                <w:color w:val="000000"/>
                <w:sz w:val="18"/>
                <w:szCs w:val="18"/>
                <w:lang w:val="en-US"/>
              </w:rPr>
            </w:pPr>
          </w:p>
        </w:tc>
        <w:tc>
          <w:tcPr>
            <w:tcW w:w="990" w:type="dxa"/>
            <w:tcBorders>
              <w:top w:val="nil"/>
              <w:left w:val="nil"/>
              <w:bottom w:val="nil"/>
              <w:right w:val="single" w:sz="4" w:space="0" w:color="auto"/>
            </w:tcBorders>
            <w:vAlign w:val="bottom"/>
          </w:tcPr>
          <w:p w14:paraId="2DF02214" w14:textId="77777777" w:rsidR="00346A6E" w:rsidRPr="00346A6E" w:rsidRDefault="00FD797F" w:rsidP="00210552">
            <w:pPr>
              <w:jc w:val="center"/>
              <w:rPr>
                <w:rFonts w:eastAsia="Times New Roman"/>
                <w:color w:val="000000"/>
                <w:sz w:val="18"/>
                <w:szCs w:val="18"/>
                <w:lang w:val="en-US"/>
              </w:rPr>
            </w:pPr>
            <w:r>
              <w:rPr>
                <w:rFonts w:eastAsia="Times New Roman"/>
                <w:color w:val="000000"/>
                <w:sz w:val="18"/>
                <w:szCs w:val="18"/>
                <w:lang w:val="en-US"/>
              </w:rPr>
              <w:t>-</w:t>
            </w:r>
            <w:r w:rsidR="00210552">
              <w:rPr>
                <w:rFonts w:eastAsia="Times New Roman"/>
                <w:color w:val="000000"/>
                <w:sz w:val="18"/>
                <w:szCs w:val="18"/>
                <w:lang w:val="en-US"/>
              </w:rPr>
              <w:t>0</w:t>
            </w:r>
            <w:r>
              <w:rPr>
                <w:rFonts w:eastAsia="Times New Roman"/>
                <w:color w:val="000000"/>
                <w:sz w:val="18"/>
                <w:szCs w:val="18"/>
                <w:lang w:val="en-US"/>
              </w:rPr>
              <w:t>.160</w:t>
            </w:r>
          </w:p>
        </w:tc>
        <w:tc>
          <w:tcPr>
            <w:tcW w:w="990" w:type="dxa"/>
            <w:tcBorders>
              <w:top w:val="nil"/>
              <w:left w:val="single" w:sz="4" w:space="0" w:color="auto"/>
              <w:bottom w:val="nil"/>
              <w:right w:val="single" w:sz="4" w:space="0" w:color="auto"/>
            </w:tcBorders>
            <w:shd w:val="clear" w:color="auto" w:fill="auto"/>
            <w:noWrap/>
            <w:vAlign w:val="bottom"/>
          </w:tcPr>
          <w:p w14:paraId="7058216B" w14:textId="77777777" w:rsidR="00346A6E" w:rsidRPr="00346A6E" w:rsidRDefault="00346A6E" w:rsidP="00346A6E">
            <w:pPr>
              <w:jc w:val="center"/>
              <w:rPr>
                <w:rFonts w:eastAsia="Times New Roman"/>
                <w:color w:val="000000"/>
                <w:sz w:val="18"/>
                <w:szCs w:val="18"/>
                <w:lang w:val="en-US"/>
              </w:rPr>
            </w:pPr>
          </w:p>
        </w:tc>
        <w:tc>
          <w:tcPr>
            <w:tcW w:w="957" w:type="dxa"/>
            <w:tcBorders>
              <w:top w:val="nil"/>
              <w:left w:val="nil"/>
              <w:bottom w:val="nil"/>
              <w:right w:val="single" w:sz="4" w:space="0" w:color="auto"/>
            </w:tcBorders>
            <w:shd w:val="clear" w:color="auto" w:fill="auto"/>
            <w:noWrap/>
            <w:vAlign w:val="bottom"/>
          </w:tcPr>
          <w:p w14:paraId="00070301" w14:textId="77777777" w:rsidR="00346A6E" w:rsidRPr="00346A6E" w:rsidRDefault="00346A6E" w:rsidP="00346A6E">
            <w:pPr>
              <w:jc w:val="center"/>
              <w:rPr>
                <w:rFonts w:eastAsia="Times New Roman"/>
                <w:color w:val="000000"/>
                <w:sz w:val="18"/>
                <w:szCs w:val="18"/>
                <w:lang w:val="en-US"/>
              </w:rPr>
            </w:pPr>
          </w:p>
        </w:tc>
      </w:tr>
      <w:tr w:rsidR="00346A6E" w:rsidRPr="002F1920" w14:paraId="5C7F3C2B" w14:textId="77777777" w:rsidTr="00210552">
        <w:trPr>
          <w:trHeight w:val="198"/>
        </w:trPr>
        <w:tc>
          <w:tcPr>
            <w:tcW w:w="3780" w:type="dxa"/>
            <w:tcBorders>
              <w:top w:val="nil"/>
              <w:left w:val="single" w:sz="4" w:space="0" w:color="auto"/>
              <w:bottom w:val="nil"/>
              <w:right w:val="single" w:sz="4" w:space="0" w:color="auto"/>
            </w:tcBorders>
            <w:shd w:val="clear" w:color="auto" w:fill="auto"/>
            <w:noWrap/>
            <w:vAlign w:val="bottom"/>
          </w:tcPr>
          <w:p w14:paraId="48C02304" w14:textId="77777777" w:rsidR="00346A6E" w:rsidRPr="00346A6E" w:rsidRDefault="00346A6E" w:rsidP="00346A6E">
            <w:pPr>
              <w:jc w:val="center"/>
              <w:rPr>
                <w:rFonts w:eastAsia="Times New Roman"/>
                <w:color w:val="000000"/>
                <w:sz w:val="18"/>
                <w:szCs w:val="18"/>
                <w:lang w:val="en-US"/>
              </w:rPr>
            </w:pPr>
          </w:p>
        </w:tc>
        <w:tc>
          <w:tcPr>
            <w:tcW w:w="990" w:type="dxa"/>
            <w:tcBorders>
              <w:top w:val="nil"/>
              <w:left w:val="nil"/>
              <w:bottom w:val="nil"/>
              <w:right w:val="single" w:sz="4" w:space="0" w:color="auto"/>
            </w:tcBorders>
            <w:shd w:val="clear" w:color="auto" w:fill="auto"/>
            <w:noWrap/>
            <w:vAlign w:val="bottom"/>
          </w:tcPr>
          <w:p w14:paraId="0E0C3B14" w14:textId="77777777" w:rsidR="00346A6E" w:rsidRPr="00346A6E" w:rsidRDefault="00346A6E" w:rsidP="00346A6E">
            <w:pPr>
              <w:jc w:val="center"/>
              <w:rPr>
                <w:rFonts w:eastAsia="Times New Roman"/>
                <w:color w:val="000000"/>
                <w:sz w:val="18"/>
                <w:szCs w:val="18"/>
                <w:lang w:val="en-US"/>
              </w:rPr>
            </w:pPr>
          </w:p>
        </w:tc>
        <w:tc>
          <w:tcPr>
            <w:tcW w:w="990" w:type="dxa"/>
            <w:tcBorders>
              <w:top w:val="nil"/>
              <w:left w:val="nil"/>
              <w:bottom w:val="nil"/>
              <w:right w:val="single" w:sz="4" w:space="0" w:color="auto"/>
            </w:tcBorders>
            <w:shd w:val="clear" w:color="auto" w:fill="auto"/>
            <w:noWrap/>
            <w:vAlign w:val="bottom"/>
          </w:tcPr>
          <w:p w14:paraId="064333F4" w14:textId="77777777" w:rsidR="00346A6E" w:rsidRPr="00346A6E" w:rsidRDefault="00346A6E" w:rsidP="00346A6E">
            <w:pPr>
              <w:jc w:val="center"/>
              <w:rPr>
                <w:rFonts w:eastAsia="Times New Roman"/>
                <w:color w:val="000000"/>
                <w:sz w:val="18"/>
                <w:szCs w:val="18"/>
                <w:lang w:val="en-US"/>
              </w:rPr>
            </w:pPr>
          </w:p>
        </w:tc>
        <w:tc>
          <w:tcPr>
            <w:tcW w:w="1080" w:type="dxa"/>
            <w:tcBorders>
              <w:top w:val="nil"/>
              <w:left w:val="nil"/>
              <w:bottom w:val="nil"/>
              <w:right w:val="single" w:sz="4" w:space="0" w:color="auto"/>
            </w:tcBorders>
            <w:shd w:val="clear" w:color="auto" w:fill="auto"/>
            <w:noWrap/>
            <w:vAlign w:val="bottom"/>
          </w:tcPr>
          <w:p w14:paraId="5B2CC845" w14:textId="77777777" w:rsidR="00346A6E" w:rsidRPr="00346A6E" w:rsidRDefault="00346A6E" w:rsidP="00346A6E">
            <w:pPr>
              <w:jc w:val="center"/>
              <w:rPr>
                <w:rFonts w:eastAsia="Times New Roman"/>
                <w:color w:val="000000"/>
                <w:sz w:val="18"/>
                <w:szCs w:val="18"/>
                <w:lang w:val="en-US"/>
              </w:rPr>
            </w:pPr>
          </w:p>
        </w:tc>
        <w:tc>
          <w:tcPr>
            <w:tcW w:w="990" w:type="dxa"/>
            <w:tcBorders>
              <w:top w:val="nil"/>
              <w:left w:val="nil"/>
              <w:bottom w:val="nil"/>
              <w:right w:val="single" w:sz="4" w:space="0" w:color="auto"/>
            </w:tcBorders>
            <w:vAlign w:val="bottom"/>
          </w:tcPr>
          <w:p w14:paraId="600BD47C" w14:textId="77777777" w:rsidR="00346A6E" w:rsidRPr="00346A6E" w:rsidRDefault="00210552" w:rsidP="00210552">
            <w:pPr>
              <w:jc w:val="center"/>
              <w:rPr>
                <w:rFonts w:eastAsia="Times New Roman"/>
                <w:color w:val="000000"/>
                <w:sz w:val="18"/>
                <w:szCs w:val="18"/>
                <w:lang w:val="en-US"/>
              </w:rPr>
            </w:pPr>
            <w:r>
              <w:rPr>
                <w:rFonts w:eastAsia="Times New Roman"/>
                <w:color w:val="000000"/>
                <w:sz w:val="18"/>
                <w:szCs w:val="18"/>
                <w:lang w:val="en-US"/>
              </w:rPr>
              <w:t>(0.590)</w:t>
            </w:r>
          </w:p>
        </w:tc>
        <w:tc>
          <w:tcPr>
            <w:tcW w:w="990" w:type="dxa"/>
            <w:tcBorders>
              <w:top w:val="nil"/>
              <w:left w:val="single" w:sz="4" w:space="0" w:color="auto"/>
              <w:bottom w:val="nil"/>
              <w:right w:val="single" w:sz="4" w:space="0" w:color="auto"/>
            </w:tcBorders>
            <w:shd w:val="clear" w:color="auto" w:fill="auto"/>
            <w:noWrap/>
            <w:vAlign w:val="bottom"/>
          </w:tcPr>
          <w:p w14:paraId="40E37595" w14:textId="77777777" w:rsidR="00346A6E" w:rsidRPr="00346A6E" w:rsidRDefault="00346A6E" w:rsidP="00346A6E">
            <w:pPr>
              <w:jc w:val="center"/>
              <w:rPr>
                <w:rFonts w:eastAsia="Times New Roman"/>
                <w:color w:val="000000"/>
                <w:sz w:val="18"/>
                <w:szCs w:val="18"/>
                <w:lang w:val="en-US"/>
              </w:rPr>
            </w:pPr>
          </w:p>
        </w:tc>
        <w:tc>
          <w:tcPr>
            <w:tcW w:w="957" w:type="dxa"/>
            <w:tcBorders>
              <w:top w:val="nil"/>
              <w:left w:val="nil"/>
              <w:bottom w:val="nil"/>
              <w:right w:val="single" w:sz="4" w:space="0" w:color="auto"/>
            </w:tcBorders>
            <w:shd w:val="clear" w:color="auto" w:fill="auto"/>
            <w:noWrap/>
            <w:vAlign w:val="bottom"/>
          </w:tcPr>
          <w:p w14:paraId="7122BB7A" w14:textId="77777777" w:rsidR="00346A6E" w:rsidRPr="00346A6E" w:rsidRDefault="00346A6E" w:rsidP="00346A6E">
            <w:pPr>
              <w:jc w:val="center"/>
              <w:rPr>
                <w:rFonts w:eastAsia="Times New Roman"/>
                <w:color w:val="000000"/>
                <w:sz w:val="18"/>
                <w:szCs w:val="18"/>
                <w:lang w:val="en-US"/>
              </w:rPr>
            </w:pPr>
          </w:p>
        </w:tc>
      </w:tr>
      <w:tr w:rsidR="00346A6E" w:rsidRPr="002F1920" w14:paraId="2A0B1416" w14:textId="77777777" w:rsidTr="00210552">
        <w:trPr>
          <w:trHeight w:val="300"/>
        </w:trPr>
        <w:tc>
          <w:tcPr>
            <w:tcW w:w="3780" w:type="dxa"/>
            <w:tcBorders>
              <w:top w:val="nil"/>
              <w:left w:val="single" w:sz="4" w:space="0" w:color="auto"/>
              <w:bottom w:val="nil"/>
              <w:right w:val="single" w:sz="4" w:space="0" w:color="auto"/>
            </w:tcBorders>
            <w:shd w:val="clear" w:color="auto" w:fill="auto"/>
            <w:noWrap/>
            <w:vAlign w:val="bottom"/>
          </w:tcPr>
          <w:p w14:paraId="18341969" w14:textId="77777777" w:rsidR="00346A6E" w:rsidRPr="00346A6E" w:rsidRDefault="00346A6E" w:rsidP="00346A6E">
            <w:pPr>
              <w:jc w:val="center"/>
              <w:rPr>
                <w:rFonts w:eastAsia="Times New Roman"/>
                <w:color w:val="000000"/>
                <w:sz w:val="18"/>
                <w:szCs w:val="18"/>
                <w:lang w:val="en-US"/>
              </w:rPr>
            </w:pPr>
            <w:r>
              <w:rPr>
                <w:rFonts w:eastAsia="Times New Roman"/>
                <w:color w:val="000000"/>
                <w:sz w:val="18"/>
                <w:szCs w:val="18"/>
                <w:lang w:val="en-US"/>
              </w:rPr>
              <w:t>UK Dummy</w:t>
            </w:r>
          </w:p>
        </w:tc>
        <w:tc>
          <w:tcPr>
            <w:tcW w:w="990" w:type="dxa"/>
            <w:tcBorders>
              <w:top w:val="nil"/>
              <w:left w:val="nil"/>
              <w:bottom w:val="nil"/>
              <w:right w:val="single" w:sz="4" w:space="0" w:color="auto"/>
            </w:tcBorders>
            <w:shd w:val="clear" w:color="auto" w:fill="auto"/>
            <w:noWrap/>
            <w:vAlign w:val="bottom"/>
          </w:tcPr>
          <w:p w14:paraId="21BF982E" w14:textId="77777777" w:rsidR="00346A6E" w:rsidRPr="00346A6E" w:rsidRDefault="00346A6E" w:rsidP="00346A6E">
            <w:pPr>
              <w:jc w:val="center"/>
              <w:rPr>
                <w:rFonts w:eastAsia="Times New Roman"/>
                <w:color w:val="000000"/>
                <w:sz w:val="18"/>
                <w:szCs w:val="18"/>
                <w:lang w:val="en-US"/>
              </w:rPr>
            </w:pPr>
          </w:p>
        </w:tc>
        <w:tc>
          <w:tcPr>
            <w:tcW w:w="990" w:type="dxa"/>
            <w:tcBorders>
              <w:top w:val="nil"/>
              <w:left w:val="nil"/>
              <w:bottom w:val="nil"/>
              <w:right w:val="single" w:sz="4" w:space="0" w:color="auto"/>
            </w:tcBorders>
            <w:shd w:val="clear" w:color="auto" w:fill="auto"/>
            <w:noWrap/>
            <w:vAlign w:val="bottom"/>
          </w:tcPr>
          <w:p w14:paraId="4E3DD7AE" w14:textId="77777777" w:rsidR="00346A6E" w:rsidRPr="00346A6E" w:rsidRDefault="00346A6E" w:rsidP="00346A6E">
            <w:pPr>
              <w:jc w:val="center"/>
              <w:rPr>
                <w:rFonts w:eastAsia="Times New Roman"/>
                <w:color w:val="000000"/>
                <w:sz w:val="18"/>
                <w:szCs w:val="18"/>
                <w:lang w:val="en-US"/>
              </w:rPr>
            </w:pPr>
          </w:p>
        </w:tc>
        <w:tc>
          <w:tcPr>
            <w:tcW w:w="1080" w:type="dxa"/>
            <w:tcBorders>
              <w:top w:val="nil"/>
              <w:left w:val="nil"/>
              <w:bottom w:val="nil"/>
              <w:right w:val="single" w:sz="4" w:space="0" w:color="auto"/>
            </w:tcBorders>
            <w:shd w:val="clear" w:color="auto" w:fill="auto"/>
            <w:noWrap/>
            <w:vAlign w:val="bottom"/>
          </w:tcPr>
          <w:p w14:paraId="3588062D" w14:textId="77777777" w:rsidR="00346A6E" w:rsidRPr="00346A6E" w:rsidRDefault="00346A6E" w:rsidP="00346A6E">
            <w:pPr>
              <w:jc w:val="center"/>
              <w:rPr>
                <w:rFonts w:eastAsia="Times New Roman"/>
                <w:color w:val="000000"/>
                <w:sz w:val="18"/>
                <w:szCs w:val="18"/>
                <w:lang w:val="en-US"/>
              </w:rPr>
            </w:pPr>
          </w:p>
        </w:tc>
        <w:tc>
          <w:tcPr>
            <w:tcW w:w="990" w:type="dxa"/>
            <w:tcBorders>
              <w:top w:val="nil"/>
              <w:left w:val="nil"/>
              <w:bottom w:val="nil"/>
              <w:right w:val="single" w:sz="4" w:space="0" w:color="auto"/>
            </w:tcBorders>
            <w:vAlign w:val="bottom"/>
          </w:tcPr>
          <w:p w14:paraId="3E61CFA1" w14:textId="77777777" w:rsidR="00346A6E" w:rsidRPr="00346A6E" w:rsidRDefault="00210552" w:rsidP="00210552">
            <w:pPr>
              <w:jc w:val="center"/>
              <w:rPr>
                <w:rFonts w:eastAsia="Times New Roman"/>
                <w:color w:val="000000"/>
                <w:sz w:val="18"/>
                <w:szCs w:val="18"/>
                <w:lang w:val="en-US"/>
              </w:rPr>
            </w:pPr>
            <w:r>
              <w:rPr>
                <w:rFonts w:eastAsia="Times New Roman"/>
                <w:color w:val="000000"/>
                <w:sz w:val="18"/>
                <w:szCs w:val="18"/>
                <w:lang w:val="en-US"/>
              </w:rPr>
              <w:t>2.225***</w:t>
            </w:r>
          </w:p>
        </w:tc>
        <w:tc>
          <w:tcPr>
            <w:tcW w:w="990" w:type="dxa"/>
            <w:tcBorders>
              <w:top w:val="nil"/>
              <w:left w:val="single" w:sz="4" w:space="0" w:color="auto"/>
              <w:bottom w:val="nil"/>
              <w:right w:val="single" w:sz="4" w:space="0" w:color="auto"/>
            </w:tcBorders>
            <w:shd w:val="clear" w:color="auto" w:fill="auto"/>
            <w:noWrap/>
            <w:vAlign w:val="bottom"/>
          </w:tcPr>
          <w:p w14:paraId="496720D0" w14:textId="77777777" w:rsidR="00346A6E" w:rsidRPr="00346A6E" w:rsidRDefault="00346A6E" w:rsidP="00346A6E">
            <w:pPr>
              <w:jc w:val="center"/>
              <w:rPr>
                <w:rFonts w:eastAsia="Times New Roman"/>
                <w:color w:val="000000"/>
                <w:sz w:val="18"/>
                <w:szCs w:val="18"/>
                <w:lang w:val="en-US"/>
              </w:rPr>
            </w:pPr>
          </w:p>
        </w:tc>
        <w:tc>
          <w:tcPr>
            <w:tcW w:w="957" w:type="dxa"/>
            <w:tcBorders>
              <w:top w:val="nil"/>
              <w:left w:val="nil"/>
              <w:bottom w:val="nil"/>
              <w:right w:val="single" w:sz="4" w:space="0" w:color="auto"/>
            </w:tcBorders>
            <w:shd w:val="clear" w:color="auto" w:fill="auto"/>
            <w:noWrap/>
            <w:vAlign w:val="bottom"/>
          </w:tcPr>
          <w:p w14:paraId="1462B6CA" w14:textId="77777777" w:rsidR="00346A6E" w:rsidRPr="00346A6E" w:rsidRDefault="00346A6E" w:rsidP="00346A6E">
            <w:pPr>
              <w:jc w:val="center"/>
              <w:rPr>
                <w:rFonts w:eastAsia="Times New Roman"/>
                <w:color w:val="000000"/>
                <w:sz w:val="18"/>
                <w:szCs w:val="18"/>
                <w:lang w:val="en-US"/>
              </w:rPr>
            </w:pPr>
          </w:p>
        </w:tc>
      </w:tr>
      <w:tr w:rsidR="00346A6E" w:rsidRPr="002F1920" w14:paraId="5549B5D6" w14:textId="77777777" w:rsidTr="00210552">
        <w:trPr>
          <w:trHeight w:val="234"/>
        </w:trPr>
        <w:tc>
          <w:tcPr>
            <w:tcW w:w="3780" w:type="dxa"/>
            <w:tcBorders>
              <w:top w:val="nil"/>
              <w:left w:val="single" w:sz="4" w:space="0" w:color="auto"/>
              <w:bottom w:val="nil"/>
              <w:right w:val="single" w:sz="4" w:space="0" w:color="auto"/>
            </w:tcBorders>
            <w:shd w:val="clear" w:color="auto" w:fill="auto"/>
            <w:noWrap/>
            <w:vAlign w:val="bottom"/>
          </w:tcPr>
          <w:p w14:paraId="060E6C62" w14:textId="77777777" w:rsidR="00346A6E" w:rsidRPr="00346A6E" w:rsidRDefault="00346A6E" w:rsidP="00346A6E">
            <w:pPr>
              <w:jc w:val="center"/>
              <w:rPr>
                <w:rFonts w:eastAsia="Times New Roman"/>
                <w:color w:val="000000"/>
                <w:sz w:val="18"/>
                <w:szCs w:val="18"/>
                <w:lang w:val="en-US"/>
              </w:rPr>
            </w:pPr>
          </w:p>
        </w:tc>
        <w:tc>
          <w:tcPr>
            <w:tcW w:w="990" w:type="dxa"/>
            <w:tcBorders>
              <w:top w:val="nil"/>
              <w:left w:val="nil"/>
              <w:bottom w:val="nil"/>
              <w:right w:val="single" w:sz="4" w:space="0" w:color="auto"/>
            </w:tcBorders>
            <w:shd w:val="clear" w:color="auto" w:fill="auto"/>
            <w:noWrap/>
            <w:vAlign w:val="bottom"/>
          </w:tcPr>
          <w:p w14:paraId="72609DA7" w14:textId="77777777" w:rsidR="00346A6E" w:rsidRPr="00346A6E" w:rsidRDefault="00346A6E" w:rsidP="00346A6E">
            <w:pPr>
              <w:jc w:val="center"/>
              <w:rPr>
                <w:rFonts w:eastAsia="Times New Roman"/>
                <w:color w:val="000000"/>
                <w:sz w:val="18"/>
                <w:szCs w:val="18"/>
                <w:lang w:val="en-US"/>
              </w:rPr>
            </w:pPr>
          </w:p>
        </w:tc>
        <w:tc>
          <w:tcPr>
            <w:tcW w:w="990" w:type="dxa"/>
            <w:tcBorders>
              <w:top w:val="nil"/>
              <w:left w:val="nil"/>
              <w:bottom w:val="nil"/>
              <w:right w:val="single" w:sz="4" w:space="0" w:color="auto"/>
            </w:tcBorders>
            <w:shd w:val="clear" w:color="auto" w:fill="auto"/>
            <w:noWrap/>
            <w:vAlign w:val="bottom"/>
          </w:tcPr>
          <w:p w14:paraId="7F8CF664" w14:textId="77777777" w:rsidR="00346A6E" w:rsidRPr="00346A6E" w:rsidRDefault="00346A6E" w:rsidP="00346A6E">
            <w:pPr>
              <w:jc w:val="center"/>
              <w:rPr>
                <w:rFonts w:eastAsia="Times New Roman"/>
                <w:color w:val="000000"/>
                <w:sz w:val="18"/>
                <w:szCs w:val="18"/>
                <w:lang w:val="en-US"/>
              </w:rPr>
            </w:pPr>
          </w:p>
        </w:tc>
        <w:tc>
          <w:tcPr>
            <w:tcW w:w="1080" w:type="dxa"/>
            <w:tcBorders>
              <w:top w:val="nil"/>
              <w:left w:val="nil"/>
              <w:bottom w:val="nil"/>
              <w:right w:val="single" w:sz="4" w:space="0" w:color="auto"/>
            </w:tcBorders>
            <w:shd w:val="clear" w:color="auto" w:fill="auto"/>
            <w:noWrap/>
            <w:vAlign w:val="bottom"/>
          </w:tcPr>
          <w:p w14:paraId="5DD55BBA" w14:textId="77777777" w:rsidR="00346A6E" w:rsidRPr="00346A6E" w:rsidRDefault="00346A6E" w:rsidP="00346A6E">
            <w:pPr>
              <w:jc w:val="center"/>
              <w:rPr>
                <w:rFonts w:eastAsia="Times New Roman"/>
                <w:color w:val="000000"/>
                <w:sz w:val="18"/>
                <w:szCs w:val="18"/>
                <w:lang w:val="en-US"/>
              </w:rPr>
            </w:pPr>
          </w:p>
        </w:tc>
        <w:tc>
          <w:tcPr>
            <w:tcW w:w="990" w:type="dxa"/>
            <w:tcBorders>
              <w:top w:val="nil"/>
              <w:left w:val="nil"/>
              <w:bottom w:val="nil"/>
              <w:right w:val="single" w:sz="4" w:space="0" w:color="auto"/>
            </w:tcBorders>
            <w:vAlign w:val="bottom"/>
          </w:tcPr>
          <w:p w14:paraId="5D2CE315" w14:textId="77777777" w:rsidR="00346A6E" w:rsidRPr="00210552" w:rsidRDefault="00210552" w:rsidP="00210552">
            <w:pPr>
              <w:jc w:val="center"/>
              <w:rPr>
                <w:rFonts w:eastAsia="Times New Roman"/>
                <w:b/>
                <w:color w:val="000000"/>
                <w:sz w:val="18"/>
                <w:szCs w:val="18"/>
                <w:lang w:val="en-US"/>
              </w:rPr>
            </w:pPr>
            <w:r>
              <w:rPr>
                <w:rFonts w:eastAsia="Times New Roman"/>
                <w:color w:val="000000"/>
                <w:sz w:val="18"/>
                <w:szCs w:val="18"/>
                <w:lang w:val="en-US"/>
              </w:rPr>
              <w:t>(0</w:t>
            </w:r>
            <w:r w:rsidRPr="00210552">
              <w:rPr>
                <w:rFonts w:eastAsia="Times New Roman"/>
                <w:color w:val="000000"/>
                <w:sz w:val="18"/>
                <w:szCs w:val="18"/>
                <w:lang w:val="en-US"/>
              </w:rPr>
              <w:t>.420</w:t>
            </w:r>
            <w:r>
              <w:rPr>
                <w:rFonts w:eastAsia="Times New Roman"/>
                <w:color w:val="000000"/>
                <w:sz w:val="18"/>
                <w:szCs w:val="18"/>
                <w:lang w:val="en-US"/>
              </w:rPr>
              <w:t>)</w:t>
            </w:r>
          </w:p>
        </w:tc>
        <w:tc>
          <w:tcPr>
            <w:tcW w:w="990" w:type="dxa"/>
            <w:tcBorders>
              <w:top w:val="nil"/>
              <w:left w:val="single" w:sz="4" w:space="0" w:color="auto"/>
              <w:bottom w:val="nil"/>
              <w:right w:val="single" w:sz="4" w:space="0" w:color="auto"/>
            </w:tcBorders>
            <w:shd w:val="clear" w:color="auto" w:fill="auto"/>
            <w:noWrap/>
            <w:vAlign w:val="bottom"/>
          </w:tcPr>
          <w:p w14:paraId="1E1087C7" w14:textId="77777777" w:rsidR="00346A6E" w:rsidRPr="00346A6E" w:rsidRDefault="00346A6E" w:rsidP="00346A6E">
            <w:pPr>
              <w:jc w:val="center"/>
              <w:rPr>
                <w:rFonts w:eastAsia="Times New Roman"/>
                <w:color w:val="000000"/>
                <w:sz w:val="18"/>
                <w:szCs w:val="18"/>
                <w:lang w:val="en-US"/>
              </w:rPr>
            </w:pPr>
          </w:p>
        </w:tc>
        <w:tc>
          <w:tcPr>
            <w:tcW w:w="957" w:type="dxa"/>
            <w:tcBorders>
              <w:top w:val="nil"/>
              <w:left w:val="nil"/>
              <w:bottom w:val="nil"/>
              <w:right w:val="single" w:sz="4" w:space="0" w:color="auto"/>
            </w:tcBorders>
            <w:shd w:val="clear" w:color="auto" w:fill="auto"/>
            <w:noWrap/>
            <w:vAlign w:val="bottom"/>
          </w:tcPr>
          <w:p w14:paraId="7B35AD63" w14:textId="77777777" w:rsidR="00346A6E" w:rsidRPr="00346A6E" w:rsidRDefault="00346A6E" w:rsidP="00346A6E">
            <w:pPr>
              <w:jc w:val="center"/>
              <w:rPr>
                <w:rFonts w:eastAsia="Times New Roman"/>
                <w:color w:val="000000"/>
                <w:sz w:val="18"/>
                <w:szCs w:val="18"/>
                <w:lang w:val="en-US"/>
              </w:rPr>
            </w:pPr>
          </w:p>
        </w:tc>
      </w:tr>
      <w:tr w:rsidR="00346A6E" w:rsidRPr="002F1920" w14:paraId="506D1A8C" w14:textId="77777777" w:rsidTr="00210552">
        <w:trPr>
          <w:trHeight w:val="300"/>
        </w:trPr>
        <w:tc>
          <w:tcPr>
            <w:tcW w:w="3780" w:type="dxa"/>
            <w:tcBorders>
              <w:top w:val="nil"/>
              <w:left w:val="single" w:sz="4" w:space="0" w:color="auto"/>
              <w:bottom w:val="nil"/>
              <w:right w:val="single" w:sz="4" w:space="0" w:color="auto"/>
            </w:tcBorders>
            <w:shd w:val="clear" w:color="auto" w:fill="auto"/>
            <w:noWrap/>
            <w:vAlign w:val="bottom"/>
          </w:tcPr>
          <w:p w14:paraId="07D1AAC9" w14:textId="4B667FF3" w:rsidR="00346A6E" w:rsidRPr="00346A6E" w:rsidRDefault="00346A6E" w:rsidP="00346A6E">
            <w:pPr>
              <w:jc w:val="center"/>
              <w:rPr>
                <w:rFonts w:eastAsia="Times New Roman"/>
                <w:color w:val="000000"/>
                <w:sz w:val="18"/>
                <w:szCs w:val="18"/>
                <w:lang w:val="en-US"/>
              </w:rPr>
            </w:pPr>
            <w:r>
              <w:rPr>
                <w:rFonts w:eastAsia="Times New Roman"/>
                <w:color w:val="000000"/>
                <w:sz w:val="18"/>
                <w:szCs w:val="18"/>
                <w:lang w:val="en-US"/>
              </w:rPr>
              <w:t>US*</w:t>
            </w:r>
            <w:r w:rsidR="008D2BC9">
              <w:rPr>
                <w:rFonts w:eastAsia="Times New Roman"/>
                <w:color w:val="000000"/>
                <w:sz w:val="18"/>
                <w:szCs w:val="18"/>
                <w:lang w:val="en-US"/>
              </w:rPr>
              <w:t xml:space="preserve"> Real Income Growth</w:t>
            </w:r>
            <w:r w:rsidRPr="00346A6E">
              <w:rPr>
                <w:rFonts w:eastAsia="Times New Roman"/>
                <w:color w:val="000000"/>
                <w:sz w:val="18"/>
                <w:szCs w:val="18"/>
                <w:lang w:val="en-US"/>
              </w:rPr>
              <w:t>(t-1)</w:t>
            </w:r>
          </w:p>
        </w:tc>
        <w:tc>
          <w:tcPr>
            <w:tcW w:w="990" w:type="dxa"/>
            <w:tcBorders>
              <w:top w:val="nil"/>
              <w:left w:val="nil"/>
              <w:bottom w:val="nil"/>
              <w:right w:val="single" w:sz="4" w:space="0" w:color="auto"/>
            </w:tcBorders>
            <w:shd w:val="clear" w:color="auto" w:fill="auto"/>
            <w:noWrap/>
            <w:vAlign w:val="bottom"/>
          </w:tcPr>
          <w:p w14:paraId="1191A4E8" w14:textId="77777777" w:rsidR="00346A6E" w:rsidRPr="00346A6E" w:rsidRDefault="00346A6E" w:rsidP="00346A6E">
            <w:pPr>
              <w:jc w:val="center"/>
              <w:rPr>
                <w:rFonts w:eastAsia="Times New Roman"/>
                <w:color w:val="000000"/>
                <w:sz w:val="18"/>
                <w:szCs w:val="18"/>
                <w:lang w:val="en-US"/>
              </w:rPr>
            </w:pPr>
          </w:p>
        </w:tc>
        <w:tc>
          <w:tcPr>
            <w:tcW w:w="990" w:type="dxa"/>
            <w:tcBorders>
              <w:top w:val="nil"/>
              <w:left w:val="nil"/>
              <w:bottom w:val="nil"/>
              <w:right w:val="single" w:sz="4" w:space="0" w:color="auto"/>
            </w:tcBorders>
            <w:shd w:val="clear" w:color="auto" w:fill="auto"/>
            <w:noWrap/>
            <w:vAlign w:val="bottom"/>
          </w:tcPr>
          <w:p w14:paraId="1B70217D" w14:textId="77777777" w:rsidR="00346A6E" w:rsidRPr="00346A6E" w:rsidRDefault="00346A6E" w:rsidP="00346A6E">
            <w:pPr>
              <w:jc w:val="center"/>
              <w:rPr>
                <w:rFonts w:eastAsia="Times New Roman"/>
                <w:color w:val="000000"/>
                <w:sz w:val="18"/>
                <w:szCs w:val="18"/>
                <w:lang w:val="en-US"/>
              </w:rPr>
            </w:pPr>
          </w:p>
        </w:tc>
        <w:tc>
          <w:tcPr>
            <w:tcW w:w="1080" w:type="dxa"/>
            <w:tcBorders>
              <w:top w:val="nil"/>
              <w:left w:val="nil"/>
              <w:bottom w:val="nil"/>
              <w:right w:val="single" w:sz="4" w:space="0" w:color="auto"/>
            </w:tcBorders>
            <w:shd w:val="clear" w:color="auto" w:fill="auto"/>
            <w:noWrap/>
            <w:vAlign w:val="bottom"/>
          </w:tcPr>
          <w:p w14:paraId="37C17DA5" w14:textId="77777777" w:rsidR="00346A6E" w:rsidRPr="00346A6E" w:rsidRDefault="00346A6E" w:rsidP="00346A6E">
            <w:pPr>
              <w:jc w:val="center"/>
              <w:rPr>
                <w:rFonts w:eastAsia="Times New Roman"/>
                <w:color w:val="000000"/>
                <w:sz w:val="18"/>
                <w:szCs w:val="18"/>
                <w:lang w:val="en-US"/>
              </w:rPr>
            </w:pPr>
          </w:p>
        </w:tc>
        <w:tc>
          <w:tcPr>
            <w:tcW w:w="990" w:type="dxa"/>
            <w:tcBorders>
              <w:top w:val="nil"/>
              <w:left w:val="nil"/>
              <w:bottom w:val="nil"/>
              <w:right w:val="single" w:sz="4" w:space="0" w:color="auto"/>
            </w:tcBorders>
            <w:vAlign w:val="bottom"/>
          </w:tcPr>
          <w:p w14:paraId="14FDF67D" w14:textId="77777777" w:rsidR="00346A6E" w:rsidRPr="00346A6E" w:rsidRDefault="00210552" w:rsidP="00210552">
            <w:pPr>
              <w:jc w:val="center"/>
              <w:rPr>
                <w:rFonts w:eastAsia="Times New Roman"/>
                <w:color w:val="000000"/>
                <w:sz w:val="18"/>
                <w:szCs w:val="18"/>
                <w:lang w:val="en-US"/>
              </w:rPr>
            </w:pPr>
            <w:r>
              <w:rPr>
                <w:rFonts w:eastAsia="Times New Roman"/>
                <w:color w:val="000000"/>
                <w:sz w:val="18"/>
                <w:szCs w:val="18"/>
                <w:lang w:val="en-US"/>
              </w:rPr>
              <w:t>-2.164***</w:t>
            </w:r>
          </w:p>
        </w:tc>
        <w:tc>
          <w:tcPr>
            <w:tcW w:w="990" w:type="dxa"/>
            <w:tcBorders>
              <w:top w:val="nil"/>
              <w:left w:val="single" w:sz="4" w:space="0" w:color="auto"/>
              <w:bottom w:val="nil"/>
              <w:right w:val="single" w:sz="4" w:space="0" w:color="auto"/>
            </w:tcBorders>
            <w:shd w:val="clear" w:color="auto" w:fill="auto"/>
            <w:noWrap/>
            <w:vAlign w:val="bottom"/>
          </w:tcPr>
          <w:p w14:paraId="6DE5E130" w14:textId="77777777" w:rsidR="00346A6E" w:rsidRPr="00346A6E" w:rsidRDefault="00346A6E" w:rsidP="00346A6E">
            <w:pPr>
              <w:jc w:val="center"/>
              <w:rPr>
                <w:rFonts w:eastAsia="Times New Roman"/>
                <w:color w:val="000000"/>
                <w:sz w:val="18"/>
                <w:szCs w:val="18"/>
                <w:lang w:val="en-US"/>
              </w:rPr>
            </w:pPr>
          </w:p>
        </w:tc>
        <w:tc>
          <w:tcPr>
            <w:tcW w:w="957" w:type="dxa"/>
            <w:tcBorders>
              <w:top w:val="nil"/>
              <w:left w:val="nil"/>
              <w:bottom w:val="nil"/>
              <w:right w:val="single" w:sz="4" w:space="0" w:color="auto"/>
            </w:tcBorders>
            <w:shd w:val="clear" w:color="auto" w:fill="auto"/>
            <w:noWrap/>
            <w:vAlign w:val="bottom"/>
          </w:tcPr>
          <w:p w14:paraId="26FCEF17" w14:textId="77777777" w:rsidR="00346A6E" w:rsidRPr="00346A6E" w:rsidRDefault="00346A6E" w:rsidP="00346A6E">
            <w:pPr>
              <w:jc w:val="center"/>
              <w:rPr>
                <w:rFonts w:eastAsia="Times New Roman"/>
                <w:color w:val="000000"/>
                <w:sz w:val="18"/>
                <w:szCs w:val="18"/>
                <w:lang w:val="en-US"/>
              </w:rPr>
            </w:pPr>
          </w:p>
        </w:tc>
      </w:tr>
      <w:tr w:rsidR="00346A6E" w:rsidRPr="002F1920" w14:paraId="14DFEB8F" w14:textId="77777777" w:rsidTr="00210552">
        <w:trPr>
          <w:trHeight w:val="243"/>
        </w:trPr>
        <w:tc>
          <w:tcPr>
            <w:tcW w:w="3780" w:type="dxa"/>
            <w:tcBorders>
              <w:top w:val="nil"/>
              <w:left w:val="single" w:sz="4" w:space="0" w:color="auto"/>
              <w:bottom w:val="nil"/>
              <w:right w:val="single" w:sz="4" w:space="0" w:color="auto"/>
            </w:tcBorders>
            <w:shd w:val="clear" w:color="auto" w:fill="auto"/>
            <w:noWrap/>
            <w:vAlign w:val="bottom"/>
          </w:tcPr>
          <w:p w14:paraId="04A05ADC" w14:textId="77777777" w:rsidR="00346A6E" w:rsidRPr="00346A6E" w:rsidRDefault="00346A6E" w:rsidP="00346A6E">
            <w:pPr>
              <w:jc w:val="center"/>
              <w:rPr>
                <w:rFonts w:eastAsia="Times New Roman"/>
                <w:color w:val="000000"/>
                <w:sz w:val="18"/>
                <w:szCs w:val="18"/>
                <w:lang w:val="en-US"/>
              </w:rPr>
            </w:pPr>
          </w:p>
        </w:tc>
        <w:tc>
          <w:tcPr>
            <w:tcW w:w="990" w:type="dxa"/>
            <w:tcBorders>
              <w:top w:val="nil"/>
              <w:left w:val="nil"/>
              <w:bottom w:val="nil"/>
              <w:right w:val="single" w:sz="4" w:space="0" w:color="auto"/>
            </w:tcBorders>
            <w:shd w:val="clear" w:color="auto" w:fill="auto"/>
            <w:noWrap/>
            <w:vAlign w:val="bottom"/>
          </w:tcPr>
          <w:p w14:paraId="16CA4FEA" w14:textId="77777777" w:rsidR="00346A6E" w:rsidRPr="00346A6E" w:rsidRDefault="00346A6E" w:rsidP="00346A6E">
            <w:pPr>
              <w:jc w:val="center"/>
              <w:rPr>
                <w:rFonts w:eastAsia="Times New Roman"/>
                <w:color w:val="000000"/>
                <w:sz w:val="18"/>
                <w:szCs w:val="18"/>
                <w:lang w:val="en-US"/>
              </w:rPr>
            </w:pPr>
          </w:p>
        </w:tc>
        <w:tc>
          <w:tcPr>
            <w:tcW w:w="990" w:type="dxa"/>
            <w:tcBorders>
              <w:top w:val="nil"/>
              <w:left w:val="nil"/>
              <w:bottom w:val="nil"/>
              <w:right w:val="single" w:sz="4" w:space="0" w:color="auto"/>
            </w:tcBorders>
            <w:shd w:val="clear" w:color="auto" w:fill="auto"/>
            <w:noWrap/>
            <w:vAlign w:val="bottom"/>
          </w:tcPr>
          <w:p w14:paraId="6A687B01" w14:textId="77777777" w:rsidR="00346A6E" w:rsidRPr="00346A6E" w:rsidRDefault="00346A6E" w:rsidP="00346A6E">
            <w:pPr>
              <w:jc w:val="center"/>
              <w:rPr>
                <w:rFonts w:eastAsia="Times New Roman"/>
                <w:color w:val="000000"/>
                <w:sz w:val="18"/>
                <w:szCs w:val="18"/>
                <w:lang w:val="en-US"/>
              </w:rPr>
            </w:pPr>
          </w:p>
        </w:tc>
        <w:tc>
          <w:tcPr>
            <w:tcW w:w="1080" w:type="dxa"/>
            <w:tcBorders>
              <w:top w:val="nil"/>
              <w:left w:val="nil"/>
              <w:bottom w:val="nil"/>
              <w:right w:val="single" w:sz="4" w:space="0" w:color="auto"/>
            </w:tcBorders>
            <w:shd w:val="clear" w:color="auto" w:fill="auto"/>
            <w:noWrap/>
            <w:vAlign w:val="bottom"/>
          </w:tcPr>
          <w:p w14:paraId="4543BBA4" w14:textId="77777777" w:rsidR="00346A6E" w:rsidRPr="00346A6E" w:rsidRDefault="00346A6E" w:rsidP="00346A6E">
            <w:pPr>
              <w:jc w:val="center"/>
              <w:rPr>
                <w:rFonts w:eastAsia="Times New Roman"/>
                <w:color w:val="000000"/>
                <w:sz w:val="18"/>
                <w:szCs w:val="18"/>
                <w:lang w:val="en-US"/>
              </w:rPr>
            </w:pPr>
          </w:p>
        </w:tc>
        <w:tc>
          <w:tcPr>
            <w:tcW w:w="990" w:type="dxa"/>
            <w:tcBorders>
              <w:top w:val="nil"/>
              <w:left w:val="nil"/>
              <w:bottom w:val="nil"/>
              <w:right w:val="single" w:sz="4" w:space="0" w:color="auto"/>
            </w:tcBorders>
            <w:vAlign w:val="bottom"/>
          </w:tcPr>
          <w:p w14:paraId="52825A18" w14:textId="77777777" w:rsidR="00346A6E" w:rsidRPr="00346A6E" w:rsidRDefault="00210552" w:rsidP="00210552">
            <w:pPr>
              <w:jc w:val="center"/>
              <w:rPr>
                <w:rFonts w:eastAsia="Times New Roman"/>
                <w:color w:val="000000"/>
                <w:sz w:val="18"/>
                <w:szCs w:val="18"/>
                <w:lang w:val="en-US"/>
              </w:rPr>
            </w:pPr>
            <w:r>
              <w:rPr>
                <w:rFonts w:eastAsia="Times New Roman"/>
                <w:color w:val="000000"/>
                <w:sz w:val="18"/>
                <w:szCs w:val="18"/>
                <w:lang w:val="en-US"/>
              </w:rPr>
              <w:t>(0</w:t>
            </w:r>
            <w:r w:rsidRPr="00210552">
              <w:rPr>
                <w:rFonts w:eastAsia="Times New Roman"/>
                <w:color w:val="000000"/>
                <w:sz w:val="18"/>
                <w:szCs w:val="18"/>
                <w:lang w:val="en-US"/>
              </w:rPr>
              <w:t>.559</w:t>
            </w:r>
            <w:r>
              <w:rPr>
                <w:rFonts w:eastAsia="Times New Roman"/>
                <w:color w:val="000000"/>
                <w:sz w:val="18"/>
                <w:szCs w:val="18"/>
                <w:lang w:val="en-US"/>
              </w:rPr>
              <w:t>)</w:t>
            </w:r>
          </w:p>
        </w:tc>
        <w:tc>
          <w:tcPr>
            <w:tcW w:w="990" w:type="dxa"/>
            <w:tcBorders>
              <w:top w:val="nil"/>
              <w:left w:val="single" w:sz="4" w:space="0" w:color="auto"/>
              <w:bottom w:val="nil"/>
              <w:right w:val="single" w:sz="4" w:space="0" w:color="auto"/>
            </w:tcBorders>
            <w:shd w:val="clear" w:color="auto" w:fill="auto"/>
            <w:noWrap/>
            <w:vAlign w:val="bottom"/>
          </w:tcPr>
          <w:p w14:paraId="6DC72A8D" w14:textId="77777777" w:rsidR="00346A6E" w:rsidRPr="00346A6E" w:rsidRDefault="00346A6E" w:rsidP="00346A6E">
            <w:pPr>
              <w:jc w:val="center"/>
              <w:rPr>
                <w:rFonts w:eastAsia="Times New Roman"/>
                <w:color w:val="000000"/>
                <w:sz w:val="18"/>
                <w:szCs w:val="18"/>
                <w:lang w:val="en-US"/>
              </w:rPr>
            </w:pPr>
          </w:p>
        </w:tc>
        <w:tc>
          <w:tcPr>
            <w:tcW w:w="957" w:type="dxa"/>
            <w:tcBorders>
              <w:top w:val="nil"/>
              <w:left w:val="nil"/>
              <w:bottom w:val="nil"/>
              <w:right w:val="single" w:sz="4" w:space="0" w:color="auto"/>
            </w:tcBorders>
            <w:shd w:val="clear" w:color="auto" w:fill="auto"/>
            <w:noWrap/>
            <w:vAlign w:val="bottom"/>
          </w:tcPr>
          <w:p w14:paraId="0CB84947" w14:textId="77777777" w:rsidR="00346A6E" w:rsidRPr="00346A6E" w:rsidRDefault="00346A6E" w:rsidP="00346A6E">
            <w:pPr>
              <w:jc w:val="center"/>
              <w:rPr>
                <w:rFonts w:eastAsia="Times New Roman"/>
                <w:color w:val="000000"/>
                <w:sz w:val="18"/>
                <w:szCs w:val="18"/>
                <w:lang w:val="en-US"/>
              </w:rPr>
            </w:pPr>
          </w:p>
        </w:tc>
      </w:tr>
      <w:tr w:rsidR="00346A6E" w:rsidRPr="002F1920" w14:paraId="121EA53A" w14:textId="77777777" w:rsidTr="00210552">
        <w:trPr>
          <w:trHeight w:val="300"/>
        </w:trPr>
        <w:tc>
          <w:tcPr>
            <w:tcW w:w="3780" w:type="dxa"/>
            <w:tcBorders>
              <w:top w:val="nil"/>
              <w:left w:val="single" w:sz="4" w:space="0" w:color="auto"/>
              <w:bottom w:val="nil"/>
              <w:right w:val="single" w:sz="4" w:space="0" w:color="auto"/>
            </w:tcBorders>
            <w:shd w:val="clear" w:color="auto" w:fill="auto"/>
            <w:noWrap/>
            <w:vAlign w:val="bottom"/>
          </w:tcPr>
          <w:p w14:paraId="6D5C7A5A" w14:textId="6A1854EA" w:rsidR="00346A6E" w:rsidRPr="00346A6E" w:rsidRDefault="00346A6E" w:rsidP="00346A6E">
            <w:pPr>
              <w:jc w:val="center"/>
              <w:rPr>
                <w:rFonts w:eastAsia="Times New Roman"/>
                <w:color w:val="000000"/>
                <w:sz w:val="18"/>
                <w:szCs w:val="18"/>
                <w:lang w:val="en-US"/>
              </w:rPr>
            </w:pPr>
            <w:r>
              <w:rPr>
                <w:rFonts w:eastAsia="Times New Roman"/>
                <w:color w:val="000000"/>
                <w:sz w:val="18"/>
                <w:szCs w:val="18"/>
                <w:lang w:val="en-US"/>
              </w:rPr>
              <w:t>UK*</w:t>
            </w:r>
            <w:r w:rsidR="008D2BC9">
              <w:rPr>
                <w:rFonts w:eastAsia="Times New Roman"/>
                <w:color w:val="000000"/>
                <w:sz w:val="18"/>
                <w:szCs w:val="18"/>
                <w:lang w:val="en-US"/>
              </w:rPr>
              <w:t xml:space="preserve"> Real Income Growth</w:t>
            </w:r>
            <w:r w:rsidRPr="00346A6E">
              <w:rPr>
                <w:rFonts w:eastAsia="Times New Roman"/>
                <w:color w:val="000000"/>
                <w:sz w:val="18"/>
                <w:szCs w:val="18"/>
                <w:lang w:val="en-US"/>
              </w:rPr>
              <w:t>(t-1)</w:t>
            </w:r>
          </w:p>
        </w:tc>
        <w:tc>
          <w:tcPr>
            <w:tcW w:w="990" w:type="dxa"/>
            <w:tcBorders>
              <w:top w:val="nil"/>
              <w:left w:val="nil"/>
              <w:bottom w:val="nil"/>
              <w:right w:val="single" w:sz="4" w:space="0" w:color="auto"/>
            </w:tcBorders>
            <w:shd w:val="clear" w:color="auto" w:fill="auto"/>
            <w:noWrap/>
            <w:vAlign w:val="bottom"/>
          </w:tcPr>
          <w:p w14:paraId="0FCED1C0" w14:textId="77777777" w:rsidR="00346A6E" w:rsidRPr="00346A6E" w:rsidRDefault="00346A6E" w:rsidP="00346A6E">
            <w:pPr>
              <w:jc w:val="center"/>
              <w:rPr>
                <w:rFonts w:eastAsia="Times New Roman"/>
                <w:color w:val="000000"/>
                <w:sz w:val="18"/>
                <w:szCs w:val="18"/>
                <w:lang w:val="en-US"/>
              </w:rPr>
            </w:pPr>
          </w:p>
        </w:tc>
        <w:tc>
          <w:tcPr>
            <w:tcW w:w="990" w:type="dxa"/>
            <w:tcBorders>
              <w:top w:val="nil"/>
              <w:left w:val="nil"/>
              <w:bottom w:val="nil"/>
              <w:right w:val="single" w:sz="4" w:space="0" w:color="auto"/>
            </w:tcBorders>
            <w:shd w:val="clear" w:color="auto" w:fill="auto"/>
            <w:noWrap/>
            <w:vAlign w:val="bottom"/>
          </w:tcPr>
          <w:p w14:paraId="0C515A64" w14:textId="77777777" w:rsidR="00346A6E" w:rsidRPr="00346A6E" w:rsidRDefault="00346A6E" w:rsidP="00346A6E">
            <w:pPr>
              <w:jc w:val="center"/>
              <w:rPr>
                <w:rFonts w:eastAsia="Times New Roman"/>
                <w:color w:val="000000"/>
                <w:sz w:val="18"/>
                <w:szCs w:val="18"/>
                <w:lang w:val="en-US"/>
              </w:rPr>
            </w:pPr>
          </w:p>
        </w:tc>
        <w:tc>
          <w:tcPr>
            <w:tcW w:w="1080" w:type="dxa"/>
            <w:tcBorders>
              <w:top w:val="nil"/>
              <w:left w:val="nil"/>
              <w:bottom w:val="nil"/>
              <w:right w:val="single" w:sz="4" w:space="0" w:color="auto"/>
            </w:tcBorders>
            <w:shd w:val="clear" w:color="auto" w:fill="auto"/>
            <w:noWrap/>
            <w:vAlign w:val="bottom"/>
          </w:tcPr>
          <w:p w14:paraId="2805652D" w14:textId="77777777" w:rsidR="00346A6E" w:rsidRPr="00346A6E" w:rsidRDefault="00346A6E" w:rsidP="00346A6E">
            <w:pPr>
              <w:jc w:val="center"/>
              <w:rPr>
                <w:rFonts w:eastAsia="Times New Roman"/>
                <w:color w:val="000000"/>
                <w:sz w:val="18"/>
                <w:szCs w:val="18"/>
                <w:lang w:val="en-US"/>
              </w:rPr>
            </w:pPr>
          </w:p>
        </w:tc>
        <w:tc>
          <w:tcPr>
            <w:tcW w:w="990" w:type="dxa"/>
            <w:tcBorders>
              <w:top w:val="nil"/>
              <w:left w:val="nil"/>
              <w:bottom w:val="nil"/>
              <w:right w:val="single" w:sz="4" w:space="0" w:color="auto"/>
            </w:tcBorders>
            <w:vAlign w:val="bottom"/>
          </w:tcPr>
          <w:p w14:paraId="720747AF" w14:textId="77777777" w:rsidR="00346A6E" w:rsidRPr="00346A6E" w:rsidRDefault="00210552" w:rsidP="00210552">
            <w:pPr>
              <w:jc w:val="center"/>
              <w:rPr>
                <w:rFonts w:eastAsia="Times New Roman"/>
                <w:color w:val="000000"/>
                <w:sz w:val="18"/>
                <w:szCs w:val="18"/>
                <w:lang w:val="en-US"/>
              </w:rPr>
            </w:pPr>
            <w:r>
              <w:rPr>
                <w:rFonts w:eastAsia="Times New Roman"/>
                <w:color w:val="000000"/>
                <w:sz w:val="18"/>
                <w:szCs w:val="18"/>
                <w:lang w:val="en-US"/>
              </w:rPr>
              <w:t>0.621</w:t>
            </w:r>
          </w:p>
        </w:tc>
        <w:tc>
          <w:tcPr>
            <w:tcW w:w="990" w:type="dxa"/>
            <w:tcBorders>
              <w:top w:val="nil"/>
              <w:left w:val="single" w:sz="4" w:space="0" w:color="auto"/>
              <w:bottom w:val="nil"/>
              <w:right w:val="single" w:sz="4" w:space="0" w:color="auto"/>
            </w:tcBorders>
            <w:shd w:val="clear" w:color="auto" w:fill="auto"/>
            <w:noWrap/>
            <w:vAlign w:val="bottom"/>
          </w:tcPr>
          <w:p w14:paraId="1C560AB3" w14:textId="77777777" w:rsidR="00346A6E" w:rsidRPr="00346A6E" w:rsidRDefault="00346A6E" w:rsidP="00346A6E">
            <w:pPr>
              <w:jc w:val="center"/>
              <w:rPr>
                <w:rFonts w:eastAsia="Times New Roman"/>
                <w:color w:val="000000"/>
                <w:sz w:val="18"/>
                <w:szCs w:val="18"/>
                <w:lang w:val="en-US"/>
              </w:rPr>
            </w:pPr>
          </w:p>
        </w:tc>
        <w:tc>
          <w:tcPr>
            <w:tcW w:w="957" w:type="dxa"/>
            <w:tcBorders>
              <w:top w:val="nil"/>
              <w:left w:val="nil"/>
              <w:bottom w:val="nil"/>
              <w:right w:val="single" w:sz="4" w:space="0" w:color="auto"/>
            </w:tcBorders>
            <w:shd w:val="clear" w:color="auto" w:fill="auto"/>
            <w:noWrap/>
            <w:vAlign w:val="bottom"/>
          </w:tcPr>
          <w:p w14:paraId="2BE52DE6" w14:textId="77777777" w:rsidR="00346A6E" w:rsidRPr="00346A6E" w:rsidRDefault="00346A6E" w:rsidP="00346A6E">
            <w:pPr>
              <w:jc w:val="center"/>
              <w:rPr>
                <w:rFonts w:eastAsia="Times New Roman"/>
                <w:color w:val="000000"/>
                <w:sz w:val="18"/>
                <w:szCs w:val="18"/>
                <w:lang w:val="en-US"/>
              </w:rPr>
            </w:pPr>
          </w:p>
        </w:tc>
      </w:tr>
      <w:tr w:rsidR="00346A6E" w:rsidRPr="002F1920" w14:paraId="0F0B4031" w14:textId="77777777" w:rsidTr="00210552">
        <w:trPr>
          <w:trHeight w:val="234"/>
        </w:trPr>
        <w:tc>
          <w:tcPr>
            <w:tcW w:w="3780" w:type="dxa"/>
            <w:tcBorders>
              <w:top w:val="nil"/>
              <w:left w:val="single" w:sz="4" w:space="0" w:color="auto"/>
              <w:bottom w:val="nil"/>
              <w:right w:val="single" w:sz="4" w:space="0" w:color="auto"/>
            </w:tcBorders>
            <w:shd w:val="clear" w:color="auto" w:fill="auto"/>
            <w:noWrap/>
            <w:vAlign w:val="bottom"/>
          </w:tcPr>
          <w:p w14:paraId="3CB55F4A" w14:textId="77777777" w:rsidR="00346A6E" w:rsidRPr="00346A6E" w:rsidRDefault="00346A6E" w:rsidP="00346A6E">
            <w:pPr>
              <w:jc w:val="center"/>
              <w:rPr>
                <w:rFonts w:eastAsia="Times New Roman"/>
                <w:color w:val="000000"/>
                <w:sz w:val="18"/>
                <w:szCs w:val="18"/>
                <w:lang w:val="en-US"/>
              </w:rPr>
            </w:pPr>
          </w:p>
        </w:tc>
        <w:tc>
          <w:tcPr>
            <w:tcW w:w="990" w:type="dxa"/>
            <w:tcBorders>
              <w:top w:val="nil"/>
              <w:left w:val="nil"/>
              <w:bottom w:val="nil"/>
              <w:right w:val="single" w:sz="4" w:space="0" w:color="auto"/>
            </w:tcBorders>
            <w:shd w:val="clear" w:color="auto" w:fill="auto"/>
            <w:noWrap/>
            <w:vAlign w:val="bottom"/>
          </w:tcPr>
          <w:p w14:paraId="15155CB9" w14:textId="77777777" w:rsidR="00346A6E" w:rsidRPr="00346A6E" w:rsidRDefault="00346A6E" w:rsidP="00346A6E">
            <w:pPr>
              <w:jc w:val="center"/>
              <w:rPr>
                <w:rFonts w:eastAsia="Times New Roman"/>
                <w:color w:val="000000"/>
                <w:sz w:val="18"/>
                <w:szCs w:val="18"/>
                <w:lang w:val="en-US"/>
              </w:rPr>
            </w:pPr>
          </w:p>
        </w:tc>
        <w:tc>
          <w:tcPr>
            <w:tcW w:w="990" w:type="dxa"/>
            <w:tcBorders>
              <w:top w:val="nil"/>
              <w:left w:val="nil"/>
              <w:bottom w:val="nil"/>
              <w:right w:val="single" w:sz="4" w:space="0" w:color="auto"/>
            </w:tcBorders>
            <w:shd w:val="clear" w:color="auto" w:fill="auto"/>
            <w:noWrap/>
            <w:vAlign w:val="bottom"/>
          </w:tcPr>
          <w:p w14:paraId="6F92D994" w14:textId="77777777" w:rsidR="00346A6E" w:rsidRPr="00346A6E" w:rsidRDefault="00346A6E" w:rsidP="00346A6E">
            <w:pPr>
              <w:jc w:val="center"/>
              <w:rPr>
                <w:rFonts w:eastAsia="Times New Roman"/>
                <w:color w:val="000000"/>
                <w:sz w:val="18"/>
                <w:szCs w:val="18"/>
                <w:lang w:val="en-US"/>
              </w:rPr>
            </w:pPr>
          </w:p>
        </w:tc>
        <w:tc>
          <w:tcPr>
            <w:tcW w:w="1080" w:type="dxa"/>
            <w:tcBorders>
              <w:top w:val="nil"/>
              <w:left w:val="nil"/>
              <w:bottom w:val="nil"/>
              <w:right w:val="single" w:sz="4" w:space="0" w:color="auto"/>
            </w:tcBorders>
            <w:shd w:val="clear" w:color="auto" w:fill="auto"/>
            <w:noWrap/>
            <w:vAlign w:val="bottom"/>
          </w:tcPr>
          <w:p w14:paraId="6FB201B1" w14:textId="77777777" w:rsidR="00346A6E" w:rsidRPr="00346A6E" w:rsidRDefault="00346A6E" w:rsidP="00346A6E">
            <w:pPr>
              <w:jc w:val="center"/>
              <w:rPr>
                <w:rFonts w:eastAsia="Times New Roman"/>
                <w:color w:val="000000"/>
                <w:sz w:val="18"/>
                <w:szCs w:val="18"/>
                <w:lang w:val="en-US"/>
              </w:rPr>
            </w:pPr>
          </w:p>
        </w:tc>
        <w:tc>
          <w:tcPr>
            <w:tcW w:w="990" w:type="dxa"/>
            <w:tcBorders>
              <w:top w:val="nil"/>
              <w:left w:val="nil"/>
              <w:bottom w:val="nil"/>
              <w:right w:val="single" w:sz="4" w:space="0" w:color="auto"/>
            </w:tcBorders>
            <w:vAlign w:val="bottom"/>
          </w:tcPr>
          <w:p w14:paraId="1AF7D81E" w14:textId="77777777" w:rsidR="00346A6E" w:rsidRPr="00346A6E" w:rsidRDefault="00210552" w:rsidP="00210552">
            <w:pPr>
              <w:jc w:val="center"/>
              <w:rPr>
                <w:rFonts w:eastAsia="Times New Roman"/>
                <w:color w:val="000000"/>
                <w:sz w:val="18"/>
                <w:szCs w:val="18"/>
                <w:lang w:val="en-US"/>
              </w:rPr>
            </w:pPr>
            <w:r>
              <w:rPr>
                <w:rFonts w:eastAsia="Times New Roman"/>
                <w:color w:val="000000"/>
                <w:sz w:val="18"/>
                <w:szCs w:val="18"/>
                <w:lang w:val="en-US"/>
              </w:rPr>
              <w:t>(0.751)</w:t>
            </w:r>
          </w:p>
        </w:tc>
        <w:tc>
          <w:tcPr>
            <w:tcW w:w="990" w:type="dxa"/>
            <w:tcBorders>
              <w:top w:val="nil"/>
              <w:left w:val="single" w:sz="4" w:space="0" w:color="auto"/>
              <w:bottom w:val="nil"/>
              <w:right w:val="single" w:sz="4" w:space="0" w:color="auto"/>
            </w:tcBorders>
            <w:shd w:val="clear" w:color="auto" w:fill="auto"/>
            <w:noWrap/>
            <w:vAlign w:val="bottom"/>
          </w:tcPr>
          <w:p w14:paraId="312AB145" w14:textId="77777777" w:rsidR="00346A6E" w:rsidRPr="00346A6E" w:rsidRDefault="00346A6E" w:rsidP="00346A6E">
            <w:pPr>
              <w:jc w:val="center"/>
              <w:rPr>
                <w:rFonts w:eastAsia="Times New Roman"/>
                <w:color w:val="000000"/>
                <w:sz w:val="18"/>
                <w:szCs w:val="18"/>
                <w:lang w:val="en-US"/>
              </w:rPr>
            </w:pPr>
          </w:p>
        </w:tc>
        <w:tc>
          <w:tcPr>
            <w:tcW w:w="957" w:type="dxa"/>
            <w:tcBorders>
              <w:top w:val="nil"/>
              <w:left w:val="nil"/>
              <w:bottom w:val="nil"/>
              <w:right w:val="single" w:sz="4" w:space="0" w:color="auto"/>
            </w:tcBorders>
            <w:shd w:val="clear" w:color="auto" w:fill="auto"/>
            <w:noWrap/>
            <w:vAlign w:val="bottom"/>
          </w:tcPr>
          <w:p w14:paraId="4DDF6AA6" w14:textId="77777777" w:rsidR="00346A6E" w:rsidRPr="00346A6E" w:rsidRDefault="00346A6E" w:rsidP="00346A6E">
            <w:pPr>
              <w:jc w:val="center"/>
              <w:rPr>
                <w:rFonts w:eastAsia="Times New Roman"/>
                <w:color w:val="000000"/>
                <w:sz w:val="18"/>
                <w:szCs w:val="18"/>
                <w:lang w:val="en-US"/>
              </w:rPr>
            </w:pPr>
          </w:p>
        </w:tc>
      </w:tr>
      <w:tr w:rsidR="00346A6E" w:rsidRPr="002F1920" w14:paraId="665048ED" w14:textId="77777777" w:rsidTr="00210552">
        <w:trPr>
          <w:trHeight w:val="300"/>
        </w:trPr>
        <w:tc>
          <w:tcPr>
            <w:tcW w:w="3780" w:type="dxa"/>
            <w:tcBorders>
              <w:top w:val="nil"/>
              <w:left w:val="single" w:sz="4" w:space="0" w:color="auto"/>
              <w:bottom w:val="nil"/>
              <w:right w:val="single" w:sz="4" w:space="0" w:color="auto"/>
            </w:tcBorders>
            <w:shd w:val="clear" w:color="auto" w:fill="auto"/>
            <w:noWrap/>
            <w:vAlign w:val="bottom"/>
            <w:hideMark/>
          </w:tcPr>
          <w:p w14:paraId="3DAA6221"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xml:space="preserve">Difference in Non-Market Services and </w:t>
            </w:r>
          </w:p>
        </w:tc>
        <w:tc>
          <w:tcPr>
            <w:tcW w:w="990" w:type="dxa"/>
            <w:tcBorders>
              <w:top w:val="nil"/>
              <w:left w:val="nil"/>
              <w:bottom w:val="nil"/>
              <w:right w:val="single" w:sz="4" w:space="0" w:color="auto"/>
            </w:tcBorders>
            <w:shd w:val="clear" w:color="auto" w:fill="auto"/>
            <w:noWrap/>
            <w:vAlign w:val="bottom"/>
            <w:hideMark/>
          </w:tcPr>
          <w:p w14:paraId="4C836D05"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68FA3B45"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1080" w:type="dxa"/>
            <w:tcBorders>
              <w:top w:val="nil"/>
              <w:left w:val="nil"/>
              <w:bottom w:val="nil"/>
              <w:right w:val="single" w:sz="4" w:space="0" w:color="auto"/>
            </w:tcBorders>
            <w:shd w:val="clear" w:color="auto" w:fill="auto"/>
            <w:noWrap/>
            <w:vAlign w:val="bottom"/>
            <w:hideMark/>
          </w:tcPr>
          <w:p w14:paraId="62C0B9D4"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vAlign w:val="bottom"/>
          </w:tcPr>
          <w:p w14:paraId="16A5EC36" w14:textId="77777777" w:rsidR="00346A6E" w:rsidRPr="00346A6E" w:rsidRDefault="00346A6E" w:rsidP="00210552">
            <w:pPr>
              <w:jc w:val="center"/>
              <w:rPr>
                <w:rFonts w:eastAsia="Times New Roman"/>
                <w:color w:val="000000"/>
                <w:sz w:val="18"/>
                <w:szCs w:val="18"/>
                <w:lang w:val="en-US"/>
              </w:rPr>
            </w:pPr>
          </w:p>
        </w:tc>
        <w:tc>
          <w:tcPr>
            <w:tcW w:w="990" w:type="dxa"/>
            <w:tcBorders>
              <w:top w:val="nil"/>
              <w:left w:val="single" w:sz="4" w:space="0" w:color="auto"/>
              <w:bottom w:val="nil"/>
              <w:right w:val="single" w:sz="4" w:space="0" w:color="auto"/>
            </w:tcBorders>
            <w:shd w:val="clear" w:color="auto" w:fill="auto"/>
            <w:noWrap/>
            <w:vAlign w:val="bottom"/>
            <w:hideMark/>
          </w:tcPr>
          <w:p w14:paraId="76638032"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57" w:type="dxa"/>
            <w:tcBorders>
              <w:top w:val="nil"/>
              <w:left w:val="nil"/>
              <w:bottom w:val="nil"/>
              <w:right w:val="single" w:sz="4" w:space="0" w:color="auto"/>
            </w:tcBorders>
            <w:shd w:val="clear" w:color="auto" w:fill="auto"/>
            <w:noWrap/>
            <w:vAlign w:val="bottom"/>
            <w:hideMark/>
          </w:tcPr>
          <w:p w14:paraId="623A0149"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0.572*</w:t>
            </w:r>
          </w:p>
        </w:tc>
      </w:tr>
      <w:tr w:rsidR="00346A6E" w:rsidRPr="002F1920" w14:paraId="60839AFD" w14:textId="77777777" w:rsidTr="00210552">
        <w:trPr>
          <w:trHeight w:val="153"/>
        </w:trPr>
        <w:tc>
          <w:tcPr>
            <w:tcW w:w="3780" w:type="dxa"/>
            <w:tcBorders>
              <w:top w:val="nil"/>
              <w:left w:val="single" w:sz="4" w:space="0" w:color="auto"/>
              <w:bottom w:val="nil"/>
              <w:right w:val="single" w:sz="4" w:space="0" w:color="auto"/>
            </w:tcBorders>
            <w:shd w:val="clear" w:color="auto" w:fill="auto"/>
            <w:noWrap/>
            <w:vAlign w:val="bottom"/>
            <w:hideMark/>
          </w:tcPr>
          <w:p w14:paraId="310A8C28" w14:textId="0D6E4773"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M</w:t>
            </w:r>
            <w:r w:rsidR="008D2BC9">
              <w:rPr>
                <w:rFonts w:eastAsia="Times New Roman"/>
                <w:color w:val="000000"/>
                <w:sz w:val="18"/>
                <w:szCs w:val="18"/>
                <w:lang w:val="en-US"/>
              </w:rPr>
              <w:t>anufacturing Sector wage growth</w:t>
            </w:r>
            <w:r w:rsidRPr="00346A6E">
              <w:rPr>
                <w:rFonts w:eastAsia="Times New Roman"/>
                <w:color w:val="000000"/>
                <w:sz w:val="18"/>
                <w:szCs w:val="18"/>
                <w:lang w:val="en-US"/>
              </w:rPr>
              <w:t>(t-1)</w:t>
            </w:r>
          </w:p>
        </w:tc>
        <w:tc>
          <w:tcPr>
            <w:tcW w:w="990" w:type="dxa"/>
            <w:tcBorders>
              <w:top w:val="nil"/>
              <w:left w:val="nil"/>
              <w:bottom w:val="nil"/>
              <w:right w:val="single" w:sz="4" w:space="0" w:color="auto"/>
            </w:tcBorders>
            <w:shd w:val="clear" w:color="auto" w:fill="auto"/>
            <w:noWrap/>
            <w:vAlign w:val="bottom"/>
            <w:hideMark/>
          </w:tcPr>
          <w:p w14:paraId="7CAFAF1F"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7ADE3B3C"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1080" w:type="dxa"/>
            <w:tcBorders>
              <w:top w:val="nil"/>
              <w:left w:val="nil"/>
              <w:bottom w:val="nil"/>
              <w:right w:val="single" w:sz="4" w:space="0" w:color="auto"/>
            </w:tcBorders>
            <w:shd w:val="clear" w:color="auto" w:fill="auto"/>
            <w:noWrap/>
            <w:vAlign w:val="bottom"/>
            <w:hideMark/>
          </w:tcPr>
          <w:p w14:paraId="3A935A1E"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vAlign w:val="bottom"/>
          </w:tcPr>
          <w:p w14:paraId="41F50B56" w14:textId="77777777" w:rsidR="00346A6E" w:rsidRPr="00346A6E" w:rsidRDefault="00346A6E" w:rsidP="00210552">
            <w:pPr>
              <w:jc w:val="center"/>
              <w:rPr>
                <w:rFonts w:eastAsia="Times New Roman"/>
                <w:color w:val="000000"/>
                <w:sz w:val="18"/>
                <w:szCs w:val="18"/>
                <w:lang w:val="en-US"/>
              </w:rPr>
            </w:pPr>
          </w:p>
        </w:tc>
        <w:tc>
          <w:tcPr>
            <w:tcW w:w="990" w:type="dxa"/>
            <w:tcBorders>
              <w:top w:val="nil"/>
              <w:left w:val="single" w:sz="4" w:space="0" w:color="auto"/>
              <w:bottom w:val="nil"/>
              <w:right w:val="single" w:sz="4" w:space="0" w:color="auto"/>
            </w:tcBorders>
            <w:shd w:val="clear" w:color="auto" w:fill="auto"/>
            <w:noWrap/>
            <w:vAlign w:val="bottom"/>
            <w:hideMark/>
          </w:tcPr>
          <w:p w14:paraId="70C0C54B"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57" w:type="dxa"/>
            <w:tcBorders>
              <w:top w:val="nil"/>
              <w:left w:val="nil"/>
              <w:bottom w:val="nil"/>
              <w:right w:val="single" w:sz="4" w:space="0" w:color="auto"/>
            </w:tcBorders>
            <w:shd w:val="clear" w:color="auto" w:fill="auto"/>
            <w:noWrap/>
            <w:vAlign w:val="bottom"/>
            <w:hideMark/>
          </w:tcPr>
          <w:p w14:paraId="2E5DD365"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(0.318)</w:t>
            </w:r>
          </w:p>
        </w:tc>
      </w:tr>
      <w:tr w:rsidR="00346A6E" w:rsidRPr="002F1920" w14:paraId="2BB90801" w14:textId="77777777" w:rsidTr="00210552">
        <w:trPr>
          <w:trHeight w:val="300"/>
        </w:trPr>
        <w:tc>
          <w:tcPr>
            <w:tcW w:w="3780" w:type="dxa"/>
            <w:tcBorders>
              <w:top w:val="nil"/>
              <w:left w:val="single" w:sz="4" w:space="0" w:color="auto"/>
              <w:bottom w:val="nil"/>
              <w:right w:val="single" w:sz="4" w:space="0" w:color="auto"/>
            </w:tcBorders>
            <w:shd w:val="clear" w:color="auto" w:fill="auto"/>
            <w:noWrap/>
            <w:vAlign w:val="bottom"/>
            <w:hideMark/>
          </w:tcPr>
          <w:p w14:paraId="33DDB8D3" w14:textId="53493A1D" w:rsidR="00346A6E" w:rsidRPr="00346A6E" w:rsidRDefault="008D2BC9" w:rsidP="00273E38">
            <w:pPr>
              <w:jc w:val="center"/>
              <w:rPr>
                <w:rFonts w:eastAsia="Times New Roman"/>
                <w:color w:val="000000"/>
                <w:sz w:val="18"/>
                <w:szCs w:val="18"/>
                <w:lang w:val="en-US"/>
              </w:rPr>
            </w:pPr>
            <w:r>
              <w:rPr>
                <w:rFonts w:eastAsia="Times New Roman"/>
                <w:color w:val="000000"/>
                <w:sz w:val="18"/>
                <w:szCs w:val="18"/>
                <w:lang w:val="en-US"/>
              </w:rPr>
              <w:t>Population Growth</w:t>
            </w:r>
            <w:r w:rsidR="00346A6E" w:rsidRPr="00346A6E">
              <w:rPr>
                <w:rFonts w:eastAsia="Times New Roman"/>
                <w:color w:val="000000"/>
                <w:sz w:val="18"/>
                <w:szCs w:val="18"/>
                <w:lang w:val="en-US"/>
              </w:rPr>
              <w:t>(t-2)</w:t>
            </w:r>
          </w:p>
        </w:tc>
        <w:tc>
          <w:tcPr>
            <w:tcW w:w="990" w:type="dxa"/>
            <w:tcBorders>
              <w:top w:val="nil"/>
              <w:left w:val="nil"/>
              <w:bottom w:val="nil"/>
              <w:right w:val="single" w:sz="4" w:space="0" w:color="auto"/>
            </w:tcBorders>
            <w:shd w:val="clear" w:color="auto" w:fill="auto"/>
            <w:noWrap/>
            <w:vAlign w:val="bottom"/>
            <w:hideMark/>
          </w:tcPr>
          <w:p w14:paraId="5C08331E"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419DF624"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1080" w:type="dxa"/>
            <w:tcBorders>
              <w:top w:val="nil"/>
              <w:left w:val="nil"/>
              <w:bottom w:val="nil"/>
              <w:right w:val="single" w:sz="4" w:space="0" w:color="auto"/>
            </w:tcBorders>
            <w:shd w:val="clear" w:color="auto" w:fill="auto"/>
            <w:noWrap/>
            <w:vAlign w:val="bottom"/>
            <w:hideMark/>
          </w:tcPr>
          <w:p w14:paraId="63F8A0A9"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vAlign w:val="bottom"/>
          </w:tcPr>
          <w:p w14:paraId="54386E93" w14:textId="77777777" w:rsidR="00346A6E" w:rsidRPr="00346A6E" w:rsidRDefault="00346A6E" w:rsidP="00210552">
            <w:pPr>
              <w:jc w:val="center"/>
              <w:rPr>
                <w:rFonts w:eastAsia="Times New Roman"/>
                <w:color w:val="000000"/>
                <w:sz w:val="18"/>
                <w:szCs w:val="18"/>
                <w:lang w:val="en-US"/>
              </w:rPr>
            </w:pPr>
          </w:p>
        </w:tc>
        <w:tc>
          <w:tcPr>
            <w:tcW w:w="990" w:type="dxa"/>
            <w:tcBorders>
              <w:top w:val="nil"/>
              <w:left w:val="single" w:sz="4" w:space="0" w:color="auto"/>
              <w:bottom w:val="nil"/>
              <w:right w:val="single" w:sz="4" w:space="0" w:color="auto"/>
            </w:tcBorders>
            <w:shd w:val="clear" w:color="auto" w:fill="auto"/>
            <w:noWrap/>
            <w:vAlign w:val="bottom"/>
            <w:hideMark/>
          </w:tcPr>
          <w:p w14:paraId="13F6EEEC"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0.355**</w:t>
            </w:r>
          </w:p>
        </w:tc>
        <w:tc>
          <w:tcPr>
            <w:tcW w:w="957" w:type="dxa"/>
            <w:tcBorders>
              <w:top w:val="nil"/>
              <w:left w:val="nil"/>
              <w:bottom w:val="nil"/>
              <w:right w:val="single" w:sz="4" w:space="0" w:color="auto"/>
            </w:tcBorders>
            <w:shd w:val="clear" w:color="auto" w:fill="auto"/>
            <w:noWrap/>
            <w:vAlign w:val="bottom"/>
            <w:hideMark/>
          </w:tcPr>
          <w:p w14:paraId="03388E55"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r>
      <w:tr w:rsidR="00346A6E" w:rsidRPr="002F1920" w14:paraId="08124071" w14:textId="77777777" w:rsidTr="00210552">
        <w:trPr>
          <w:trHeight w:val="153"/>
        </w:trPr>
        <w:tc>
          <w:tcPr>
            <w:tcW w:w="3780" w:type="dxa"/>
            <w:tcBorders>
              <w:top w:val="nil"/>
              <w:left w:val="single" w:sz="4" w:space="0" w:color="auto"/>
              <w:bottom w:val="nil"/>
              <w:right w:val="single" w:sz="4" w:space="0" w:color="auto"/>
            </w:tcBorders>
            <w:shd w:val="clear" w:color="auto" w:fill="auto"/>
            <w:noWrap/>
            <w:vAlign w:val="bottom"/>
            <w:hideMark/>
          </w:tcPr>
          <w:p w14:paraId="7474DFE2"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42BDE9EC"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0AC3D04A"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1080" w:type="dxa"/>
            <w:tcBorders>
              <w:top w:val="nil"/>
              <w:left w:val="nil"/>
              <w:bottom w:val="nil"/>
              <w:right w:val="single" w:sz="4" w:space="0" w:color="auto"/>
            </w:tcBorders>
            <w:shd w:val="clear" w:color="auto" w:fill="auto"/>
            <w:noWrap/>
            <w:vAlign w:val="bottom"/>
            <w:hideMark/>
          </w:tcPr>
          <w:p w14:paraId="151A5A49"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vAlign w:val="bottom"/>
          </w:tcPr>
          <w:p w14:paraId="2F066D39" w14:textId="77777777" w:rsidR="00346A6E" w:rsidRPr="00346A6E" w:rsidRDefault="00346A6E" w:rsidP="00210552">
            <w:pPr>
              <w:jc w:val="center"/>
              <w:rPr>
                <w:rFonts w:eastAsia="Times New Roman"/>
                <w:color w:val="000000"/>
                <w:sz w:val="18"/>
                <w:szCs w:val="18"/>
                <w:lang w:val="en-US"/>
              </w:rPr>
            </w:pPr>
          </w:p>
        </w:tc>
        <w:tc>
          <w:tcPr>
            <w:tcW w:w="990" w:type="dxa"/>
            <w:tcBorders>
              <w:top w:val="nil"/>
              <w:left w:val="single" w:sz="4" w:space="0" w:color="auto"/>
              <w:bottom w:val="nil"/>
              <w:right w:val="single" w:sz="4" w:space="0" w:color="auto"/>
            </w:tcBorders>
            <w:shd w:val="clear" w:color="auto" w:fill="auto"/>
            <w:noWrap/>
            <w:vAlign w:val="bottom"/>
            <w:hideMark/>
          </w:tcPr>
          <w:p w14:paraId="24990138"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(0.149)</w:t>
            </w:r>
          </w:p>
        </w:tc>
        <w:tc>
          <w:tcPr>
            <w:tcW w:w="957" w:type="dxa"/>
            <w:tcBorders>
              <w:top w:val="nil"/>
              <w:left w:val="nil"/>
              <w:bottom w:val="nil"/>
              <w:right w:val="single" w:sz="4" w:space="0" w:color="auto"/>
            </w:tcBorders>
            <w:shd w:val="clear" w:color="auto" w:fill="auto"/>
            <w:noWrap/>
            <w:vAlign w:val="bottom"/>
            <w:hideMark/>
          </w:tcPr>
          <w:p w14:paraId="1CD08F32"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r>
      <w:tr w:rsidR="00346A6E" w:rsidRPr="002F1920" w14:paraId="3EA40DEE" w14:textId="77777777" w:rsidTr="00210552">
        <w:trPr>
          <w:trHeight w:val="300"/>
        </w:trPr>
        <w:tc>
          <w:tcPr>
            <w:tcW w:w="3780" w:type="dxa"/>
            <w:tcBorders>
              <w:top w:val="nil"/>
              <w:left w:val="single" w:sz="4" w:space="0" w:color="auto"/>
              <w:bottom w:val="nil"/>
              <w:right w:val="single" w:sz="4" w:space="0" w:color="auto"/>
            </w:tcBorders>
            <w:shd w:val="clear" w:color="auto" w:fill="auto"/>
            <w:noWrap/>
            <w:vAlign w:val="bottom"/>
            <w:hideMark/>
          </w:tcPr>
          <w:p w14:paraId="3F3EE945" w14:textId="3B9D7FF0" w:rsidR="00346A6E" w:rsidRPr="00346A6E" w:rsidRDefault="008D2BC9" w:rsidP="00273E38">
            <w:pPr>
              <w:jc w:val="center"/>
              <w:rPr>
                <w:rFonts w:eastAsia="Times New Roman"/>
                <w:color w:val="000000"/>
                <w:sz w:val="18"/>
                <w:szCs w:val="18"/>
                <w:lang w:val="en-US"/>
              </w:rPr>
            </w:pPr>
            <w:r>
              <w:rPr>
                <w:rFonts w:eastAsia="Times New Roman"/>
                <w:color w:val="000000"/>
                <w:sz w:val="18"/>
                <w:szCs w:val="18"/>
                <w:lang w:val="en-US"/>
              </w:rPr>
              <w:t>Δ Real Interest Rate</w:t>
            </w:r>
            <w:r w:rsidR="00346A6E" w:rsidRPr="00346A6E">
              <w:rPr>
                <w:rFonts w:eastAsia="Times New Roman"/>
                <w:color w:val="000000"/>
                <w:sz w:val="18"/>
                <w:szCs w:val="18"/>
                <w:lang w:val="en-US"/>
              </w:rPr>
              <w:t>(t-2)</w:t>
            </w:r>
          </w:p>
        </w:tc>
        <w:tc>
          <w:tcPr>
            <w:tcW w:w="990" w:type="dxa"/>
            <w:tcBorders>
              <w:top w:val="nil"/>
              <w:left w:val="nil"/>
              <w:bottom w:val="nil"/>
              <w:right w:val="single" w:sz="4" w:space="0" w:color="auto"/>
            </w:tcBorders>
            <w:shd w:val="clear" w:color="auto" w:fill="auto"/>
            <w:noWrap/>
            <w:vAlign w:val="bottom"/>
            <w:hideMark/>
          </w:tcPr>
          <w:p w14:paraId="6B87DB13"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55EC4E07"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1080" w:type="dxa"/>
            <w:tcBorders>
              <w:top w:val="nil"/>
              <w:left w:val="nil"/>
              <w:bottom w:val="nil"/>
              <w:right w:val="single" w:sz="4" w:space="0" w:color="auto"/>
            </w:tcBorders>
            <w:shd w:val="clear" w:color="auto" w:fill="auto"/>
            <w:noWrap/>
            <w:vAlign w:val="bottom"/>
            <w:hideMark/>
          </w:tcPr>
          <w:p w14:paraId="657A528F"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vAlign w:val="bottom"/>
          </w:tcPr>
          <w:p w14:paraId="20BE26FF" w14:textId="77777777" w:rsidR="00346A6E" w:rsidRPr="00346A6E" w:rsidRDefault="00346A6E" w:rsidP="00210552">
            <w:pPr>
              <w:jc w:val="center"/>
              <w:rPr>
                <w:rFonts w:eastAsia="Times New Roman"/>
                <w:color w:val="000000"/>
                <w:sz w:val="18"/>
                <w:szCs w:val="18"/>
                <w:lang w:val="en-US"/>
              </w:rPr>
            </w:pPr>
          </w:p>
        </w:tc>
        <w:tc>
          <w:tcPr>
            <w:tcW w:w="990" w:type="dxa"/>
            <w:tcBorders>
              <w:top w:val="nil"/>
              <w:left w:val="single" w:sz="4" w:space="0" w:color="auto"/>
              <w:bottom w:val="nil"/>
              <w:right w:val="single" w:sz="4" w:space="0" w:color="auto"/>
            </w:tcBorders>
            <w:shd w:val="clear" w:color="auto" w:fill="auto"/>
            <w:noWrap/>
            <w:vAlign w:val="bottom"/>
            <w:hideMark/>
          </w:tcPr>
          <w:p w14:paraId="39EABF75"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-0.698*</w:t>
            </w:r>
          </w:p>
        </w:tc>
        <w:tc>
          <w:tcPr>
            <w:tcW w:w="957" w:type="dxa"/>
            <w:tcBorders>
              <w:top w:val="nil"/>
              <w:left w:val="nil"/>
              <w:bottom w:val="nil"/>
              <w:right w:val="single" w:sz="4" w:space="0" w:color="auto"/>
            </w:tcBorders>
            <w:shd w:val="clear" w:color="auto" w:fill="auto"/>
            <w:noWrap/>
            <w:vAlign w:val="bottom"/>
            <w:hideMark/>
          </w:tcPr>
          <w:p w14:paraId="7DBFB588"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r>
      <w:tr w:rsidR="00346A6E" w:rsidRPr="002F1920" w14:paraId="0841122F" w14:textId="77777777" w:rsidTr="00210552">
        <w:trPr>
          <w:trHeight w:val="234"/>
        </w:trPr>
        <w:tc>
          <w:tcPr>
            <w:tcW w:w="3780" w:type="dxa"/>
            <w:tcBorders>
              <w:top w:val="nil"/>
              <w:left w:val="single" w:sz="4" w:space="0" w:color="auto"/>
              <w:bottom w:val="nil"/>
              <w:right w:val="single" w:sz="4" w:space="0" w:color="auto"/>
            </w:tcBorders>
            <w:shd w:val="clear" w:color="auto" w:fill="auto"/>
            <w:noWrap/>
            <w:vAlign w:val="bottom"/>
            <w:hideMark/>
          </w:tcPr>
          <w:p w14:paraId="36B7301D"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2CBD9B68"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00FFBA94"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1080" w:type="dxa"/>
            <w:tcBorders>
              <w:top w:val="nil"/>
              <w:left w:val="nil"/>
              <w:bottom w:val="nil"/>
              <w:right w:val="single" w:sz="4" w:space="0" w:color="auto"/>
            </w:tcBorders>
            <w:shd w:val="clear" w:color="auto" w:fill="auto"/>
            <w:noWrap/>
            <w:vAlign w:val="bottom"/>
            <w:hideMark/>
          </w:tcPr>
          <w:p w14:paraId="6DA5726A"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vAlign w:val="bottom"/>
          </w:tcPr>
          <w:p w14:paraId="7F23449E" w14:textId="77777777" w:rsidR="00346A6E" w:rsidRPr="00346A6E" w:rsidRDefault="00346A6E" w:rsidP="00210552">
            <w:pPr>
              <w:jc w:val="center"/>
              <w:rPr>
                <w:rFonts w:eastAsia="Times New Roman"/>
                <w:color w:val="000000"/>
                <w:sz w:val="18"/>
                <w:szCs w:val="18"/>
                <w:lang w:val="en-US"/>
              </w:rPr>
            </w:pPr>
          </w:p>
        </w:tc>
        <w:tc>
          <w:tcPr>
            <w:tcW w:w="990" w:type="dxa"/>
            <w:tcBorders>
              <w:top w:val="nil"/>
              <w:left w:val="single" w:sz="4" w:space="0" w:color="auto"/>
              <w:bottom w:val="nil"/>
              <w:right w:val="single" w:sz="4" w:space="0" w:color="auto"/>
            </w:tcBorders>
            <w:shd w:val="clear" w:color="auto" w:fill="auto"/>
            <w:noWrap/>
            <w:vAlign w:val="bottom"/>
            <w:hideMark/>
          </w:tcPr>
          <w:p w14:paraId="070C4D60"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(0.396)</w:t>
            </w:r>
          </w:p>
        </w:tc>
        <w:tc>
          <w:tcPr>
            <w:tcW w:w="957" w:type="dxa"/>
            <w:tcBorders>
              <w:top w:val="nil"/>
              <w:left w:val="nil"/>
              <w:bottom w:val="nil"/>
              <w:right w:val="single" w:sz="4" w:space="0" w:color="auto"/>
            </w:tcBorders>
            <w:shd w:val="clear" w:color="auto" w:fill="auto"/>
            <w:noWrap/>
            <w:vAlign w:val="bottom"/>
            <w:hideMark/>
          </w:tcPr>
          <w:p w14:paraId="7E01059B"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r>
      <w:tr w:rsidR="00346A6E" w:rsidRPr="002F1920" w14:paraId="56806DE4" w14:textId="77777777" w:rsidTr="00210552">
        <w:trPr>
          <w:trHeight w:val="300"/>
        </w:trPr>
        <w:tc>
          <w:tcPr>
            <w:tcW w:w="3780" w:type="dxa"/>
            <w:tcBorders>
              <w:top w:val="nil"/>
              <w:left w:val="single" w:sz="4" w:space="0" w:color="auto"/>
              <w:bottom w:val="nil"/>
              <w:right w:val="single" w:sz="4" w:space="0" w:color="auto"/>
            </w:tcBorders>
            <w:shd w:val="clear" w:color="auto" w:fill="auto"/>
            <w:noWrap/>
            <w:vAlign w:val="bottom"/>
            <w:hideMark/>
          </w:tcPr>
          <w:p w14:paraId="436346C0" w14:textId="12B6F126" w:rsidR="00346A6E" w:rsidRPr="00346A6E" w:rsidRDefault="008D2BC9" w:rsidP="00273E38">
            <w:pPr>
              <w:jc w:val="center"/>
              <w:rPr>
                <w:rFonts w:eastAsia="Times New Roman"/>
                <w:color w:val="000000"/>
                <w:sz w:val="18"/>
                <w:szCs w:val="18"/>
                <w:lang w:val="en-US"/>
              </w:rPr>
            </w:pPr>
            <w:r>
              <w:rPr>
                <w:rFonts w:eastAsia="Times New Roman"/>
                <w:color w:val="000000"/>
                <w:sz w:val="18"/>
                <w:szCs w:val="18"/>
                <w:lang w:val="en-US"/>
              </w:rPr>
              <w:t>Δ Credit Growth</w:t>
            </w:r>
            <w:r w:rsidR="00346A6E" w:rsidRPr="00346A6E">
              <w:rPr>
                <w:rFonts w:eastAsia="Times New Roman"/>
                <w:color w:val="000000"/>
                <w:sz w:val="18"/>
                <w:szCs w:val="18"/>
                <w:lang w:val="en-US"/>
              </w:rPr>
              <w:t>(t-2)</w:t>
            </w:r>
          </w:p>
        </w:tc>
        <w:tc>
          <w:tcPr>
            <w:tcW w:w="990" w:type="dxa"/>
            <w:tcBorders>
              <w:top w:val="nil"/>
              <w:left w:val="nil"/>
              <w:bottom w:val="nil"/>
              <w:right w:val="single" w:sz="4" w:space="0" w:color="auto"/>
            </w:tcBorders>
            <w:shd w:val="clear" w:color="auto" w:fill="auto"/>
            <w:noWrap/>
            <w:vAlign w:val="bottom"/>
            <w:hideMark/>
          </w:tcPr>
          <w:p w14:paraId="529E1DFF"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16F1AF35"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1080" w:type="dxa"/>
            <w:tcBorders>
              <w:top w:val="nil"/>
              <w:left w:val="nil"/>
              <w:bottom w:val="nil"/>
              <w:right w:val="single" w:sz="4" w:space="0" w:color="auto"/>
            </w:tcBorders>
            <w:shd w:val="clear" w:color="auto" w:fill="auto"/>
            <w:noWrap/>
            <w:vAlign w:val="bottom"/>
            <w:hideMark/>
          </w:tcPr>
          <w:p w14:paraId="50DB497D"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vAlign w:val="bottom"/>
          </w:tcPr>
          <w:p w14:paraId="079F13F5" w14:textId="77777777" w:rsidR="00346A6E" w:rsidRPr="00346A6E" w:rsidRDefault="00346A6E" w:rsidP="00210552">
            <w:pPr>
              <w:jc w:val="center"/>
              <w:rPr>
                <w:rFonts w:eastAsia="Times New Roman"/>
                <w:color w:val="000000"/>
                <w:sz w:val="18"/>
                <w:szCs w:val="18"/>
                <w:lang w:val="en-US"/>
              </w:rPr>
            </w:pPr>
          </w:p>
        </w:tc>
        <w:tc>
          <w:tcPr>
            <w:tcW w:w="990" w:type="dxa"/>
            <w:tcBorders>
              <w:top w:val="nil"/>
              <w:left w:val="single" w:sz="4" w:space="0" w:color="auto"/>
              <w:bottom w:val="nil"/>
              <w:right w:val="single" w:sz="4" w:space="0" w:color="auto"/>
            </w:tcBorders>
            <w:shd w:val="clear" w:color="auto" w:fill="auto"/>
            <w:noWrap/>
            <w:vAlign w:val="bottom"/>
            <w:hideMark/>
          </w:tcPr>
          <w:p w14:paraId="7CCD65C8"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0.07</w:t>
            </w:r>
          </w:p>
        </w:tc>
        <w:tc>
          <w:tcPr>
            <w:tcW w:w="957" w:type="dxa"/>
            <w:tcBorders>
              <w:top w:val="nil"/>
              <w:left w:val="nil"/>
              <w:bottom w:val="nil"/>
              <w:right w:val="single" w:sz="4" w:space="0" w:color="auto"/>
            </w:tcBorders>
            <w:shd w:val="clear" w:color="auto" w:fill="auto"/>
            <w:noWrap/>
            <w:vAlign w:val="bottom"/>
            <w:hideMark/>
          </w:tcPr>
          <w:p w14:paraId="6EC6AA4E"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r>
      <w:tr w:rsidR="00346A6E" w:rsidRPr="002F1920" w14:paraId="220142C0" w14:textId="77777777" w:rsidTr="00210552">
        <w:trPr>
          <w:trHeight w:val="216"/>
        </w:trPr>
        <w:tc>
          <w:tcPr>
            <w:tcW w:w="3780" w:type="dxa"/>
            <w:tcBorders>
              <w:top w:val="nil"/>
              <w:left w:val="single" w:sz="4" w:space="0" w:color="auto"/>
              <w:bottom w:val="nil"/>
              <w:right w:val="single" w:sz="4" w:space="0" w:color="auto"/>
            </w:tcBorders>
            <w:shd w:val="clear" w:color="auto" w:fill="auto"/>
            <w:noWrap/>
            <w:vAlign w:val="bottom"/>
            <w:hideMark/>
          </w:tcPr>
          <w:p w14:paraId="1804B1E7"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072997E1"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61B4459D"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1080" w:type="dxa"/>
            <w:tcBorders>
              <w:top w:val="nil"/>
              <w:left w:val="nil"/>
              <w:bottom w:val="nil"/>
              <w:right w:val="single" w:sz="4" w:space="0" w:color="auto"/>
            </w:tcBorders>
            <w:shd w:val="clear" w:color="auto" w:fill="auto"/>
            <w:noWrap/>
            <w:vAlign w:val="bottom"/>
            <w:hideMark/>
          </w:tcPr>
          <w:p w14:paraId="5BDF7EAF"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vAlign w:val="bottom"/>
          </w:tcPr>
          <w:p w14:paraId="280BF9EF" w14:textId="77777777" w:rsidR="00346A6E" w:rsidRPr="00346A6E" w:rsidRDefault="00346A6E" w:rsidP="00210552">
            <w:pPr>
              <w:jc w:val="center"/>
              <w:rPr>
                <w:rFonts w:eastAsia="Times New Roman"/>
                <w:color w:val="000000"/>
                <w:sz w:val="18"/>
                <w:szCs w:val="18"/>
                <w:lang w:val="en-US"/>
              </w:rPr>
            </w:pPr>
          </w:p>
        </w:tc>
        <w:tc>
          <w:tcPr>
            <w:tcW w:w="990" w:type="dxa"/>
            <w:tcBorders>
              <w:top w:val="nil"/>
              <w:left w:val="single" w:sz="4" w:space="0" w:color="auto"/>
              <w:bottom w:val="nil"/>
              <w:right w:val="single" w:sz="4" w:space="0" w:color="auto"/>
            </w:tcBorders>
            <w:shd w:val="clear" w:color="auto" w:fill="auto"/>
            <w:noWrap/>
            <w:vAlign w:val="bottom"/>
            <w:hideMark/>
          </w:tcPr>
          <w:p w14:paraId="6E80110D"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(0.297)</w:t>
            </w:r>
          </w:p>
        </w:tc>
        <w:tc>
          <w:tcPr>
            <w:tcW w:w="957" w:type="dxa"/>
            <w:tcBorders>
              <w:top w:val="nil"/>
              <w:left w:val="nil"/>
              <w:bottom w:val="nil"/>
              <w:right w:val="single" w:sz="4" w:space="0" w:color="auto"/>
            </w:tcBorders>
            <w:shd w:val="clear" w:color="auto" w:fill="auto"/>
            <w:noWrap/>
            <w:vAlign w:val="bottom"/>
            <w:hideMark/>
          </w:tcPr>
          <w:p w14:paraId="421B07A6"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r>
      <w:tr w:rsidR="00346A6E" w:rsidRPr="002F1920" w14:paraId="5C6EBF29" w14:textId="77777777" w:rsidTr="00210552">
        <w:trPr>
          <w:trHeight w:val="300"/>
        </w:trPr>
        <w:tc>
          <w:tcPr>
            <w:tcW w:w="3780" w:type="dxa"/>
            <w:tcBorders>
              <w:top w:val="nil"/>
              <w:left w:val="single" w:sz="4" w:space="0" w:color="auto"/>
              <w:bottom w:val="nil"/>
              <w:right w:val="single" w:sz="4" w:space="0" w:color="auto"/>
            </w:tcBorders>
            <w:shd w:val="clear" w:color="auto" w:fill="auto"/>
            <w:noWrap/>
            <w:vAlign w:val="bottom"/>
            <w:hideMark/>
          </w:tcPr>
          <w:p w14:paraId="256A7241" w14:textId="3B3AD281" w:rsidR="00346A6E" w:rsidRPr="00346A6E" w:rsidRDefault="008D2BC9" w:rsidP="00273E38">
            <w:pPr>
              <w:jc w:val="center"/>
              <w:rPr>
                <w:rFonts w:eastAsia="Times New Roman"/>
                <w:color w:val="000000"/>
                <w:sz w:val="18"/>
                <w:szCs w:val="18"/>
                <w:lang w:val="en-US"/>
              </w:rPr>
            </w:pPr>
            <w:r>
              <w:rPr>
                <w:rFonts w:eastAsia="Times New Roman"/>
                <w:color w:val="000000"/>
                <w:sz w:val="18"/>
                <w:szCs w:val="18"/>
                <w:lang w:val="en-US"/>
              </w:rPr>
              <w:t>Real Income Growth</w:t>
            </w:r>
            <w:r w:rsidR="00346A6E" w:rsidRPr="00346A6E">
              <w:rPr>
                <w:rFonts w:eastAsia="Times New Roman"/>
                <w:color w:val="000000"/>
                <w:sz w:val="18"/>
                <w:szCs w:val="18"/>
                <w:lang w:val="en-US"/>
              </w:rPr>
              <w:t>(t-2)</w:t>
            </w:r>
          </w:p>
        </w:tc>
        <w:tc>
          <w:tcPr>
            <w:tcW w:w="990" w:type="dxa"/>
            <w:tcBorders>
              <w:top w:val="nil"/>
              <w:left w:val="nil"/>
              <w:bottom w:val="nil"/>
              <w:right w:val="single" w:sz="4" w:space="0" w:color="auto"/>
            </w:tcBorders>
            <w:shd w:val="clear" w:color="auto" w:fill="auto"/>
            <w:noWrap/>
            <w:vAlign w:val="bottom"/>
            <w:hideMark/>
          </w:tcPr>
          <w:p w14:paraId="7FADEB6B"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4E2D76D5"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1080" w:type="dxa"/>
            <w:tcBorders>
              <w:top w:val="nil"/>
              <w:left w:val="nil"/>
              <w:bottom w:val="nil"/>
              <w:right w:val="single" w:sz="4" w:space="0" w:color="auto"/>
            </w:tcBorders>
            <w:shd w:val="clear" w:color="auto" w:fill="auto"/>
            <w:noWrap/>
            <w:vAlign w:val="bottom"/>
            <w:hideMark/>
          </w:tcPr>
          <w:p w14:paraId="4134B919"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vAlign w:val="bottom"/>
          </w:tcPr>
          <w:p w14:paraId="1EADC741" w14:textId="77777777" w:rsidR="00346A6E" w:rsidRPr="00346A6E" w:rsidRDefault="00346A6E" w:rsidP="00210552">
            <w:pPr>
              <w:jc w:val="center"/>
              <w:rPr>
                <w:rFonts w:eastAsia="Times New Roman"/>
                <w:color w:val="000000"/>
                <w:sz w:val="18"/>
                <w:szCs w:val="18"/>
                <w:lang w:val="en-US"/>
              </w:rPr>
            </w:pPr>
          </w:p>
        </w:tc>
        <w:tc>
          <w:tcPr>
            <w:tcW w:w="990" w:type="dxa"/>
            <w:tcBorders>
              <w:top w:val="nil"/>
              <w:left w:val="single" w:sz="4" w:space="0" w:color="auto"/>
              <w:bottom w:val="nil"/>
              <w:right w:val="single" w:sz="4" w:space="0" w:color="auto"/>
            </w:tcBorders>
            <w:shd w:val="clear" w:color="auto" w:fill="auto"/>
            <w:noWrap/>
            <w:vAlign w:val="bottom"/>
            <w:hideMark/>
          </w:tcPr>
          <w:p w14:paraId="0BC1D3EB"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1.880***</w:t>
            </w:r>
          </w:p>
        </w:tc>
        <w:tc>
          <w:tcPr>
            <w:tcW w:w="957" w:type="dxa"/>
            <w:tcBorders>
              <w:top w:val="nil"/>
              <w:left w:val="nil"/>
              <w:bottom w:val="nil"/>
              <w:right w:val="single" w:sz="4" w:space="0" w:color="auto"/>
            </w:tcBorders>
            <w:shd w:val="clear" w:color="auto" w:fill="auto"/>
            <w:noWrap/>
            <w:vAlign w:val="bottom"/>
            <w:hideMark/>
          </w:tcPr>
          <w:p w14:paraId="25EBA6E7"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r>
      <w:tr w:rsidR="00346A6E" w:rsidRPr="002F1920" w14:paraId="6513D539" w14:textId="77777777" w:rsidTr="00210552">
        <w:trPr>
          <w:trHeight w:val="153"/>
        </w:trPr>
        <w:tc>
          <w:tcPr>
            <w:tcW w:w="3780" w:type="dxa"/>
            <w:tcBorders>
              <w:top w:val="nil"/>
              <w:left w:val="single" w:sz="4" w:space="0" w:color="auto"/>
              <w:bottom w:val="nil"/>
              <w:right w:val="single" w:sz="4" w:space="0" w:color="auto"/>
            </w:tcBorders>
            <w:shd w:val="clear" w:color="auto" w:fill="auto"/>
            <w:noWrap/>
            <w:vAlign w:val="bottom"/>
            <w:hideMark/>
          </w:tcPr>
          <w:p w14:paraId="1FA88088"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1E57A5D1"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2381168C"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1080" w:type="dxa"/>
            <w:tcBorders>
              <w:top w:val="nil"/>
              <w:left w:val="nil"/>
              <w:bottom w:val="nil"/>
              <w:right w:val="single" w:sz="4" w:space="0" w:color="auto"/>
            </w:tcBorders>
            <w:shd w:val="clear" w:color="auto" w:fill="auto"/>
            <w:noWrap/>
            <w:vAlign w:val="bottom"/>
            <w:hideMark/>
          </w:tcPr>
          <w:p w14:paraId="2A4AC79C"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vAlign w:val="bottom"/>
          </w:tcPr>
          <w:p w14:paraId="11D881D8" w14:textId="77777777" w:rsidR="00346A6E" w:rsidRPr="00346A6E" w:rsidRDefault="00346A6E" w:rsidP="00210552">
            <w:pPr>
              <w:jc w:val="center"/>
              <w:rPr>
                <w:rFonts w:eastAsia="Times New Roman"/>
                <w:color w:val="000000"/>
                <w:sz w:val="18"/>
                <w:szCs w:val="18"/>
                <w:lang w:val="en-US"/>
              </w:rPr>
            </w:pPr>
          </w:p>
        </w:tc>
        <w:tc>
          <w:tcPr>
            <w:tcW w:w="990" w:type="dxa"/>
            <w:tcBorders>
              <w:top w:val="nil"/>
              <w:left w:val="single" w:sz="4" w:space="0" w:color="auto"/>
              <w:bottom w:val="nil"/>
              <w:right w:val="single" w:sz="4" w:space="0" w:color="auto"/>
            </w:tcBorders>
            <w:shd w:val="clear" w:color="auto" w:fill="auto"/>
            <w:noWrap/>
            <w:vAlign w:val="bottom"/>
            <w:hideMark/>
          </w:tcPr>
          <w:p w14:paraId="39F9EA99"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(0.396)</w:t>
            </w:r>
          </w:p>
        </w:tc>
        <w:tc>
          <w:tcPr>
            <w:tcW w:w="957" w:type="dxa"/>
            <w:tcBorders>
              <w:top w:val="nil"/>
              <w:left w:val="nil"/>
              <w:bottom w:val="nil"/>
              <w:right w:val="single" w:sz="4" w:space="0" w:color="auto"/>
            </w:tcBorders>
            <w:shd w:val="clear" w:color="auto" w:fill="auto"/>
            <w:noWrap/>
            <w:vAlign w:val="bottom"/>
            <w:hideMark/>
          </w:tcPr>
          <w:p w14:paraId="43A9D316"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r>
      <w:tr w:rsidR="00346A6E" w:rsidRPr="002F1920" w14:paraId="602E9EC7" w14:textId="77777777" w:rsidTr="00210552">
        <w:trPr>
          <w:trHeight w:val="300"/>
        </w:trPr>
        <w:tc>
          <w:tcPr>
            <w:tcW w:w="3780" w:type="dxa"/>
            <w:tcBorders>
              <w:top w:val="nil"/>
              <w:left w:val="single" w:sz="4" w:space="0" w:color="auto"/>
              <w:bottom w:val="nil"/>
              <w:right w:val="single" w:sz="4" w:space="0" w:color="auto"/>
            </w:tcBorders>
            <w:shd w:val="clear" w:color="auto" w:fill="auto"/>
            <w:noWrap/>
            <w:vAlign w:val="bottom"/>
            <w:hideMark/>
          </w:tcPr>
          <w:p w14:paraId="44E7CA91"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Capital Account Liberalization</w:t>
            </w:r>
          </w:p>
        </w:tc>
        <w:tc>
          <w:tcPr>
            <w:tcW w:w="990" w:type="dxa"/>
            <w:tcBorders>
              <w:top w:val="nil"/>
              <w:left w:val="nil"/>
              <w:bottom w:val="nil"/>
              <w:right w:val="single" w:sz="4" w:space="0" w:color="auto"/>
            </w:tcBorders>
            <w:shd w:val="clear" w:color="auto" w:fill="auto"/>
            <w:noWrap/>
            <w:vAlign w:val="bottom"/>
            <w:hideMark/>
          </w:tcPr>
          <w:p w14:paraId="0B52F4DF"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0888BA79"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1080" w:type="dxa"/>
            <w:tcBorders>
              <w:top w:val="nil"/>
              <w:left w:val="nil"/>
              <w:bottom w:val="nil"/>
              <w:right w:val="single" w:sz="4" w:space="0" w:color="auto"/>
            </w:tcBorders>
            <w:shd w:val="clear" w:color="auto" w:fill="auto"/>
            <w:noWrap/>
            <w:vAlign w:val="bottom"/>
            <w:hideMark/>
          </w:tcPr>
          <w:p w14:paraId="006674ED"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vAlign w:val="bottom"/>
          </w:tcPr>
          <w:p w14:paraId="75A047B7" w14:textId="77777777" w:rsidR="00346A6E" w:rsidRPr="00346A6E" w:rsidRDefault="00346A6E" w:rsidP="00210552">
            <w:pPr>
              <w:jc w:val="center"/>
              <w:rPr>
                <w:rFonts w:eastAsia="Times New Roman"/>
                <w:color w:val="000000"/>
                <w:sz w:val="18"/>
                <w:szCs w:val="18"/>
                <w:lang w:val="en-US"/>
              </w:rPr>
            </w:pPr>
          </w:p>
        </w:tc>
        <w:tc>
          <w:tcPr>
            <w:tcW w:w="990" w:type="dxa"/>
            <w:tcBorders>
              <w:top w:val="nil"/>
              <w:left w:val="single" w:sz="4" w:space="0" w:color="auto"/>
              <w:bottom w:val="nil"/>
              <w:right w:val="single" w:sz="4" w:space="0" w:color="auto"/>
            </w:tcBorders>
            <w:shd w:val="clear" w:color="auto" w:fill="auto"/>
            <w:noWrap/>
            <w:vAlign w:val="bottom"/>
            <w:hideMark/>
          </w:tcPr>
          <w:p w14:paraId="20EC2A59"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0.35</w:t>
            </w:r>
          </w:p>
        </w:tc>
        <w:tc>
          <w:tcPr>
            <w:tcW w:w="957" w:type="dxa"/>
            <w:tcBorders>
              <w:top w:val="nil"/>
              <w:left w:val="nil"/>
              <w:bottom w:val="nil"/>
              <w:right w:val="single" w:sz="4" w:space="0" w:color="auto"/>
            </w:tcBorders>
            <w:shd w:val="clear" w:color="auto" w:fill="auto"/>
            <w:noWrap/>
            <w:vAlign w:val="bottom"/>
            <w:hideMark/>
          </w:tcPr>
          <w:p w14:paraId="1F216BBB"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r>
      <w:tr w:rsidR="00346A6E" w:rsidRPr="002F1920" w14:paraId="17170917" w14:textId="77777777" w:rsidTr="00210552">
        <w:trPr>
          <w:trHeight w:val="180"/>
        </w:trPr>
        <w:tc>
          <w:tcPr>
            <w:tcW w:w="3780" w:type="dxa"/>
            <w:tcBorders>
              <w:top w:val="nil"/>
              <w:left w:val="single" w:sz="4" w:space="0" w:color="auto"/>
              <w:bottom w:val="nil"/>
              <w:right w:val="single" w:sz="4" w:space="0" w:color="auto"/>
            </w:tcBorders>
            <w:shd w:val="clear" w:color="auto" w:fill="auto"/>
            <w:noWrap/>
            <w:vAlign w:val="bottom"/>
            <w:hideMark/>
          </w:tcPr>
          <w:p w14:paraId="778E1AD2" w14:textId="561C8322" w:rsidR="00346A6E" w:rsidRPr="00346A6E" w:rsidRDefault="008D2BC9" w:rsidP="00273E38">
            <w:pPr>
              <w:jc w:val="center"/>
              <w:rPr>
                <w:rFonts w:eastAsia="Times New Roman"/>
                <w:color w:val="000000"/>
                <w:sz w:val="18"/>
                <w:szCs w:val="18"/>
                <w:lang w:val="en-US"/>
              </w:rPr>
            </w:pPr>
            <w:r>
              <w:rPr>
                <w:rFonts w:eastAsia="Times New Roman"/>
                <w:color w:val="000000"/>
                <w:sz w:val="18"/>
                <w:szCs w:val="18"/>
                <w:lang w:val="en-US"/>
              </w:rPr>
              <w:t>Index</w:t>
            </w:r>
            <w:r w:rsidR="00346A6E" w:rsidRPr="00346A6E">
              <w:rPr>
                <w:rFonts w:eastAsia="Times New Roman"/>
                <w:color w:val="000000"/>
                <w:sz w:val="18"/>
                <w:szCs w:val="18"/>
                <w:lang w:val="en-US"/>
              </w:rPr>
              <w:t>(t-2)</w:t>
            </w:r>
          </w:p>
        </w:tc>
        <w:tc>
          <w:tcPr>
            <w:tcW w:w="990" w:type="dxa"/>
            <w:tcBorders>
              <w:top w:val="nil"/>
              <w:left w:val="nil"/>
              <w:bottom w:val="nil"/>
              <w:right w:val="single" w:sz="4" w:space="0" w:color="auto"/>
            </w:tcBorders>
            <w:shd w:val="clear" w:color="auto" w:fill="auto"/>
            <w:noWrap/>
            <w:vAlign w:val="bottom"/>
            <w:hideMark/>
          </w:tcPr>
          <w:p w14:paraId="21A7E506"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4109DF09"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1080" w:type="dxa"/>
            <w:tcBorders>
              <w:top w:val="nil"/>
              <w:left w:val="nil"/>
              <w:bottom w:val="nil"/>
              <w:right w:val="single" w:sz="4" w:space="0" w:color="auto"/>
            </w:tcBorders>
            <w:shd w:val="clear" w:color="auto" w:fill="auto"/>
            <w:noWrap/>
            <w:vAlign w:val="bottom"/>
            <w:hideMark/>
          </w:tcPr>
          <w:p w14:paraId="32BE3D87"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vAlign w:val="bottom"/>
          </w:tcPr>
          <w:p w14:paraId="474B350A" w14:textId="77777777" w:rsidR="00346A6E" w:rsidRPr="00346A6E" w:rsidRDefault="00346A6E" w:rsidP="00210552">
            <w:pPr>
              <w:jc w:val="center"/>
              <w:rPr>
                <w:rFonts w:eastAsia="Times New Roman"/>
                <w:color w:val="000000"/>
                <w:sz w:val="18"/>
                <w:szCs w:val="18"/>
                <w:lang w:val="en-US"/>
              </w:rPr>
            </w:pPr>
          </w:p>
        </w:tc>
        <w:tc>
          <w:tcPr>
            <w:tcW w:w="990" w:type="dxa"/>
            <w:tcBorders>
              <w:top w:val="nil"/>
              <w:left w:val="single" w:sz="4" w:space="0" w:color="auto"/>
              <w:bottom w:val="nil"/>
              <w:right w:val="single" w:sz="4" w:space="0" w:color="auto"/>
            </w:tcBorders>
            <w:shd w:val="clear" w:color="auto" w:fill="auto"/>
            <w:noWrap/>
            <w:vAlign w:val="bottom"/>
            <w:hideMark/>
          </w:tcPr>
          <w:p w14:paraId="2B3EA809"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(0.498)</w:t>
            </w:r>
          </w:p>
        </w:tc>
        <w:tc>
          <w:tcPr>
            <w:tcW w:w="957" w:type="dxa"/>
            <w:tcBorders>
              <w:top w:val="nil"/>
              <w:left w:val="nil"/>
              <w:bottom w:val="nil"/>
              <w:right w:val="single" w:sz="4" w:space="0" w:color="auto"/>
            </w:tcBorders>
            <w:shd w:val="clear" w:color="auto" w:fill="auto"/>
            <w:noWrap/>
            <w:vAlign w:val="bottom"/>
            <w:hideMark/>
          </w:tcPr>
          <w:p w14:paraId="1DC12E39"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r>
      <w:tr w:rsidR="00346A6E" w:rsidRPr="002F1920" w14:paraId="625DD977" w14:textId="77777777" w:rsidTr="00210552">
        <w:trPr>
          <w:trHeight w:val="300"/>
        </w:trPr>
        <w:tc>
          <w:tcPr>
            <w:tcW w:w="3780" w:type="dxa"/>
            <w:tcBorders>
              <w:top w:val="nil"/>
              <w:left w:val="single" w:sz="4" w:space="0" w:color="auto"/>
              <w:bottom w:val="nil"/>
              <w:right w:val="single" w:sz="4" w:space="0" w:color="auto"/>
            </w:tcBorders>
            <w:shd w:val="clear" w:color="auto" w:fill="auto"/>
            <w:noWrap/>
            <w:vAlign w:val="bottom"/>
            <w:hideMark/>
          </w:tcPr>
          <w:p w14:paraId="69C47CA9"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xml:space="preserve">Proportion of Cabinet Seats </w:t>
            </w:r>
          </w:p>
        </w:tc>
        <w:tc>
          <w:tcPr>
            <w:tcW w:w="990" w:type="dxa"/>
            <w:tcBorders>
              <w:top w:val="nil"/>
              <w:left w:val="nil"/>
              <w:bottom w:val="nil"/>
              <w:right w:val="single" w:sz="4" w:space="0" w:color="auto"/>
            </w:tcBorders>
            <w:shd w:val="clear" w:color="auto" w:fill="auto"/>
            <w:noWrap/>
            <w:vAlign w:val="bottom"/>
            <w:hideMark/>
          </w:tcPr>
          <w:p w14:paraId="31EF6046"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474D2117"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1080" w:type="dxa"/>
            <w:tcBorders>
              <w:top w:val="nil"/>
              <w:left w:val="nil"/>
              <w:bottom w:val="nil"/>
              <w:right w:val="single" w:sz="4" w:space="0" w:color="auto"/>
            </w:tcBorders>
            <w:shd w:val="clear" w:color="auto" w:fill="auto"/>
            <w:noWrap/>
            <w:vAlign w:val="bottom"/>
            <w:hideMark/>
          </w:tcPr>
          <w:p w14:paraId="74FB4A04"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vAlign w:val="bottom"/>
          </w:tcPr>
          <w:p w14:paraId="67537369" w14:textId="77777777" w:rsidR="00346A6E" w:rsidRPr="00346A6E" w:rsidRDefault="00346A6E" w:rsidP="00210552">
            <w:pPr>
              <w:jc w:val="center"/>
              <w:rPr>
                <w:rFonts w:eastAsia="Times New Roman"/>
                <w:color w:val="000000"/>
                <w:sz w:val="18"/>
                <w:szCs w:val="18"/>
                <w:lang w:val="en-US"/>
              </w:rPr>
            </w:pPr>
          </w:p>
        </w:tc>
        <w:tc>
          <w:tcPr>
            <w:tcW w:w="990" w:type="dxa"/>
            <w:tcBorders>
              <w:top w:val="nil"/>
              <w:left w:val="single" w:sz="4" w:space="0" w:color="auto"/>
              <w:bottom w:val="nil"/>
              <w:right w:val="single" w:sz="4" w:space="0" w:color="auto"/>
            </w:tcBorders>
            <w:shd w:val="clear" w:color="auto" w:fill="auto"/>
            <w:noWrap/>
            <w:vAlign w:val="bottom"/>
            <w:hideMark/>
          </w:tcPr>
          <w:p w14:paraId="077F7C02"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-0.443</w:t>
            </w:r>
          </w:p>
        </w:tc>
        <w:tc>
          <w:tcPr>
            <w:tcW w:w="957" w:type="dxa"/>
            <w:tcBorders>
              <w:top w:val="nil"/>
              <w:left w:val="nil"/>
              <w:bottom w:val="nil"/>
              <w:right w:val="single" w:sz="4" w:space="0" w:color="auto"/>
            </w:tcBorders>
            <w:shd w:val="clear" w:color="auto" w:fill="auto"/>
            <w:noWrap/>
            <w:vAlign w:val="bottom"/>
            <w:hideMark/>
          </w:tcPr>
          <w:p w14:paraId="40C50BAE"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r>
      <w:tr w:rsidR="00346A6E" w:rsidRPr="002F1920" w14:paraId="13CDA9BF" w14:textId="77777777" w:rsidTr="00210552">
        <w:trPr>
          <w:trHeight w:val="117"/>
        </w:trPr>
        <w:tc>
          <w:tcPr>
            <w:tcW w:w="3780" w:type="dxa"/>
            <w:tcBorders>
              <w:top w:val="nil"/>
              <w:left w:val="single" w:sz="4" w:space="0" w:color="auto"/>
              <w:bottom w:val="nil"/>
              <w:right w:val="single" w:sz="4" w:space="0" w:color="auto"/>
            </w:tcBorders>
            <w:shd w:val="clear" w:color="auto" w:fill="auto"/>
            <w:noWrap/>
            <w:vAlign w:val="bottom"/>
            <w:hideMark/>
          </w:tcPr>
          <w:p w14:paraId="456CA078" w14:textId="043C84D5" w:rsidR="00346A6E" w:rsidRPr="00346A6E" w:rsidRDefault="008D2BC9" w:rsidP="00273E38">
            <w:pPr>
              <w:jc w:val="center"/>
              <w:rPr>
                <w:rFonts w:eastAsia="Times New Roman"/>
                <w:color w:val="000000"/>
                <w:sz w:val="18"/>
                <w:szCs w:val="18"/>
                <w:lang w:val="en-US"/>
              </w:rPr>
            </w:pPr>
            <w:r>
              <w:rPr>
                <w:rFonts w:eastAsia="Times New Roman"/>
                <w:color w:val="000000"/>
                <w:sz w:val="18"/>
                <w:szCs w:val="18"/>
                <w:lang w:val="en-US"/>
              </w:rPr>
              <w:t>occupied by right parties</w:t>
            </w:r>
            <w:r w:rsidR="00346A6E" w:rsidRPr="00346A6E">
              <w:rPr>
                <w:rFonts w:eastAsia="Times New Roman"/>
                <w:color w:val="000000"/>
                <w:sz w:val="18"/>
                <w:szCs w:val="18"/>
                <w:lang w:val="en-US"/>
              </w:rPr>
              <w:t>(t-2)</w:t>
            </w:r>
          </w:p>
        </w:tc>
        <w:tc>
          <w:tcPr>
            <w:tcW w:w="990" w:type="dxa"/>
            <w:tcBorders>
              <w:top w:val="nil"/>
              <w:left w:val="nil"/>
              <w:bottom w:val="nil"/>
              <w:right w:val="single" w:sz="4" w:space="0" w:color="auto"/>
            </w:tcBorders>
            <w:shd w:val="clear" w:color="auto" w:fill="auto"/>
            <w:noWrap/>
            <w:vAlign w:val="bottom"/>
            <w:hideMark/>
          </w:tcPr>
          <w:p w14:paraId="7354E732"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1B364D92"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1080" w:type="dxa"/>
            <w:tcBorders>
              <w:top w:val="nil"/>
              <w:left w:val="nil"/>
              <w:bottom w:val="nil"/>
              <w:right w:val="single" w:sz="4" w:space="0" w:color="auto"/>
            </w:tcBorders>
            <w:shd w:val="clear" w:color="auto" w:fill="auto"/>
            <w:noWrap/>
            <w:vAlign w:val="bottom"/>
            <w:hideMark/>
          </w:tcPr>
          <w:p w14:paraId="0D4A9CCE"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vAlign w:val="bottom"/>
          </w:tcPr>
          <w:p w14:paraId="026E383F" w14:textId="77777777" w:rsidR="00346A6E" w:rsidRPr="00346A6E" w:rsidRDefault="00346A6E" w:rsidP="00210552">
            <w:pPr>
              <w:jc w:val="center"/>
              <w:rPr>
                <w:rFonts w:eastAsia="Times New Roman"/>
                <w:color w:val="000000"/>
                <w:sz w:val="18"/>
                <w:szCs w:val="18"/>
                <w:lang w:val="en-US"/>
              </w:rPr>
            </w:pPr>
          </w:p>
        </w:tc>
        <w:tc>
          <w:tcPr>
            <w:tcW w:w="990" w:type="dxa"/>
            <w:tcBorders>
              <w:top w:val="nil"/>
              <w:left w:val="single" w:sz="4" w:space="0" w:color="auto"/>
              <w:bottom w:val="nil"/>
              <w:right w:val="single" w:sz="4" w:space="0" w:color="auto"/>
            </w:tcBorders>
            <w:shd w:val="clear" w:color="auto" w:fill="auto"/>
            <w:noWrap/>
            <w:vAlign w:val="bottom"/>
            <w:hideMark/>
          </w:tcPr>
          <w:p w14:paraId="59707F35"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(0.359)</w:t>
            </w:r>
          </w:p>
        </w:tc>
        <w:tc>
          <w:tcPr>
            <w:tcW w:w="957" w:type="dxa"/>
            <w:tcBorders>
              <w:top w:val="nil"/>
              <w:left w:val="nil"/>
              <w:bottom w:val="nil"/>
              <w:right w:val="single" w:sz="4" w:space="0" w:color="auto"/>
            </w:tcBorders>
            <w:shd w:val="clear" w:color="auto" w:fill="auto"/>
            <w:noWrap/>
            <w:vAlign w:val="bottom"/>
            <w:hideMark/>
          </w:tcPr>
          <w:p w14:paraId="4BCD088B"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r>
      <w:tr w:rsidR="00346A6E" w:rsidRPr="002F1920" w14:paraId="2D115E26" w14:textId="77777777" w:rsidTr="00210552">
        <w:trPr>
          <w:trHeight w:val="300"/>
        </w:trPr>
        <w:tc>
          <w:tcPr>
            <w:tcW w:w="3780" w:type="dxa"/>
            <w:tcBorders>
              <w:top w:val="nil"/>
              <w:left w:val="single" w:sz="4" w:space="0" w:color="auto"/>
              <w:bottom w:val="nil"/>
              <w:right w:val="single" w:sz="4" w:space="0" w:color="auto"/>
            </w:tcBorders>
            <w:shd w:val="clear" w:color="auto" w:fill="auto"/>
            <w:noWrap/>
            <w:vAlign w:val="bottom"/>
            <w:hideMark/>
          </w:tcPr>
          <w:p w14:paraId="53F5B16B" w14:textId="191912DA"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Weighte</w:t>
            </w:r>
            <w:r w:rsidR="008D2BC9">
              <w:rPr>
                <w:rFonts w:eastAsia="Times New Roman"/>
                <w:color w:val="000000"/>
                <w:sz w:val="18"/>
                <w:szCs w:val="18"/>
                <w:lang w:val="en-US"/>
              </w:rPr>
              <w:t>d CBI</w:t>
            </w:r>
            <w:r w:rsidRPr="00346A6E">
              <w:rPr>
                <w:rFonts w:eastAsia="Times New Roman"/>
                <w:color w:val="000000"/>
                <w:sz w:val="18"/>
                <w:szCs w:val="18"/>
                <w:lang w:val="en-US"/>
              </w:rPr>
              <w:t>(t-2)</w:t>
            </w:r>
          </w:p>
        </w:tc>
        <w:tc>
          <w:tcPr>
            <w:tcW w:w="990" w:type="dxa"/>
            <w:tcBorders>
              <w:top w:val="nil"/>
              <w:left w:val="nil"/>
              <w:bottom w:val="nil"/>
              <w:right w:val="single" w:sz="4" w:space="0" w:color="auto"/>
            </w:tcBorders>
            <w:shd w:val="clear" w:color="auto" w:fill="auto"/>
            <w:noWrap/>
            <w:vAlign w:val="bottom"/>
            <w:hideMark/>
          </w:tcPr>
          <w:p w14:paraId="13A43615"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1DBB7FCC"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1080" w:type="dxa"/>
            <w:tcBorders>
              <w:top w:val="nil"/>
              <w:left w:val="nil"/>
              <w:bottom w:val="nil"/>
              <w:right w:val="single" w:sz="4" w:space="0" w:color="auto"/>
            </w:tcBorders>
            <w:shd w:val="clear" w:color="auto" w:fill="auto"/>
            <w:noWrap/>
            <w:vAlign w:val="bottom"/>
            <w:hideMark/>
          </w:tcPr>
          <w:p w14:paraId="3D22897B"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vAlign w:val="bottom"/>
          </w:tcPr>
          <w:p w14:paraId="7100FB63" w14:textId="77777777" w:rsidR="00346A6E" w:rsidRPr="00346A6E" w:rsidRDefault="00346A6E" w:rsidP="00210552">
            <w:pPr>
              <w:jc w:val="center"/>
              <w:rPr>
                <w:rFonts w:eastAsia="Times New Roman"/>
                <w:color w:val="000000"/>
                <w:sz w:val="18"/>
                <w:szCs w:val="18"/>
                <w:lang w:val="en-US"/>
              </w:rPr>
            </w:pPr>
          </w:p>
        </w:tc>
        <w:tc>
          <w:tcPr>
            <w:tcW w:w="990" w:type="dxa"/>
            <w:tcBorders>
              <w:top w:val="nil"/>
              <w:left w:val="single" w:sz="4" w:space="0" w:color="auto"/>
              <w:bottom w:val="nil"/>
              <w:right w:val="single" w:sz="4" w:space="0" w:color="auto"/>
            </w:tcBorders>
            <w:shd w:val="clear" w:color="auto" w:fill="auto"/>
            <w:noWrap/>
            <w:vAlign w:val="bottom"/>
            <w:hideMark/>
          </w:tcPr>
          <w:p w14:paraId="4DB8FEA6"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0.037</w:t>
            </w:r>
          </w:p>
        </w:tc>
        <w:tc>
          <w:tcPr>
            <w:tcW w:w="957" w:type="dxa"/>
            <w:tcBorders>
              <w:top w:val="nil"/>
              <w:left w:val="nil"/>
              <w:bottom w:val="nil"/>
              <w:right w:val="single" w:sz="4" w:space="0" w:color="auto"/>
            </w:tcBorders>
            <w:shd w:val="clear" w:color="auto" w:fill="auto"/>
            <w:noWrap/>
            <w:vAlign w:val="bottom"/>
            <w:hideMark/>
          </w:tcPr>
          <w:p w14:paraId="4D0DFF8B"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r>
      <w:tr w:rsidR="00346A6E" w:rsidRPr="002F1920" w14:paraId="5982FAF0" w14:textId="77777777" w:rsidTr="00210552">
        <w:trPr>
          <w:trHeight w:val="225"/>
        </w:trPr>
        <w:tc>
          <w:tcPr>
            <w:tcW w:w="3780" w:type="dxa"/>
            <w:tcBorders>
              <w:top w:val="nil"/>
              <w:left w:val="single" w:sz="4" w:space="0" w:color="auto"/>
              <w:bottom w:val="nil"/>
              <w:right w:val="single" w:sz="4" w:space="0" w:color="auto"/>
            </w:tcBorders>
            <w:shd w:val="clear" w:color="auto" w:fill="auto"/>
            <w:noWrap/>
            <w:vAlign w:val="bottom"/>
            <w:hideMark/>
          </w:tcPr>
          <w:p w14:paraId="0E55ABCD"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07ACA2B4"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shd w:val="clear" w:color="auto" w:fill="auto"/>
            <w:noWrap/>
            <w:vAlign w:val="bottom"/>
            <w:hideMark/>
          </w:tcPr>
          <w:p w14:paraId="04EA94F5"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1080" w:type="dxa"/>
            <w:tcBorders>
              <w:top w:val="nil"/>
              <w:left w:val="nil"/>
              <w:bottom w:val="nil"/>
              <w:right w:val="single" w:sz="4" w:space="0" w:color="auto"/>
            </w:tcBorders>
            <w:shd w:val="clear" w:color="auto" w:fill="auto"/>
            <w:noWrap/>
            <w:vAlign w:val="bottom"/>
            <w:hideMark/>
          </w:tcPr>
          <w:p w14:paraId="36612C02"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nil"/>
              <w:right w:val="single" w:sz="4" w:space="0" w:color="auto"/>
            </w:tcBorders>
            <w:vAlign w:val="bottom"/>
          </w:tcPr>
          <w:p w14:paraId="48E21A9F" w14:textId="77777777" w:rsidR="00346A6E" w:rsidRPr="00346A6E" w:rsidRDefault="00346A6E" w:rsidP="00210552">
            <w:pPr>
              <w:jc w:val="center"/>
              <w:rPr>
                <w:rFonts w:eastAsia="Times New Roman"/>
                <w:color w:val="000000"/>
                <w:sz w:val="18"/>
                <w:szCs w:val="18"/>
                <w:lang w:val="en-US"/>
              </w:rPr>
            </w:pPr>
          </w:p>
        </w:tc>
        <w:tc>
          <w:tcPr>
            <w:tcW w:w="990" w:type="dxa"/>
            <w:tcBorders>
              <w:top w:val="nil"/>
              <w:left w:val="single" w:sz="4" w:space="0" w:color="auto"/>
              <w:bottom w:val="nil"/>
              <w:right w:val="single" w:sz="4" w:space="0" w:color="auto"/>
            </w:tcBorders>
            <w:shd w:val="clear" w:color="auto" w:fill="auto"/>
            <w:noWrap/>
            <w:vAlign w:val="bottom"/>
            <w:hideMark/>
          </w:tcPr>
          <w:p w14:paraId="2524340F"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(0.459)</w:t>
            </w:r>
          </w:p>
        </w:tc>
        <w:tc>
          <w:tcPr>
            <w:tcW w:w="957" w:type="dxa"/>
            <w:tcBorders>
              <w:top w:val="nil"/>
              <w:left w:val="nil"/>
              <w:bottom w:val="nil"/>
              <w:right w:val="single" w:sz="4" w:space="0" w:color="auto"/>
            </w:tcBorders>
            <w:shd w:val="clear" w:color="auto" w:fill="auto"/>
            <w:noWrap/>
            <w:vAlign w:val="bottom"/>
            <w:hideMark/>
          </w:tcPr>
          <w:p w14:paraId="78EDE54F"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r>
      <w:tr w:rsidR="00346A6E" w:rsidRPr="002F1920" w14:paraId="1FC4B39A" w14:textId="77777777" w:rsidTr="00210552">
        <w:trPr>
          <w:trHeight w:val="300"/>
        </w:trPr>
        <w:tc>
          <w:tcPr>
            <w:tcW w:w="3780" w:type="dxa"/>
            <w:tcBorders>
              <w:top w:val="nil"/>
              <w:left w:val="single" w:sz="4" w:space="0" w:color="auto"/>
              <w:bottom w:val="nil"/>
              <w:right w:val="single" w:sz="4" w:space="0" w:color="auto"/>
            </w:tcBorders>
            <w:shd w:val="clear" w:color="auto" w:fill="auto"/>
            <w:noWrap/>
            <w:vAlign w:val="bottom"/>
            <w:hideMark/>
          </w:tcPr>
          <w:p w14:paraId="10E1B11E"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Constant</w:t>
            </w:r>
          </w:p>
        </w:tc>
        <w:tc>
          <w:tcPr>
            <w:tcW w:w="990" w:type="dxa"/>
            <w:tcBorders>
              <w:top w:val="nil"/>
              <w:left w:val="nil"/>
              <w:bottom w:val="nil"/>
              <w:right w:val="single" w:sz="4" w:space="0" w:color="auto"/>
            </w:tcBorders>
            <w:shd w:val="clear" w:color="auto" w:fill="auto"/>
            <w:noWrap/>
            <w:vAlign w:val="bottom"/>
            <w:hideMark/>
          </w:tcPr>
          <w:p w14:paraId="3D547CE7"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2.895***</w:t>
            </w:r>
          </w:p>
        </w:tc>
        <w:tc>
          <w:tcPr>
            <w:tcW w:w="990" w:type="dxa"/>
            <w:tcBorders>
              <w:top w:val="nil"/>
              <w:left w:val="nil"/>
              <w:bottom w:val="nil"/>
              <w:right w:val="single" w:sz="4" w:space="0" w:color="auto"/>
            </w:tcBorders>
            <w:shd w:val="clear" w:color="auto" w:fill="auto"/>
            <w:noWrap/>
            <w:vAlign w:val="bottom"/>
            <w:hideMark/>
          </w:tcPr>
          <w:p w14:paraId="6D487BD0"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3.123***</w:t>
            </w:r>
          </w:p>
        </w:tc>
        <w:tc>
          <w:tcPr>
            <w:tcW w:w="1080" w:type="dxa"/>
            <w:tcBorders>
              <w:top w:val="nil"/>
              <w:left w:val="nil"/>
              <w:bottom w:val="nil"/>
              <w:right w:val="single" w:sz="4" w:space="0" w:color="auto"/>
            </w:tcBorders>
            <w:shd w:val="clear" w:color="auto" w:fill="auto"/>
            <w:noWrap/>
            <w:vAlign w:val="bottom"/>
            <w:hideMark/>
          </w:tcPr>
          <w:p w14:paraId="10C2C8DC"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3.118***</w:t>
            </w:r>
          </w:p>
        </w:tc>
        <w:tc>
          <w:tcPr>
            <w:tcW w:w="990" w:type="dxa"/>
            <w:tcBorders>
              <w:top w:val="nil"/>
              <w:left w:val="nil"/>
              <w:bottom w:val="nil"/>
              <w:right w:val="single" w:sz="4" w:space="0" w:color="auto"/>
            </w:tcBorders>
            <w:vAlign w:val="bottom"/>
          </w:tcPr>
          <w:p w14:paraId="1BA061C9" w14:textId="77777777" w:rsidR="00346A6E" w:rsidRPr="00346A6E" w:rsidRDefault="00FD797F" w:rsidP="00210552">
            <w:pPr>
              <w:jc w:val="center"/>
              <w:rPr>
                <w:rFonts w:eastAsia="Times New Roman"/>
                <w:color w:val="000000"/>
                <w:sz w:val="18"/>
                <w:szCs w:val="18"/>
                <w:lang w:val="en-US"/>
              </w:rPr>
            </w:pPr>
            <w:r>
              <w:rPr>
                <w:rFonts w:eastAsia="Times New Roman"/>
                <w:color w:val="000000"/>
                <w:sz w:val="18"/>
                <w:szCs w:val="18"/>
                <w:lang w:val="en-US"/>
              </w:rPr>
              <w:t>3.216***</w:t>
            </w:r>
          </w:p>
        </w:tc>
        <w:tc>
          <w:tcPr>
            <w:tcW w:w="990" w:type="dxa"/>
            <w:tcBorders>
              <w:top w:val="nil"/>
              <w:left w:val="single" w:sz="4" w:space="0" w:color="auto"/>
              <w:bottom w:val="nil"/>
              <w:right w:val="single" w:sz="4" w:space="0" w:color="auto"/>
            </w:tcBorders>
            <w:shd w:val="clear" w:color="auto" w:fill="auto"/>
            <w:noWrap/>
            <w:vAlign w:val="bottom"/>
            <w:hideMark/>
          </w:tcPr>
          <w:p w14:paraId="72D428E5"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3.445***</w:t>
            </w:r>
          </w:p>
        </w:tc>
        <w:tc>
          <w:tcPr>
            <w:tcW w:w="957" w:type="dxa"/>
            <w:tcBorders>
              <w:top w:val="nil"/>
              <w:left w:val="nil"/>
              <w:bottom w:val="nil"/>
              <w:right w:val="single" w:sz="4" w:space="0" w:color="auto"/>
            </w:tcBorders>
            <w:shd w:val="clear" w:color="auto" w:fill="auto"/>
            <w:noWrap/>
            <w:vAlign w:val="bottom"/>
            <w:hideMark/>
          </w:tcPr>
          <w:p w14:paraId="5031C0F7"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3.552***</w:t>
            </w:r>
          </w:p>
        </w:tc>
      </w:tr>
      <w:tr w:rsidR="00346A6E" w:rsidRPr="002F1920" w14:paraId="27E85846" w14:textId="77777777" w:rsidTr="00210552">
        <w:trPr>
          <w:trHeight w:val="261"/>
        </w:trPr>
        <w:tc>
          <w:tcPr>
            <w:tcW w:w="3780" w:type="dxa"/>
            <w:tcBorders>
              <w:top w:val="nil"/>
              <w:left w:val="single" w:sz="4" w:space="0" w:color="auto"/>
              <w:bottom w:val="nil"/>
              <w:right w:val="single" w:sz="4" w:space="0" w:color="auto"/>
            </w:tcBorders>
            <w:shd w:val="clear" w:color="auto" w:fill="auto"/>
            <w:noWrap/>
            <w:vAlign w:val="bottom"/>
            <w:hideMark/>
          </w:tcPr>
          <w:p w14:paraId="582AD5B0"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14:paraId="7E54AA5C"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(0.900)</w:t>
            </w:r>
          </w:p>
        </w:tc>
        <w:tc>
          <w:tcPr>
            <w:tcW w:w="990" w:type="dxa"/>
            <w:tcBorders>
              <w:top w:val="nil"/>
              <w:left w:val="nil"/>
              <w:bottom w:val="single" w:sz="4" w:space="0" w:color="auto"/>
              <w:right w:val="single" w:sz="4" w:space="0" w:color="auto"/>
            </w:tcBorders>
            <w:shd w:val="clear" w:color="auto" w:fill="auto"/>
            <w:noWrap/>
            <w:vAlign w:val="bottom"/>
            <w:hideMark/>
          </w:tcPr>
          <w:p w14:paraId="11187B11"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(0.863)</w:t>
            </w:r>
          </w:p>
        </w:tc>
        <w:tc>
          <w:tcPr>
            <w:tcW w:w="1080" w:type="dxa"/>
            <w:tcBorders>
              <w:top w:val="nil"/>
              <w:left w:val="nil"/>
              <w:bottom w:val="single" w:sz="4" w:space="0" w:color="auto"/>
              <w:right w:val="single" w:sz="4" w:space="0" w:color="auto"/>
            </w:tcBorders>
            <w:shd w:val="clear" w:color="auto" w:fill="auto"/>
            <w:noWrap/>
            <w:vAlign w:val="bottom"/>
            <w:hideMark/>
          </w:tcPr>
          <w:p w14:paraId="73360786"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(0.918)</w:t>
            </w:r>
          </w:p>
        </w:tc>
        <w:tc>
          <w:tcPr>
            <w:tcW w:w="990" w:type="dxa"/>
            <w:tcBorders>
              <w:top w:val="nil"/>
              <w:left w:val="nil"/>
              <w:bottom w:val="single" w:sz="4" w:space="0" w:color="auto"/>
              <w:right w:val="single" w:sz="4" w:space="0" w:color="auto"/>
            </w:tcBorders>
            <w:vAlign w:val="bottom"/>
          </w:tcPr>
          <w:p w14:paraId="7ACBA366" w14:textId="77777777" w:rsidR="00346A6E" w:rsidRPr="00346A6E" w:rsidRDefault="00FD797F" w:rsidP="00210552">
            <w:pPr>
              <w:jc w:val="center"/>
              <w:rPr>
                <w:rFonts w:eastAsia="Times New Roman"/>
                <w:color w:val="000000"/>
                <w:sz w:val="18"/>
                <w:szCs w:val="18"/>
                <w:lang w:val="en-US"/>
              </w:rPr>
            </w:pPr>
            <w:r>
              <w:rPr>
                <w:rFonts w:eastAsia="Times New Roman"/>
                <w:color w:val="000000"/>
                <w:sz w:val="18"/>
                <w:szCs w:val="18"/>
                <w:lang w:val="en-US"/>
              </w:rPr>
              <w:t>(0.867)</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1488CD8"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(0.961)</w:t>
            </w:r>
          </w:p>
        </w:tc>
        <w:tc>
          <w:tcPr>
            <w:tcW w:w="957" w:type="dxa"/>
            <w:tcBorders>
              <w:top w:val="nil"/>
              <w:left w:val="nil"/>
              <w:bottom w:val="single" w:sz="4" w:space="0" w:color="auto"/>
              <w:right w:val="single" w:sz="4" w:space="0" w:color="auto"/>
            </w:tcBorders>
            <w:shd w:val="clear" w:color="auto" w:fill="auto"/>
            <w:noWrap/>
            <w:vAlign w:val="bottom"/>
            <w:hideMark/>
          </w:tcPr>
          <w:p w14:paraId="07502000"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(1.029)</w:t>
            </w:r>
          </w:p>
        </w:tc>
      </w:tr>
      <w:tr w:rsidR="00346A6E" w:rsidRPr="002F1920" w14:paraId="61CC614E" w14:textId="77777777" w:rsidTr="00210552">
        <w:trPr>
          <w:trHeight w:val="300"/>
        </w:trPr>
        <w:tc>
          <w:tcPr>
            <w:tcW w:w="3780" w:type="dxa"/>
            <w:tcBorders>
              <w:top w:val="single" w:sz="4" w:space="0" w:color="auto"/>
              <w:left w:val="single" w:sz="4" w:space="0" w:color="auto"/>
              <w:bottom w:val="nil"/>
              <w:right w:val="single" w:sz="4" w:space="0" w:color="auto"/>
            </w:tcBorders>
            <w:shd w:val="clear" w:color="auto" w:fill="auto"/>
            <w:noWrap/>
            <w:vAlign w:val="bottom"/>
            <w:hideMark/>
          </w:tcPr>
          <w:p w14:paraId="178F38B8"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N</w:t>
            </w:r>
          </w:p>
        </w:tc>
        <w:tc>
          <w:tcPr>
            <w:tcW w:w="990" w:type="dxa"/>
            <w:tcBorders>
              <w:top w:val="nil"/>
              <w:left w:val="nil"/>
              <w:bottom w:val="nil"/>
              <w:right w:val="single" w:sz="4" w:space="0" w:color="auto"/>
            </w:tcBorders>
            <w:shd w:val="clear" w:color="auto" w:fill="auto"/>
            <w:noWrap/>
            <w:vAlign w:val="bottom"/>
            <w:hideMark/>
          </w:tcPr>
          <w:p w14:paraId="6C7FA2AA"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428</w:t>
            </w:r>
          </w:p>
        </w:tc>
        <w:tc>
          <w:tcPr>
            <w:tcW w:w="990" w:type="dxa"/>
            <w:tcBorders>
              <w:top w:val="nil"/>
              <w:left w:val="nil"/>
              <w:bottom w:val="nil"/>
              <w:right w:val="single" w:sz="4" w:space="0" w:color="auto"/>
            </w:tcBorders>
            <w:shd w:val="clear" w:color="auto" w:fill="auto"/>
            <w:noWrap/>
            <w:vAlign w:val="bottom"/>
            <w:hideMark/>
          </w:tcPr>
          <w:p w14:paraId="779039F5"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410</w:t>
            </w:r>
          </w:p>
        </w:tc>
        <w:tc>
          <w:tcPr>
            <w:tcW w:w="1080" w:type="dxa"/>
            <w:tcBorders>
              <w:top w:val="nil"/>
              <w:left w:val="nil"/>
              <w:bottom w:val="nil"/>
              <w:right w:val="single" w:sz="4" w:space="0" w:color="auto"/>
            </w:tcBorders>
            <w:shd w:val="clear" w:color="auto" w:fill="auto"/>
            <w:noWrap/>
            <w:vAlign w:val="bottom"/>
            <w:hideMark/>
          </w:tcPr>
          <w:p w14:paraId="730C62EA"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410</w:t>
            </w:r>
          </w:p>
        </w:tc>
        <w:tc>
          <w:tcPr>
            <w:tcW w:w="990" w:type="dxa"/>
            <w:tcBorders>
              <w:top w:val="single" w:sz="4" w:space="0" w:color="auto"/>
              <w:left w:val="nil"/>
              <w:bottom w:val="nil"/>
              <w:right w:val="single" w:sz="4" w:space="0" w:color="auto"/>
            </w:tcBorders>
            <w:vAlign w:val="bottom"/>
          </w:tcPr>
          <w:p w14:paraId="3D3B8F0A" w14:textId="77777777" w:rsidR="00346A6E" w:rsidRPr="00346A6E" w:rsidRDefault="00FD797F" w:rsidP="00210552">
            <w:pPr>
              <w:jc w:val="center"/>
              <w:rPr>
                <w:rFonts w:eastAsia="Times New Roman"/>
                <w:color w:val="000000"/>
                <w:sz w:val="18"/>
                <w:szCs w:val="18"/>
                <w:lang w:val="en-US"/>
              </w:rPr>
            </w:pPr>
            <w:r>
              <w:rPr>
                <w:rFonts w:eastAsia="Times New Roman"/>
                <w:color w:val="000000"/>
                <w:sz w:val="18"/>
                <w:szCs w:val="18"/>
                <w:lang w:val="en-US"/>
              </w:rPr>
              <w:t>410</w:t>
            </w:r>
          </w:p>
        </w:tc>
        <w:tc>
          <w:tcPr>
            <w:tcW w:w="990" w:type="dxa"/>
            <w:tcBorders>
              <w:top w:val="nil"/>
              <w:left w:val="single" w:sz="4" w:space="0" w:color="auto"/>
              <w:bottom w:val="nil"/>
              <w:right w:val="single" w:sz="4" w:space="0" w:color="auto"/>
            </w:tcBorders>
            <w:shd w:val="clear" w:color="auto" w:fill="auto"/>
            <w:noWrap/>
            <w:vAlign w:val="bottom"/>
            <w:hideMark/>
          </w:tcPr>
          <w:p w14:paraId="30EB38FE"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395</w:t>
            </w:r>
          </w:p>
        </w:tc>
        <w:tc>
          <w:tcPr>
            <w:tcW w:w="957" w:type="dxa"/>
            <w:tcBorders>
              <w:top w:val="nil"/>
              <w:left w:val="nil"/>
              <w:bottom w:val="nil"/>
              <w:right w:val="single" w:sz="4" w:space="0" w:color="auto"/>
            </w:tcBorders>
            <w:shd w:val="clear" w:color="auto" w:fill="auto"/>
            <w:noWrap/>
            <w:vAlign w:val="bottom"/>
            <w:hideMark/>
          </w:tcPr>
          <w:p w14:paraId="4AF63141"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408</w:t>
            </w:r>
          </w:p>
        </w:tc>
      </w:tr>
      <w:tr w:rsidR="00346A6E" w:rsidRPr="002F1920" w14:paraId="25D460C7" w14:textId="77777777" w:rsidTr="00210552">
        <w:trPr>
          <w:trHeight w:val="30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8BDCD3E"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R-squared (overall)</w:t>
            </w:r>
          </w:p>
        </w:tc>
        <w:tc>
          <w:tcPr>
            <w:tcW w:w="990" w:type="dxa"/>
            <w:tcBorders>
              <w:top w:val="nil"/>
              <w:left w:val="nil"/>
              <w:bottom w:val="single" w:sz="4" w:space="0" w:color="auto"/>
              <w:right w:val="single" w:sz="4" w:space="0" w:color="auto"/>
            </w:tcBorders>
            <w:shd w:val="clear" w:color="auto" w:fill="auto"/>
            <w:noWrap/>
            <w:vAlign w:val="bottom"/>
            <w:hideMark/>
          </w:tcPr>
          <w:p w14:paraId="2477B08C"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0.396</w:t>
            </w:r>
          </w:p>
        </w:tc>
        <w:tc>
          <w:tcPr>
            <w:tcW w:w="990" w:type="dxa"/>
            <w:tcBorders>
              <w:top w:val="nil"/>
              <w:left w:val="nil"/>
              <w:bottom w:val="single" w:sz="4" w:space="0" w:color="auto"/>
              <w:right w:val="single" w:sz="4" w:space="0" w:color="auto"/>
            </w:tcBorders>
            <w:shd w:val="clear" w:color="auto" w:fill="auto"/>
            <w:noWrap/>
            <w:vAlign w:val="bottom"/>
            <w:hideMark/>
          </w:tcPr>
          <w:p w14:paraId="1EBCA96D"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0.397</w:t>
            </w:r>
          </w:p>
        </w:tc>
        <w:tc>
          <w:tcPr>
            <w:tcW w:w="1080" w:type="dxa"/>
            <w:tcBorders>
              <w:top w:val="nil"/>
              <w:left w:val="nil"/>
              <w:bottom w:val="single" w:sz="4" w:space="0" w:color="auto"/>
              <w:right w:val="single" w:sz="4" w:space="0" w:color="auto"/>
            </w:tcBorders>
            <w:shd w:val="clear" w:color="auto" w:fill="auto"/>
            <w:noWrap/>
            <w:vAlign w:val="bottom"/>
            <w:hideMark/>
          </w:tcPr>
          <w:p w14:paraId="46BC87C6"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0.398</w:t>
            </w:r>
          </w:p>
        </w:tc>
        <w:tc>
          <w:tcPr>
            <w:tcW w:w="990" w:type="dxa"/>
            <w:tcBorders>
              <w:top w:val="nil"/>
              <w:left w:val="nil"/>
              <w:bottom w:val="single" w:sz="4" w:space="0" w:color="auto"/>
              <w:right w:val="single" w:sz="4" w:space="0" w:color="auto"/>
            </w:tcBorders>
            <w:vAlign w:val="bottom"/>
          </w:tcPr>
          <w:p w14:paraId="49B19437" w14:textId="77777777" w:rsidR="00346A6E" w:rsidRPr="00346A6E" w:rsidRDefault="00FD797F" w:rsidP="00210552">
            <w:pPr>
              <w:jc w:val="center"/>
              <w:rPr>
                <w:rFonts w:eastAsia="Times New Roman"/>
                <w:color w:val="000000"/>
                <w:sz w:val="18"/>
                <w:szCs w:val="18"/>
                <w:lang w:val="en-US"/>
              </w:rPr>
            </w:pPr>
            <w:r>
              <w:rPr>
                <w:rFonts w:eastAsia="Times New Roman"/>
                <w:color w:val="000000"/>
                <w:sz w:val="18"/>
                <w:szCs w:val="18"/>
                <w:lang w:val="en-US"/>
              </w:rPr>
              <w:t>0.410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C8FE14A"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0.319</w:t>
            </w:r>
          </w:p>
        </w:tc>
        <w:tc>
          <w:tcPr>
            <w:tcW w:w="957" w:type="dxa"/>
            <w:tcBorders>
              <w:top w:val="nil"/>
              <w:left w:val="nil"/>
              <w:bottom w:val="single" w:sz="4" w:space="0" w:color="auto"/>
              <w:right w:val="single" w:sz="4" w:space="0" w:color="auto"/>
            </w:tcBorders>
            <w:shd w:val="clear" w:color="auto" w:fill="auto"/>
            <w:noWrap/>
            <w:vAlign w:val="bottom"/>
            <w:hideMark/>
          </w:tcPr>
          <w:p w14:paraId="76C2AF84" w14:textId="77777777" w:rsidR="00346A6E" w:rsidRPr="00346A6E" w:rsidRDefault="00346A6E" w:rsidP="00273E38">
            <w:pPr>
              <w:jc w:val="center"/>
              <w:rPr>
                <w:rFonts w:eastAsia="Times New Roman"/>
                <w:color w:val="000000"/>
                <w:sz w:val="18"/>
                <w:szCs w:val="18"/>
                <w:lang w:val="en-US"/>
              </w:rPr>
            </w:pPr>
            <w:r w:rsidRPr="00346A6E">
              <w:rPr>
                <w:rFonts w:eastAsia="Times New Roman"/>
                <w:color w:val="000000"/>
                <w:sz w:val="18"/>
                <w:szCs w:val="18"/>
                <w:lang w:val="en-US"/>
              </w:rPr>
              <w:t>0.272</w:t>
            </w:r>
          </w:p>
        </w:tc>
      </w:tr>
    </w:tbl>
    <w:p w14:paraId="5F9175A7" w14:textId="77777777" w:rsidR="00273E38" w:rsidRPr="002F1920" w:rsidRDefault="00273E38" w:rsidP="00273E38">
      <w:pPr>
        <w:tabs>
          <w:tab w:val="left" w:pos="630"/>
        </w:tabs>
        <w:autoSpaceDE w:val="0"/>
        <w:autoSpaceDN w:val="0"/>
        <w:adjustRightInd w:val="0"/>
        <w:jc w:val="both"/>
        <w:rPr>
          <w:rFonts w:eastAsia="Cambria"/>
          <w:sz w:val="20"/>
          <w:szCs w:val="20"/>
          <w:lang w:val="en-US"/>
        </w:rPr>
      </w:pPr>
      <w:r w:rsidRPr="002F1920">
        <w:rPr>
          <w:rFonts w:eastAsia="Cambria"/>
          <w:sz w:val="20"/>
          <w:szCs w:val="20"/>
          <w:lang w:val="en-US"/>
        </w:rPr>
        <w:t xml:space="preserve">Dependent variable is real housing price growth.  Independent variables are standardized, dependent variable is non-standardized. Estimator used was a pooled cross-sectional, time series, random effects OLS estimator for 17 OECD economies from 1980 to 2007.  </w:t>
      </w:r>
      <w:proofErr w:type="gramStart"/>
      <w:r w:rsidRPr="002F1920">
        <w:rPr>
          <w:rFonts w:eastAsia="Cambria"/>
          <w:sz w:val="20"/>
          <w:szCs w:val="20"/>
          <w:lang w:val="en-US"/>
        </w:rPr>
        <w:t>N-1 time dummies included but not shown.</w:t>
      </w:r>
      <w:proofErr w:type="gramEnd"/>
      <w:r w:rsidRPr="002F1920">
        <w:rPr>
          <w:rFonts w:eastAsia="Cambria"/>
          <w:sz w:val="20"/>
          <w:szCs w:val="20"/>
          <w:lang w:val="en-US"/>
        </w:rPr>
        <w:t xml:space="preserve">  Panel clustered standard errors provided in parentheses. *, **, and *** indicate significance at a 90%, 95%, and 99% confidence level. </w:t>
      </w:r>
    </w:p>
    <w:p w14:paraId="6A5B6CD2" w14:textId="77777777" w:rsidR="008A4927" w:rsidRDefault="008A4927" w:rsidP="0023707F">
      <w:pPr>
        <w:spacing w:line="276" w:lineRule="auto"/>
        <w:jc w:val="both"/>
        <w:rPr>
          <w:lang w:val="en-US"/>
        </w:rPr>
      </w:pPr>
    </w:p>
    <w:p w14:paraId="4ECA6AE1" w14:textId="77777777" w:rsidR="000E2CC7" w:rsidRDefault="000E2CC7" w:rsidP="0023707F">
      <w:pPr>
        <w:spacing w:line="276" w:lineRule="auto"/>
        <w:jc w:val="both"/>
        <w:rPr>
          <w:lang w:val="en-US"/>
        </w:rPr>
      </w:pPr>
    </w:p>
    <w:p w14:paraId="506A965F" w14:textId="77777777" w:rsidR="00732D66" w:rsidRDefault="0023707F" w:rsidP="0023707F">
      <w:pPr>
        <w:spacing w:line="276" w:lineRule="auto"/>
        <w:jc w:val="both"/>
        <w:rPr>
          <w:lang w:val="en-US"/>
        </w:rPr>
      </w:pPr>
      <w:r>
        <w:rPr>
          <w:lang w:val="en-US"/>
        </w:rPr>
        <w:lastRenderedPageBreak/>
        <w:t xml:space="preserve">Only two variables, real income growth and real interest rate reductions, are </w:t>
      </w:r>
      <w:r w:rsidRPr="00C41A49">
        <w:rPr>
          <w:i/>
          <w:lang w:val="en-US"/>
        </w:rPr>
        <w:t>consistently</w:t>
      </w:r>
      <w:r>
        <w:rPr>
          <w:lang w:val="en-US"/>
        </w:rPr>
        <w:t xml:space="preserve"> significant within our OLS estimates, regard</w:t>
      </w:r>
      <w:r w:rsidR="00D66C3D">
        <w:rPr>
          <w:lang w:val="en-US"/>
        </w:rPr>
        <w:t>less of the lag structure used. B</w:t>
      </w:r>
      <w:r>
        <w:rPr>
          <w:lang w:val="en-US"/>
        </w:rPr>
        <w:t xml:space="preserve">oth exhibit the anticipated relationships (lagged income growth is positively associated with housing price growth, while lagged real interest rates reductions are associated with housing price increases).  Income growth’s beta coefficient, however, </w:t>
      </w:r>
      <w:r w:rsidRPr="00DF2031">
        <w:rPr>
          <w:i/>
          <w:lang w:val="en-US"/>
        </w:rPr>
        <w:t>exhibits a m</w:t>
      </w:r>
      <w:r>
        <w:rPr>
          <w:i/>
          <w:lang w:val="en-US"/>
        </w:rPr>
        <w:t>uch larger magnitude than changes</w:t>
      </w:r>
      <w:r w:rsidRPr="00DF2031">
        <w:rPr>
          <w:i/>
          <w:lang w:val="en-US"/>
        </w:rPr>
        <w:t xml:space="preserve"> in the real interest rate</w:t>
      </w:r>
      <w:r>
        <w:rPr>
          <w:lang w:val="en-US"/>
        </w:rPr>
        <w:t xml:space="preserve">: a one-standard deviation increase in lagged real income growth is associated with an </w:t>
      </w:r>
      <w:r w:rsidRPr="00A46E48">
        <w:rPr>
          <w:i/>
          <w:lang w:val="en-US"/>
        </w:rPr>
        <w:t>annual</w:t>
      </w:r>
      <w:r>
        <w:rPr>
          <w:lang w:val="en-US"/>
        </w:rPr>
        <w:t xml:space="preserve"> 3% increase in real housing prices, while a one standard deviation decrease in real interest rates is associated with a 0.7% annual housing price increase.</w:t>
      </w:r>
      <w:r w:rsidR="00D66C3D">
        <w:rPr>
          <w:lang w:val="en-US"/>
        </w:rPr>
        <w:t xml:space="preserve">  Income’s magnitude declines when using a two year lag structure, yet its impact is still more than double that of real interest rate movements.  </w:t>
      </w:r>
    </w:p>
    <w:p w14:paraId="24178B70" w14:textId="77777777" w:rsidR="00732D66" w:rsidRDefault="00732D66" w:rsidP="0023707F">
      <w:pPr>
        <w:spacing w:line="276" w:lineRule="auto"/>
        <w:jc w:val="both"/>
        <w:rPr>
          <w:lang w:val="en-US"/>
        </w:rPr>
      </w:pPr>
    </w:p>
    <w:p w14:paraId="364D01C2" w14:textId="77777777" w:rsidR="0023707F" w:rsidRDefault="00210552" w:rsidP="0023707F">
      <w:pPr>
        <w:spacing w:line="276" w:lineRule="auto"/>
        <w:jc w:val="both"/>
        <w:rPr>
          <w:lang w:val="en-US"/>
        </w:rPr>
      </w:pPr>
      <w:r>
        <w:rPr>
          <w:lang w:val="en-US"/>
        </w:rPr>
        <w:t xml:space="preserve">When examining specific income effects for the UK and US (Model IV), the former does not exhibit a discernable difference from other OECD economies in the impact of lagged income growth on housing prices (given its insignificant interaction term).  However, the US country dummy’s interaction term is significantly negative, and largely cancels out the significantly positive (hierarchal) effect of lagged income growth.  This result lends credence to the suggestion that income and (mortgage) credit serve as substitutes in the US, but complements throughout the rest of the OECD (including the UK).  </w:t>
      </w:r>
    </w:p>
    <w:p w14:paraId="4349408D" w14:textId="77777777" w:rsidR="00D66C3D" w:rsidRDefault="00D66C3D" w:rsidP="0023707F">
      <w:pPr>
        <w:spacing w:line="276" w:lineRule="auto"/>
        <w:jc w:val="both"/>
        <w:rPr>
          <w:lang w:val="en-US"/>
        </w:rPr>
      </w:pPr>
    </w:p>
    <w:p w14:paraId="6C3E293A" w14:textId="77777777" w:rsidR="0023707F" w:rsidRDefault="0023707F" w:rsidP="0023707F">
      <w:pPr>
        <w:spacing w:line="276" w:lineRule="auto"/>
        <w:jc w:val="both"/>
        <w:rPr>
          <w:lang w:val="en-US"/>
        </w:rPr>
      </w:pPr>
      <w:r>
        <w:rPr>
          <w:lang w:val="en-US"/>
        </w:rPr>
        <w:t>When income growth is conceptualized in terms of sectoral wage differentials (i.e. the scale of sheltered sector wage push compared to that in manufacturing), the anticipated relationship was also significant: a one standard deviation increase in the lagged gap between sheltered and manufacturing sector wage growth, indicating sheltered sector wage push, is associated with a 0.57% annual increase in housing prices.  Our other financial variables, credit expansion and the capital account openness index, and domestic political controls displayed no significant relationship with housing price growth.</w:t>
      </w:r>
      <w:r>
        <w:rPr>
          <w:rStyle w:val="FootnoteReference"/>
          <w:lang w:val="en-US"/>
        </w:rPr>
        <w:footnoteReference w:id="18"/>
      </w:r>
      <w:r>
        <w:rPr>
          <w:lang w:val="en-US"/>
        </w:rPr>
        <w:t xml:space="preserve"> Lagged population growth corresponds with housing price growth in only two of the five models (its relationship is most significant in a second year lag structure). </w:t>
      </w:r>
    </w:p>
    <w:p w14:paraId="27C08544" w14:textId="77777777" w:rsidR="0023707F" w:rsidRDefault="0023707F" w:rsidP="0023707F">
      <w:pPr>
        <w:spacing w:line="276" w:lineRule="auto"/>
        <w:jc w:val="both"/>
        <w:rPr>
          <w:lang w:val="en-US"/>
        </w:rPr>
      </w:pPr>
    </w:p>
    <w:p w14:paraId="1FC54A76" w14:textId="77777777" w:rsidR="00210552" w:rsidRDefault="0023707F" w:rsidP="00210552">
      <w:pPr>
        <w:spacing w:line="276" w:lineRule="auto"/>
        <w:jc w:val="both"/>
        <w:rPr>
          <w:lang w:val="en-US"/>
        </w:rPr>
      </w:pPr>
      <w:r>
        <w:rPr>
          <w:lang w:val="en-US"/>
        </w:rPr>
        <w:t xml:space="preserve">According to results in Table 1, lagged income growth demonstrates a much stronger relationship with housing price growth than lagged real interest rate movements.  However, income’s impact may be upwardly biased (increases in housing prices place upward pressure on income growth, which in turn fuels housing prices).  Table 2 presents our IV/2SLS regression results, which attempts to control for this.  Model I is the baseline model without the capital account openness index.  Model II includes the capital account openness index.  Model III includes domestic political controls. In Model IV, Table 2, we further lag our coordination dummies: </w:t>
      </w:r>
      <w:r w:rsidRPr="00E962B2">
        <w:rPr>
          <w:i/>
          <w:lang w:val="en-US"/>
        </w:rPr>
        <w:t>two year</w:t>
      </w:r>
      <w:r>
        <w:rPr>
          <w:lang w:val="en-US"/>
        </w:rPr>
        <w:t xml:space="preserve"> lags of the coordination regime dummies serve as the instruments for the </w:t>
      </w:r>
      <w:r w:rsidRPr="00E962B2">
        <w:rPr>
          <w:i/>
          <w:lang w:val="en-US"/>
        </w:rPr>
        <w:t>one year</w:t>
      </w:r>
      <w:r>
        <w:rPr>
          <w:lang w:val="en-US"/>
        </w:rPr>
        <w:t xml:space="preserve"> lag of real income growth.  </w:t>
      </w:r>
      <w:r>
        <w:rPr>
          <w:lang w:val="en-US"/>
        </w:rPr>
        <w:lastRenderedPageBreak/>
        <w:t xml:space="preserve">We do this in order to determine whether incorporating for coordination regimes’ </w:t>
      </w:r>
      <w:r w:rsidRPr="00C91082">
        <w:rPr>
          <w:i/>
          <w:lang w:val="en-US"/>
        </w:rPr>
        <w:t>potentially</w:t>
      </w:r>
      <w:r>
        <w:rPr>
          <w:lang w:val="en-US"/>
        </w:rPr>
        <w:t xml:space="preserve"> lagged effects on income growth influences income growth’s beta coefficient in the second stage.</w:t>
      </w:r>
    </w:p>
    <w:p w14:paraId="6EC652A7" w14:textId="77777777" w:rsidR="00210552" w:rsidRDefault="00210552" w:rsidP="00210552">
      <w:pPr>
        <w:spacing w:line="276" w:lineRule="auto"/>
        <w:jc w:val="both"/>
        <w:rPr>
          <w:lang w:val="en-US"/>
        </w:rPr>
      </w:pPr>
    </w:p>
    <w:p w14:paraId="495DBCF0" w14:textId="77777777" w:rsidR="00210552" w:rsidRDefault="00210552" w:rsidP="00210552">
      <w:pPr>
        <w:spacing w:line="276" w:lineRule="auto"/>
        <w:jc w:val="both"/>
        <w:rPr>
          <w:lang w:val="en-US"/>
        </w:rPr>
      </w:pPr>
    </w:p>
    <w:p w14:paraId="2C262F29" w14:textId="77777777" w:rsidR="00210552" w:rsidRDefault="00210552" w:rsidP="00210552">
      <w:pPr>
        <w:spacing w:line="276" w:lineRule="auto"/>
        <w:jc w:val="both"/>
        <w:rPr>
          <w:lang w:val="en-US"/>
        </w:rPr>
      </w:pPr>
    </w:p>
    <w:p w14:paraId="4FEC07EB" w14:textId="77777777" w:rsidR="00210552" w:rsidRDefault="00210552" w:rsidP="00210552">
      <w:pPr>
        <w:spacing w:line="276" w:lineRule="auto"/>
        <w:jc w:val="both"/>
        <w:rPr>
          <w:lang w:val="en-US"/>
        </w:rPr>
      </w:pPr>
    </w:p>
    <w:p w14:paraId="2CF89BE9" w14:textId="77777777" w:rsidR="00210552" w:rsidRDefault="00210552" w:rsidP="00210552">
      <w:pPr>
        <w:spacing w:line="276" w:lineRule="auto"/>
        <w:jc w:val="both"/>
        <w:rPr>
          <w:lang w:val="en-US"/>
        </w:rPr>
      </w:pPr>
    </w:p>
    <w:p w14:paraId="588215CE" w14:textId="77777777" w:rsidR="00210552" w:rsidRDefault="00210552" w:rsidP="00210552">
      <w:pPr>
        <w:spacing w:line="276" w:lineRule="auto"/>
        <w:jc w:val="both"/>
        <w:rPr>
          <w:lang w:val="en-US"/>
        </w:rPr>
      </w:pPr>
    </w:p>
    <w:p w14:paraId="118B69B6" w14:textId="77777777" w:rsidR="00210552" w:rsidRDefault="00210552" w:rsidP="00210552">
      <w:pPr>
        <w:spacing w:line="276" w:lineRule="auto"/>
        <w:jc w:val="both"/>
        <w:rPr>
          <w:lang w:val="en-US"/>
        </w:rPr>
      </w:pPr>
    </w:p>
    <w:p w14:paraId="2C6337D8" w14:textId="77777777" w:rsidR="00210552" w:rsidRDefault="00210552" w:rsidP="00210552">
      <w:pPr>
        <w:spacing w:line="276" w:lineRule="auto"/>
        <w:jc w:val="both"/>
        <w:rPr>
          <w:lang w:val="en-US"/>
        </w:rPr>
      </w:pPr>
    </w:p>
    <w:p w14:paraId="7562334E" w14:textId="77777777" w:rsidR="00210552" w:rsidRDefault="00210552" w:rsidP="00210552">
      <w:pPr>
        <w:spacing w:line="276" w:lineRule="auto"/>
        <w:jc w:val="both"/>
        <w:rPr>
          <w:lang w:val="en-US"/>
        </w:rPr>
      </w:pPr>
    </w:p>
    <w:p w14:paraId="53572F5F" w14:textId="77777777" w:rsidR="00210552" w:rsidRDefault="00210552" w:rsidP="00210552">
      <w:pPr>
        <w:spacing w:line="276" w:lineRule="auto"/>
        <w:jc w:val="both"/>
        <w:rPr>
          <w:lang w:val="en-US"/>
        </w:rPr>
      </w:pPr>
    </w:p>
    <w:p w14:paraId="52C1290D" w14:textId="77777777" w:rsidR="00210552" w:rsidRDefault="00210552" w:rsidP="00210552">
      <w:pPr>
        <w:spacing w:line="276" w:lineRule="auto"/>
        <w:jc w:val="both"/>
        <w:rPr>
          <w:lang w:val="en-US"/>
        </w:rPr>
      </w:pPr>
    </w:p>
    <w:p w14:paraId="5750B3E2" w14:textId="77777777" w:rsidR="00210552" w:rsidRDefault="00210552" w:rsidP="00210552">
      <w:pPr>
        <w:spacing w:line="276" w:lineRule="auto"/>
        <w:jc w:val="both"/>
        <w:rPr>
          <w:lang w:val="en-US"/>
        </w:rPr>
      </w:pPr>
    </w:p>
    <w:p w14:paraId="4E11CEFA" w14:textId="77777777" w:rsidR="00210552" w:rsidRDefault="00210552" w:rsidP="00210552">
      <w:pPr>
        <w:spacing w:line="276" w:lineRule="auto"/>
        <w:jc w:val="both"/>
        <w:rPr>
          <w:lang w:val="en-US"/>
        </w:rPr>
      </w:pPr>
    </w:p>
    <w:p w14:paraId="1C3E198D" w14:textId="77777777" w:rsidR="00210552" w:rsidRDefault="00210552" w:rsidP="00210552">
      <w:pPr>
        <w:spacing w:line="276" w:lineRule="auto"/>
        <w:jc w:val="both"/>
        <w:rPr>
          <w:lang w:val="en-US"/>
        </w:rPr>
      </w:pPr>
    </w:p>
    <w:p w14:paraId="1566E9B4" w14:textId="77777777" w:rsidR="00210552" w:rsidRDefault="00210552" w:rsidP="00210552">
      <w:pPr>
        <w:spacing w:line="276" w:lineRule="auto"/>
        <w:jc w:val="both"/>
        <w:rPr>
          <w:lang w:val="en-US"/>
        </w:rPr>
      </w:pPr>
    </w:p>
    <w:p w14:paraId="282049B3" w14:textId="77777777" w:rsidR="00210552" w:rsidRDefault="00210552" w:rsidP="00210552">
      <w:pPr>
        <w:spacing w:line="276" w:lineRule="auto"/>
        <w:jc w:val="both"/>
        <w:rPr>
          <w:lang w:val="en-US"/>
        </w:rPr>
      </w:pPr>
    </w:p>
    <w:p w14:paraId="79B8316A" w14:textId="77777777" w:rsidR="00210552" w:rsidRDefault="00210552" w:rsidP="00210552">
      <w:pPr>
        <w:spacing w:line="276" w:lineRule="auto"/>
        <w:jc w:val="both"/>
        <w:rPr>
          <w:lang w:val="en-US"/>
        </w:rPr>
      </w:pPr>
    </w:p>
    <w:p w14:paraId="2A4CA419" w14:textId="77777777" w:rsidR="00210552" w:rsidRDefault="00210552" w:rsidP="00210552">
      <w:pPr>
        <w:spacing w:line="276" w:lineRule="auto"/>
        <w:jc w:val="both"/>
        <w:rPr>
          <w:lang w:val="en-US"/>
        </w:rPr>
      </w:pPr>
    </w:p>
    <w:p w14:paraId="59401ED5" w14:textId="77777777" w:rsidR="00210552" w:rsidRDefault="00210552" w:rsidP="00210552">
      <w:pPr>
        <w:spacing w:line="276" w:lineRule="auto"/>
        <w:jc w:val="both"/>
        <w:rPr>
          <w:lang w:val="en-US"/>
        </w:rPr>
      </w:pPr>
    </w:p>
    <w:p w14:paraId="0BEBC3B9" w14:textId="77777777" w:rsidR="00210552" w:rsidRDefault="00210552" w:rsidP="00210552">
      <w:pPr>
        <w:spacing w:line="276" w:lineRule="auto"/>
        <w:jc w:val="both"/>
        <w:rPr>
          <w:lang w:val="en-US"/>
        </w:rPr>
      </w:pPr>
    </w:p>
    <w:p w14:paraId="6EC04AB9" w14:textId="77777777" w:rsidR="00210552" w:rsidRDefault="00210552" w:rsidP="00210552">
      <w:pPr>
        <w:spacing w:line="276" w:lineRule="auto"/>
        <w:jc w:val="both"/>
        <w:rPr>
          <w:lang w:val="en-US"/>
        </w:rPr>
      </w:pPr>
    </w:p>
    <w:p w14:paraId="61FF9616" w14:textId="77777777" w:rsidR="00210552" w:rsidRDefault="00210552" w:rsidP="00210552">
      <w:pPr>
        <w:spacing w:line="276" w:lineRule="auto"/>
        <w:jc w:val="both"/>
        <w:rPr>
          <w:lang w:val="en-US"/>
        </w:rPr>
      </w:pPr>
    </w:p>
    <w:p w14:paraId="252DC600" w14:textId="77777777" w:rsidR="00210552" w:rsidRDefault="00210552" w:rsidP="00210552">
      <w:pPr>
        <w:spacing w:line="276" w:lineRule="auto"/>
        <w:jc w:val="both"/>
        <w:rPr>
          <w:lang w:val="en-US"/>
        </w:rPr>
      </w:pPr>
    </w:p>
    <w:p w14:paraId="6811B913" w14:textId="77777777" w:rsidR="00210552" w:rsidRDefault="00210552" w:rsidP="00210552">
      <w:pPr>
        <w:spacing w:line="276" w:lineRule="auto"/>
        <w:jc w:val="both"/>
        <w:rPr>
          <w:lang w:val="en-US"/>
        </w:rPr>
      </w:pPr>
    </w:p>
    <w:p w14:paraId="0AF60E42" w14:textId="77777777" w:rsidR="00210552" w:rsidRDefault="00210552" w:rsidP="00210552">
      <w:pPr>
        <w:spacing w:line="276" w:lineRule="auto"/>
        <w:jc w:val="both"/>
        <w:rPr>
          <w:lang w:val="en-US"/>
        </w:rPr>
      </w:pPr>
    </w:p>
    <w:p w14:paraId="1C8DB339" w14:textId="77777777" w:rsidR="00210552" w:rsidRDefault="00210552" w:rsidP="00210552">
      <w:pPr>
        <w:spacing w:line="276" w:lineRule="auto"/>
        <w:jc w:val="both"/>
        <w:rPr>
          <w:lang w:val="en-US"/>
        </w:rPr>
      </w:pPr>
    </w:p>
    <w:p w14:paraId="032162DC" w14:textId="77777777" w:rsidR="00210552" w:rsidRDefault="00210552" w:rsidP="00210552">
      <w:pPr>
        <w:spacing w:line="276" w:lineRule="auto"/>
        <w:jc w:val="both"/>
        <w:rPr>
          <w:lang w:val="en-US"/>
        </w:rPr>
      </w:pPr>
    </w:p>
    <w:p w14:paraId="32DA3A89" w14:textId="77777777" w:rsidR="00210552" w:rsidRDefault="00210552" w:rsidP="00210552">
      <w:pPr>
        <w:spacing w:line="276" w:lineRule="auto"/>
        <w:jc w:val="both"/>
        <w:rPr>
          <w:lang w:val="en-US"/>
        </w:rPr>
      </w:pPr>
    </w:p>
    <w:p w14:paraId="79045E7A" w14:textId="77777777" w:rsidR="00210552" w:rsidRDefault="00210552" w:rsidP="00210552">
      <w:pPr>
        <w:spacing w:line="276" w:lineRule="auto"/>
        <w:jc w:val="both"/>
        <w:rPr>
          <w:lang w:val="en-US"/>
        </w:rPr>
      </w:pPr>
    </w:p>
    <w:p w14:paraId="37A974D1" w14:textId="77777777" w:rsidR="00210552" w:rsidRDefault="00210552" w:rsidP="00210552">
      <w:pPr>
        <w:spacing w:line="276" w:lineRule="auto"/>
        <w:jc w:val="both"/>
        <w:rPr>
          <w:lang w:val="en-US"/>
        </w:rPr>
      </w:pPr>
    </w:p>
    <w:p w14:paraId="7AF3518F" w14:textId="77777777" w:rsidR="00210552" w:rsidRDefault="00210552" w:rsidP="00210552">
      <w:pPr>
        <w:spacing w:line="276" w:lineRule="auto"/>
        <w:jc w:val="both"/>
        <w:rPr>
          <w:lang w:val="en-US"/>
        </w:rPr>
      </w:pPr>
    </w:p>
    <w:p w14:paraId="638CE0C5" w14:textId="77777777" w:rsidR="00210552" w:rsidRDefault="00210552" w:rsidP="00210552">
      <w:pPr>
        <w:spacing w:line="276" w:lineRule="auto"/>
        <w:jc w:val="both"/>
        <w:rPr>
          <w:lang w:val="en-US"/>
        </w:rPr>
      </w:pPr>
    </w:p>
    <w:p w14:paraId="2E97CF4B" w14:textId="77777777" w:rsidR="00210552" w:rsidRDefault="00210552" w:rsidP="00210552">
      <w:pPr>
        <w:spacing w:line="276" w:lineRule="auto"/>
        <w:jc w:val="both"/>
        <w:rPr>
          <w:lang w:val="en-US"/>
        </w:rPr>
      </w:pPr>
    </w:p>
    <w:p w14:paraId="10F82F0A" w14:textId="77777777" w:rsidR="00210552" w:rsidRDefault="00210552" w:rsidP="00210552">
      <w:pPr>
        <w:spacing w:line="276" w:lineRule="auto"/>
        <w:jc w:val="both"/>
        <w:rPr>
          <w:lang w:val="en-US"/>
        </w:rPr>
      </w:pPr>
    </w:p>
    <w:p w14:paraId="64642EDE" w14:textId="77777777" w:rsidR="00BF4744" w:rsidRDefault="00BF4744" w:rsidP="00210552">
      <w:pPr>
        <w:spacing w:line="276" w:lineRule="auto"/>
        <w:jc w:val="both"/>
        <w:rPr>
          <w:lang w:val="en-US"/>
        </w:rPr>
      </w:pPr>
    </w:p>
    <w:p w14:paraId="1C314E5A" w14:textId="77777777" w:rsidR="00210552" w:rsidRDefault="00210552" w:rsidP="00210552">
      <w:pPr>
        <w:spacing w:line="276" w:lineRule="auto"/>
        <w:jc w:val="both"/>
        <w:rPr>
          <w:lang w:val="en-US"/>
        </w:rPr>
      </w:pPr>
    </w:p>
    <w:p w14:paraId="2A97A39F" w14:textId="77777777" w:rsidR="00210552" w:rsidRDefault="00210552" w:rsidP="00210552">
      <w:pPr>
        <w:spacing w:line="276" w:lineRule="auto"/>
        <w:jc w:val="both"/>
        <w:rPr>
          <w:lang w:val="en-US"/>
        </w:rPr>
      </w:pPr>
    </w:p>
    <w:p w14:paraId="166CC4D6" w14:textId="77777777" w:rsidR="00210552" w:rsidRDefault="00210552" w:rsidP="00210552">
      <w:pPr>
        <w:spacing w:line="276" w:lineRule="auto"/>
        <w:jc w:val="both"/>
        <w:rPr>
          <w:lang w:val="en-US"/>
        </w:rPr>
      </w:pPr>
    </w:p>
    <w:p w14:paraId="7C992794" w14:textId="77777777" w:rsidR="004D72E6" w:rsidRDefault="004D72E6" w:rsidP="00210552">
      <w:pPr>
        <w:spacing w:line="276" w:lineRule="auto"/>
        <w:jc w:val="both"/>
        <w:rPr>
          <w:lang w:val="en-US"/>
        </w:rPr>
      </w:pPr>
    </w:p>
    <w:p w14:paraId="65C7F073" w14:textId="77777777" w:rsidR="00210552" w:rsidRDefault="00210552" w:rsidP="00210552">
      <w:pPr>
        <w:spacing w:line="276" w:lineRule="auto"/>
        <w:jc w:val="both"/>
        <w:rPr>
          <w:lang w:val="en-US"/>
        </w:rPr>
      </w:pPr>
    </w:p>
    <w:p w14:paraId="52ECC115" w14:textId="77777777" w:rsidR="000E2CC7" w:rsidRDefault="000E2CC7" w:rsidP="00273E38">
      <w:pPr>
        <w:spacing w:line="276" w:lineRule="auto"/>
        <w:jc w:val="center"/>
        <w:rPr>
          <w:b/>
          <w:sz w:val="22"/>
          <w:szCs w:val="22"/>
          <w:lang w:val="en-US"/>
        </w:rPr>
        <w:sectPr w:rsidR="000E2CC7" w:rsidSect="007B611C">
          <w:footerReference w:type="even" r:id="rId12"/>
          <w:footerReference w:type="default" r:id="rId13"/>
          <w:pgSz w:w="11900" w:h="16840"/>
          <w:pgMar w:top="1440" w:right="1440" w:bottom="1440" w:left="1440" w:header="708" w:footer="708" w:gutter="0"/>
          <w:cols w:space="708"/>
          <w:docGrid w:linePitch="360"/>
        </w:sectPr>
      </w:pPr>
    </w:p>
    <w:p w14:paraId="056F2CA4" w14:textId="22452D6F" w:rsidR="00273E38" w:rsidRDefault="00273E38" w:rsidP="00273E38">
      <w:pPr>
        <w:spacing w:line="276" w:lineRule="auto"/>
        <w:jc w:val="center"/>
        <w:rPr>
          <w:b/>
          <w:sz w:val="22"/>
          <w:szCs w:val="22"/>
          <w:lang w:val="en-US"/>
        </w:rPr>
      </w:pPr>
      <w:r w:rsidRPr="00C41A49">
        <w:rPr>
          <w:b/>
          <w:sz w:val="22"/>
          <w:szCs w:val="22"/>
          <w:lang w:val="en-US"/>
        </w:rPr>
        <w:lastRenderedPageBreak/>
        <w:t>Table</w:t>
      </w:r>
      <w:r>
        <w:rPr>
          <w:b/>
          <w:sz w:val="22"/>
          <w:szCs w:val="22"/>
          <w:lang w:val="en-US"/>
        </w:rPr>
        <w:t xml:space="preserve"> 2: IV/2SLS</w:t>
      </w:r>
      <w:r w:rsidRPr="00C41A49">
        <w:rPr>
          <w:b/>
          <w:sz w:val="22"/>
          <w:szCs w:val="22"/>
          <w:lang w:val="en-US"/>
        </w:rPr>
        <w:t xml:space="preserve"> estimates for the determinants of housing price growth</w:t>
      </w:r>
    </w:p>
    <w:tbl>
      <w:tblPr>
        <w:tblW w:w="9105" w:type="dxa"/>
        <w:tblInd w:w="93" w:type="dxa"/>
        <w:tblLook w:val="04A0" w:firstRow="1" w:lastRow="0" w:firstColumn="1" w:lastColumn="0" w:noHBand="0" w:noVBand="1"/>
      </w:tblPr>
      <w:tblGrid>
        <w:gridCol w:w="3435"/>
        <w:gridCol w:w="1440"/>
        <w:gridCol w:w="1440"/>
        <w:gridCol w:w="1350"/>
        <w:gridCol w:w="1440"/>
      </w:tblGrid>
      <w:tr w:rsidR="00273E38" w:rsidRPr="002F1920" w14:paraId="7518BA5E" w14:textId="77777777" w:rsidTr="00273E38">
        <w:trPr>
          <w:trHeight w:val="300"/>
        </w:trPr>
        <w:tc>
          <w:tcPr>
            <w:tcW w:w="3435" w:type="dxa"/>
            <w:tcBorders>
              <w:top w:val="single" w:sz="4" w:space="0" w:color="auto"/>
              <w:left w:val="single" w:sz="4" w:space="0" w:color="auto"/>
              <w:bottom w:val="nil"/>
              <w:right w:val="single" w:sz="4" w:space="0" w:color="auto"/>
            </w:tcBorders>
            <w:shd w:val="clear" w:color="auto" w:fill="auto"/>
            <w:noWrap/>
            <w:vAlign w:val="bottom"/>
            <w:hideMark/>
          </w:tcPr>
          <w:p w14:paraId="151031F9"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Standardized Independent Variables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959DF3F"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7D639CB"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II</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0740CA4"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III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F15DEFF"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IV</w:t>
            </w:r>
          </w:p>
        </w:tc>
      </w:tr>
      <w:tr w:rsidR="00273E38" w:rsidRPr="002F1920" w14:paraId="1EE784B7" w14:textId="77777777" w:rsidTr="00273E38">
        <w:trPr>
          <w:trHeight w:val="300"/>
        </w:trPr>
        <w:tc>
          <w:tcPr>
            <w:tcW w:w="3435" w:type="dxa"/>
            <w:tcBorders>
              <w:top w:val="single" w:sz="4" w:space="0" w:color="auto"/>
              <w:left w:val="single" w:sz="4" w:space="0" w:color="auto"/>
              <w:bottom w:val="nil"/>
              <w:right w:val="single" w:sz="4" w:space="0" w:color="auto"/>
            </w:tcBorders>
            <w:shd w:val="clear" w:color="auto" w:fill="auto"/>
            <w:noWrap/>
            <w:vAlign w:val="bottom"/>
            <w:hideMark/>
          </w:tcPr>
          <w:p w14:paraId="50B2B144" w14:textId="5BFC1B3E" w:rsidR="00273E38" w:rsidRPr="00A1040F" w:rsidRDefault="008D2BC9" w:rsidP="00273E38">
            <w:pPr>
              <w:jc w:val="center"/>
              <w:rPr>
                <w:rFonts w:eastAsia="Times New Roman"/>
                <w:color w:val="000000"/>
                <w:sz w:val="20"/>
                <w:szCs w:val="20"/>
                <w:lang w:val="en-US"/>
              </w:rPr>
            </w:pPr>
            <w:r>
              <w:rPr>
                <w:rFonts w:eastAsia="Times New Roman"/>
                <w:color w:val="000000"/>
                <w:sz w:val="20"/>
                <w:szCs w:val="20"/>
                <w:lang w:val="en-US"/>
              </w:rPr>
              <w:t>Population Growth</w:t>
            </w:r>
            <w:r w:rsidR="00273E38" w:rsidRPr="00A1040F">
              <w:rPr>
                <w:rFonts w:eastAsia="Times New Roman"/>
                <w:color w:val="000000"/>
                <w:sz w:val="20"/>
                <w:szCs w:val="20"/>
                <w:lang w:val="en-US"/>
              </w:rPr>
              <w:t>(t-1)</w:t>
            </w:r>
          </w:p>
        </w:tc>
        <w:tc>
          <w:tcPr>
            <w:tcW w:w="1440" w:type="dxa"/>
            <w:tcBorders>
              <w:top w:val="nil"/>
              <w:left w:val="nil"/>
              <w:bottom w:val="nil"/>
              <w:right w:val="single" w:sz="4" w:space="0" w:color="auto"/>
            </w:tcBorders>
            <w:shd w:val="clear" w:color="auto" w:fill="auto"/>
            <w:noWrap/>
            <w:vAlign w:val="bottom"/>
            <w:hideMark/>
          </w:tcPr>
          <w:p w14:paraId="72476720"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0.295</w:t>
            </w:r>
          </w:p>
        </w:tc>
        <w:tc>
          <w:tcPr>
            <w:tcW w:w="1440" w:type="dxa"/>
            <w:tcBorders>
              <w:top w:val="nil"/>
              <w:left w:val="nil"/>
              <w:bottom w:val="nil"/>
              <w:right w:val="single" w:sz="4" w:space="0" w:color="auto"/>
            </w:tcBorders>
            <w:shd w:val="clear" w:color="auto" w:fill="auto"/>
            <w:noWrap/>
            <w:vAlign w:val="bottom"/>
            <w:hideMark/>
          </w:tcPr>
          <w:p w14:paraId="384C2645"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0.396*</w:t>
            </w:r>
          </w:p>
        </w:tc>
        <w:tc>
          <w:tcPr>
            <w:tcW w:w="1350" w:type="dxa"/>
            <w:tcBorders>
              <w:top w:val="nil"/>
              <w:left w:val="nil"/>
              <w:bottom w:val="nil"/>
              <w:right w:val="single" w:sz="4" w:space="0" w:color="auto"/>
            </w:tcBorders>
            <w:shd w:val="clear" w:color="auto" w:fill="auto"/>
            <w:noWrap/>
            <w:vAlign w:val="bottom"/>
            <w:hideMark/>
          </w:tcPr>
          <w:p w14:paraId="5C64F16B"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0.407*</w:t>
            </w:r>
          </w:p>
        </w:tc>
        <w:tc>
          <w:tcPr>
            <w:tcW w:w="1440" w:type="dxa"/>
            <w:tcBorders>
              <w:top w:val="nil"/>
              <w:left w:val="nil"/>
              <w:bottom w:val="nil"/>
              <w:right w:val="single" w:sz="4" w:space="0" w:color="auto"/>
            </w:tcBorders>
            <w:shd w:val="clear" w:color="auto" w:fill="auto"/>
            <w:noWrap/>
            <w:vAlign w:val="bottom"/>
            <w:hideMark/>
          </w:tcPr>
          <w:p w14:paraId="278E733C"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0.309</w:t>
            </w:r>
          </w:p>
        </w:tc>
      </w:tr>
      <w:tr w:rsidR="00273E38" w:rsidRPr="002F1920" w14:paraId="55F940B8"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32DB11A2"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194053B0"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0.219</w:t>
            </w:r>
            <w:r>
              <w:rPr>
                <w:rFonts w:eastAsia="Times New Roman"/>
                <w:color w:val="000000"/>
                <w:sz w:val="20"/>
                <w:szCs w:val="20"/>
                <w:lang w:val="en-US"/>
              </w:rPr>
              <w:t>)</w:t>
            </w:r>
          </w:p>
        </w:tc>
        <w:tc>
          <w:tcPr>
            <w:tcW w:w="1440" w:type="dxa"/>
            <w:tcBorders>
              <w:top w:val="nil"/>
              <w:left w:val="nil"/>
              <w:bottom w:val="nil"/>
              <w:right w:val="single" w:sz="4" w:space="0" w:color="auto"/>
            </w:tcBorders>
            <w:shd w:val="clear" w:color="auto" w:fill="auto"/>
            <w:noWrap/>
            <w:vAlign w:val="bottom"/>
            <w:hideMark/>
          </w:tcPr>
          <w:p w14:paraId="53D746A0"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0.215</w:t>
            </w:r>
            <w:r>
              <w:rPr>
                <w:rFonts w:eastAsia="Times New Roman"/>
                <w:color w:val="000000"/>
                <w:sz w:val="20"/>
                <w:szCs w:val="20"/>
                <w:lang w:val="en-US"/>
              </w:rPr>
              <w:t>)</w:t>
            </w:r>
          </w:p>
        </w:tc>
        <w:tc>
          <w:tcPr>
            <w:tcW w:w="1350" w:type="dxa"/>
            <w:tcBorders>
              <w:top w:val="nil"/>
              <w:left w:val="nil"/>
              <w:bottom w:val="nil"/>
              <w:right w:val="single" w:sz="4" w:space="0" w:color="auto"/>
            </w:tcBorders>
            <w:shd w:val="clear" w:color="auto" w:fill="auto"/>
            <w:noWrap/>
            <w:vAlign w:val="bottom"/>
            <w:hideMark/>
          </w:tcPr>
          <w:p w14:paraId="04BD511A"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0.219</w:t>
            </w:r>
            <w:r>
              <w:rPr>
                <w:rFonts w:eastAsia="Times New Roman"/>
                <w:color w:val="000000"/>
                <w:sz w:val="20"/>
                <w:szCs w:val="20"/>
                <w:lang w:val="en-US"/>
              </w:rPr>
              <w:t>)</w:t>
            </w:r>
          </w:p>
        </w:tc>
        <w:tc>
          <w:tcPr>
            <w:tcW w:w="1440" w:type="dxa"/>
            <w:tcBorders>
              <w:top w:val="nil"/>
              <w:left w:val="nil"/>
              <w:bottom w:val="nil"/>
              <w:right w:val="single" w:sz="4" w:space="0" w:color="auto"/>
            </w:tcBorders>
            <w:shd w:val="clear" w:color="auto" w:fill="auto"/>
            <w:noWrap/>
            <w:vAlign w:val="bottom"/>
            <w:hideMark/>
          </w:tcPr>
          <w:p w14:paraId="6DDD1847"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0.205</w:t>
            </w:r>
            <w:r>
              <w:rPr>
                <w:rFonts w:eastAsia="Times New Roman"/>
                <w:color w:val="000000"/>
                <w:sz w:val="20"/>
                <w:szCs w:val="20"/>
                <w:lang w:val="en-US"/>
              </w:rPr>
              <w:t>)</w:t>
            </w:r>
          </w:p>
        </w:tc>
      </w:tr>
      <w:tr w:rsidR="00273E38" w:rsidRPr="002F1920" w14:paraId="724C3ED4"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5634C675" w14:textId="38D40EAA" w:rsidR="00273E38" w:rsidRPr="00A1040F" w:rsidRDefault="008D2BC9" w:rsidP="00273E38">
            <w:pPr>
              <w:jc w:val="center"/>
              <w:rPr>
                <w:rFonts w:eastAsia="Times New Roman"/>
                <w:color w:val="000000"/>
                <w:sz w:val="20"/>
                <w:szCs w:val="20"/>
                <w:lang w:val="en-US"/>
              </w:rPr>
            </w:pPr>
            <w:r>
              <w:rPr>
                <w:rFonts w:eastAsia="Times New Roman"/>
                <w:color w:val="000000"/>
                <w:sz w:val="20"/>
                <w:szCs w:val="20"/>
                <w:lang w:val="en-US"/>
              </w:rPr>
              <w:t>Δ Real Interest Rate</w:t>
            </w:r>
            <w:r w:rsidR="00273E38" w:rsidRPr="00A1040F">
              <w:rPr>
                <w:rFonts w:eastAsia="Times New Roman"/>
                <w:color w:val="000000"/>
                <w:sz w:val="20"/>
                <w:szCs w:val="20"/>
                <w:lang w:val="en-US"/>
              </w:rPr>
              <w:t>(t-1)</w:t>
            </w:r>
          </w:p>
        </w:tc>
        <w:tc>
          <w:tcPr>
            <w:tcW w:w="1440" w:type="dxa"/>
            <w:tcBorders>
              <w:top w:val="nil"/>
              <w:left w:val="nil"/>
              <w:bottom w:val="nil"/>
              <w:right w:val="single" w:sz="4" w:space="0" w:color="auto"/>
            </w:tcBorders>
            <w:shd w:val="clear" w:color="auto" w:fill="auto"/>
            <w:noWrap/>
            <w:vAlign w:val="bottom"/>
            <w:hideMark/>
          </w:tcPr>
          <w:p w14:paraId="41AE5AC2"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-0.666**</w:t>
            </w:r>
          </w:p>
        </w:tc>
        <w:tc>
          <w:tcPr>
            <w:tcW w:w="1440" w:type="dxa"/>
            <w:tcBorders>
              <w:top w:val="nil"/>
              <w:left w:val="nil"/>
              <w:bottom w:val="nil"/>
              <w:right w:val="single" w:sz="4" w:space="0" w:color="auto"/>
            </w:tcBorders>
            <w:shd w:val="clear" w:color="auto" w:fill="auto"/>
            <w:noWrap/>
            <w:vAlign w:val="bottom"/>
            <w:hideMark/>
          </w:tcPr>
          <w:p w14:paraId="58DC9FAA"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-0.695**</w:t>
            </w:r>
          </w:p>
        </w:tc>
        <w:tc>
          <w:tcPr>
            <w:tcW w:w="1350" w:type="dxa"/>
            <w:tcBorders>
              <w:top w:val="nil"/>
              <w:left w:val="nil"/>
              <w:bottom w:val="nil"/>
              <w:right w:val="single" w:sz="4" w:space="0" w:color="auto"/>
            </w:tcBorders>
            <w:shd w:val="clear" w:color="auto" w:fill="auto"/>
            <w:noWrap/>
            <w:vAlign w:val="bottom"/>
            <w:hideMark/>
          </w:tcPr>
          <w:p w14:paraId="22E618C6"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-0.693**</w:t>
            </w:r>
          </w:p>
        </w:tc>
        <w:tc>
          <w:tcPr>
            <w:tcW w:w="1440" w:type="dxa"/>
            <w:tcBorders>
              <w:top w:val="nil"/>
              <w:left w:val="nil"/>
              <w:bottom w:val="nil"/>
              <w:right w:val="single" w:sz="4" w:space="0" w:color="auto"/>
            </w:tcBorders>
            <w:shd w:val="clear" w:color="auto" w:fill="auto"/>
            <w:noWrap/>
            <w:vAlign w:val="bottom"/>
            <w:hideMark/>
          </w:tcPr>
          <w:p w14:paraId="70511980"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-0.541*</w:t>
            </w:r>
          </w:p>
        </w:tc>
      </w:tr>
      <w:tr w:rsidR="00273E38" w:rsidRPr="002F1920" w14:paraId="4340C82B"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72134A9E"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6922761F"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0.277</w:t>
            </w:r>
            <w:r>
              <w:rPr>
                <w:rFonts w:eastAsia="Times New Roman"/>
                <w:color w:val="000000"/>
                <w:sz w:val="20"/>
                <w:szCs w:val="20"/>
                <w:lang w:val="en-US"/>
              </w:rPr>
              <w:t>)</w:t>
            </w:r>
          </w:p>
        </w:tc>
        <w:tc>
          <w:tcPr>
            <w:tcW w:w="1440" w:type="dxa"/>
            <w:tcBorders>
              <w:top w:val="nil"/>
              <w:left w:val="nil"/>
              <w:bottom w:val="nil"/>
              <w:right w:val="single" w:sz="4" w:space="0" w:color="auto"/>
            </w:tcBorders>
            <w:shd w:val="clear" w:color="auto" w:fill="auto"/>
            <w:noWrap/>
            <w:vAlign w:val="bottom"/>
            <w:hideMark/>
          </w:tcPr>
          <w:p w14:paraId="6A1A84A9"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0.304</w:t>
            </w:r>
            <w:r>
              <w:rPr>
                <w:rFonts w:eastAsia="Times New Roman"/>
                <w:color w:val="000000"/>
                <w:sz w:val="20"/>
                <w:szCs w:val="20"/>
                <w:lang w:val="en-US"/>
              </w:rPr>
              <w:t>)</w:t>
            </w:r>
          </w:p>
        </w:tc>
        <w:tc>
          <w:tcPr>
            <w:tcW w:w="1350" w:type="dxa"/>
            <w:tcBorders>
              <w:top w:val="nil"/>
              <w:left w:val="nil"/>
              <w:bottom w:val="nil"/>
              <w:right w:val="single" w:sz="4" w:space="0" w:color="auto"/>
            </w:tcBorders>
            <w:shd w:val="clear" w:color="auto" w:fill="auto"/>
            <w:noWrap/>
            <w:vAlign w:val="bottom"/>
            <w:hideMark/>
          </w:tcPr>
          <w:p w14:paraId="16603BD6"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0.303</w:t>
            </w:r>
            <w:r>
              <w:rPr>
                <w:rFonts w:eastAsia="Times New Roman"/>
                <w:color w:val="000000"/>
                <w:sz w:val="20"/>
                <w:szCs w:val="20"/>
                <w:lang w:val="en-US"/>
              </w:rPr>
              <w:t>)</w:t>
            </w:r>
          </w:p>
        </w:tc>
        <w:tc>
          <w:tcPr>
            <w:tcW w:w="1440" w:type="dxa"/>
            <w:tcBorders>
              <w:top w:val="nil"/>
              <w:left w:val="nil"/>
              <w:bottom w:val="nil"/>
              <w:right w:val="single" w:sz="4" w:space="0" w:color="auto"/>
            </w:tcBorders>
            <w:shd w:val="clear" w:color="auto" w:fill="auto"/>
            <w:noWrap/>
            <w:vAlign w:val="bottom"/>
            <w:hideMark/>
          </w:tcPr>
          <w:p w14:paraId="04E43E90"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0.295</w:t>
            </w:r>
            <w:r>
              <w:rPr>
                <w:rFonts w:eastAsia="Times New Roman"/>
                <w:color w:val="000000"/>
                <w:sz w:val="20"/>
                <w:szCs w:val="20"/>
                <w:lang w:val="en-US"/>
              </w:rPr>
              <w:t>)</w:t>
            </w:r>
          </w:p>
        </w:tc>
      </w:tr>
      <w:tr w:rsidR="00273E38" w:rsidRPr="002F1920" w14:paraId="3738F564"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274BF9C2" w14:textId="48115A6D" w:rsidR="00273E38" w:rsidRPr="00A1040F" w:rsidRDefault="008D2BC9" w:rsidP="00273E38">
            <w:pPr>
              <w:jc w:val="center"/>
              <w:rPr>
                <w:rFonts w:eastAsia="Times New Roman"/>
                <w:color w:val="000000"/>
                <w:sz w:val="20"/>
                <w:szCs w:val="20"/>
                <w:lang w:val="en-US"/>
              </w:rPr>
            </w:pPr>
            <w:r>
              <w:rPr>
                <w:rFonts w:eastAsia="Times New Roman"/>
                <w:color w:val="000000"/>
                <w:sz w:val="20"/>
                <w:szCs w:val="20"/>
                <w:lang w:val="en-US"/>
              </w:rPr>
              <w:t>Δ Private Credit to GDP</w:t>
            </w:r>
            <w:r w:rsidR="00273E38" w:rsidRPr="00A1040F">
              <w:rPr>
                <w:rFonts w:eastAsia="Times New Roman"/>
                <w:color w:val="000000"/>
                <w:sz w:val="20"/>
                <w:szCs w:val="20"/>
                <w:lang w:val="en-US"/>
              </w:rPr>
              <w:t>(t-1)</w:t>
            </w:r>
          </w:p>
        </w:tc>
        <w:tc>
          <w:tcPr>
            <w:tcW w:w="1440" w:type="dxa"/>
            <w:tcBorders>
              <w:top w:val="nil"/>
              <w:left w:val="nil"/>
              <w:bottom w:val="nil"/>
              <w:right w:val="single" w:sz="4" w:space="0" w:color="auto"/>
            </w:tcBorders>
            <w:shd w:val="clear" w:color="auto" w:fill="auto"/>
            <w:noWrap/>
            <w:vAlign w:val="bottom"/>
            <w:hideMark/>
          </w:tcPr>
          <w:p w14:paraId="28B93CAD"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0.365</w:t>
            </w:r>
          </w:p>
        </w:tc>
        <w:tc>
          <w:tcPr>
            <w:tcW w:w="1440" w:type="dxa"/>
            <w:tcBorders>
              <w:top w:val="nil"/>
              <w:left w:val="nil"/>
              <w:bottom w:val="nil"/>
              <w:right w:val="single" w:sz="4" w:space="0" w:color="auto"/>
            </w:tcBorders>
            <w:shd w:val="clear" w:color="auto" w:fill="auto"/>
            <w:noWrap/>
            <w:vAlign w:val="bottom"/>
            <w:hideMark/>
          </w:tcPr>
          <w:p w14:paraId="65599156"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0.377</w:t>
            </w:r>
          </w:p>
        </w:tc>
        <w:tc>
          <w:tcPr>
            <w:tcW w:w="1350" w:type="dxa"/>
            <w:tcBorders>
              <w:top w:val="nil"/>
              <w:left w:val="nil"/>
              <w:bottom w:val="nil"/>
              <w:right w:val="single" w:sz="4" w:space="0" w:color="auto"/>
            </w:tcBorders>
            <w:shd w:val="clear" w:color="auto" w:fill="auto"/>
            <w:noWrap/>
            <w:vAlign w:val="bottom"/>
            <w:hideMark/>
          </w:tcPr>
          <w:p w14:paraId="38297DF0"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0.371</w:t>
            </w:r>
          </w:p>
        </w:tc>
        <w:tc>
          <w:tcPr>
            <w:tcW w:w="1440" w:type="dxa"/>
            <w:tcBorders>
              <w:top w:val="nil"/>
              <w:left w:val="nil"/>
              <w:bottom w:val="nil"/>
              <w:right w:val="single" w:sz="4" w:space="0" w:color="auto"/>
            </w:tcBorders>
            <w:shd w:val="clear" w:color="auto" w:fill="auto"/>
            <w:noWrap/>
            <w:vAlign w:val="bottom"/>
            <w:hideMark/>
          </w:tcPr>
          <w:p w14:paraId="2AD13708"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0.348</w:t>
            </w:r>
          </w:p>
        </w:tc>
      </w:tr>
      <w:tr w:rsidR="00273E38" w:rsidRPr="002F1920" w14:paraId="560F140E"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1F2ABBBF"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45714DA0"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0.238</w:t>
            </w:r>
            <w:r>
              <w:rPr>
                <w:rFonts w:eastAsia="Times New Roman"/>
                <w:color w:val="000000"/>
                <w:sz w:val="20"/>
                <w:szCs w:val="20"/>
                <w:lang w:val="en-US"/>
              </w:rPr>
              <w:t>)</w:t>
            </w:r>
          </w:p>
        </w:tc>
        <w:tc>
          <w:tcPr>
            <w:tcW w:w="1440" w:type="dxa"/>
            <w:tcBorders>
              <w:top w:val="nil"/>
              <w:left w:val="nil"/>
              <w:bottom w:val="nil"/>
              <w:right w:val="single" w:sz="4" w:space="0" w:color="auto"/>
            </w:tcBorders>
            <w:shd w:val="clear" w:color="auto" w:fill="auto"/>
            <w:noWrap/>
            <w:vAlign w:val="bottom"/>
            <w:hideMark/>
          </w:tcPr>
          <w:p w14:paraId="26BBD8A8"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0.267</w:t>
            </w:r>
            <w:r>
              <w:rPr>
                <w:rFonts w:eastAsia="Times New Roman"/>
                <w:color w:val="000000"/>
                <w:sz w:val="20"/>
                <w:szCs w:val="20"/>
                <w:lang w:val="en-US"/>
              </w:rPr>
              <w:t>)</w:t>
            </w:r>
          </w:p>
        </w:tc>
        <w:tc>
          <w:tcPr>
            <w:tcW w:w="1350" w:type="dxa"/>
            <w:tcBorders>
              <w:top w:val="nil"/>
              <w:left w:val="nil"/>
              <w:bottom w:val="nil"/>
              <w:right w:val="single" w:sz="4" w:space="0" w:color="auto"/>
            </w:tcBorders>
            <w:shd w:val="clear" w:color="auto" w:fill="auto"/>
            <w:noWrap/>
            <w:vAlign w:val="bottom"/>
            <w:hideMark/>
          </w:tcPr>
          <w:p w14:paraId="0F735D3B"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0.263</w:t>
            </w:r>
            <w:r>
              <w:rPr>
                <w:rFonts w:eastAsia="Times New Roman"/>
                <w:color w:val="000000"/>
                <w:sz w:val="20"/>
                <w:szCs w:val="20"/>
                <w:lang w:val="en-US"/>
              </w:rPr>
              <w:t>)</w:t>
            </w:r>
          </w:p>
        </w:tc>
        <w:tc>
          <w:tcPr>
            <w:tcW w:w="1440" w:type="dxa"/>
            <w:tcBorders>
              <w:top w:val="nil"/>
              <w:left w:val="nil"/>
              <w:bottom w:val="nil"/>
              <w:right w:val="single" w:sz="4" w:space="0" w:color="auto"/>
            </w:tcBorders>
            <w:shd w:val="clear" w:color="auto" w:fill="auto"/>
            <w:noWrap/>
            <w:vAlign w:val="bottom"/>
            <w:hideMark/>
          </w:tcPr>
          <w:p w14:paraId="57CC5CC0"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0.258</w:t>
            </w:r>
            <w:r>
              <w:rPr>
                <w:rFonts w:eastAsia="Times New Roman"/>
                <w:color w:val="000000"/>
                <w:sz w:val="20"/>
                <w:szCs w:val="20"/>
                <w:lang w:val="en-US"/>
              </w:rPr>
              <w:t>)</w:t>
            </w:r>
          </w:p>
        </w:tc>
      </w:tr>
      <w:tr w:rsidR="00273E38" w:rsidRPr="002F1920" w14:paraId="7A51AB71"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1B8142EB" w14:textId="53C0A2FF" w:rsidR="00273E38" w:rsidRPr="00A1040F" w:rsidRDefault="008D2BC9" w:rsidP="00273E38">
            <w:pPr>
              <w:jc w:val="center"/>
              <w:rPr>
                <w:rFonts w:eastAsia="Times New Roman"/>
                <w:color w:val="000000"/>
                <w:sz w:val="20"/>
                <w:szCs w:val="20"/>
                <w:lang w:val="en-US"/>
              </w:rPr>
            </w:pPr>
            <w:r>
              <w:rPr>
                <w:rFonts w:eastAsia="Times New Roman"/>
                <w:color w:val="000000"/>
                <w:sz w:val="20"/>
                <w:szCs w:val="20"/>
                <w:lang w:val="en-US"/>
              </w:rPr>
              <w:t>Real Income Growth</w:t>
            </w:r>
            <w:r w:rsidR="00273E38" w:rsidRPr="00A1040F">
              <w:rPr>
                <w:rFonts w:eastAsia="Times New Roman"/>
                <w:color w:val="000000"/>
                <w:sz w:val="20"/>
                <w:szCs w:val="20"/>
                <w:lang w:val="en-US"/>
              </w:rPr>
              <w:t>(t-1)</w:t>
            </w:r>
          </w:p>
        </w:tc>
        <w:tc>
          <w:tcPr>
            <w:tcW w:w="1440" w:type="dxa"/>
            <w:tcBorders>
              <w:top w:val="nil"/>
              <w:left w:val="nil"/>
              <w:bottom w:val="nil"/>
              <w:right w:val="single" w:sz="4" w:space="0" w:color="auto"/>
            </w:tcBorders>
            <w:shd w:val="clear" w:color="auto" w:fill="auto"/>
            <w:noWrap/>
            <w:vAlign w:val="bottom"/>
            <w:hideMark/>
          </w:tcPr>
          <w:p w14:paraId="48F0DF14"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2.273***</w:t>
            </w:r>
          </w:p>
        </w:tc>
        <w:tc>
          <w:tcPr>
            <w:tcW w:w="1440" w:type="dxa"/>
            <w:tcBorders>
              <w:top w:val="nil"/>
              <w:left w:val="nil"/>
              <w:bottom w:val="nil"/>
              <w:right w:val="single" w:sz="4" w:space="0" w:color="auto"/>
            </w:tcBorders>
            <w:shd w:val="clear" w:color="auto" w:fill="auto"/>
            <w:noWrap/>
            <w:vAlign w:val="bottom"/>
            <w:hideMark/>
          </w:tcPr>
          <w:p w14:paraId="5BAAD476"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1.655**</w:t>
            </w:r>
          </w:p>
        </w:tc>
        <w:tc>
          <w:tcPr>
            <w:tcW w:w="1350" w:type="dxa"/>
            <w:tcBorders>
              <w:top w:val="nil"/>
              <w:left w:val="nil"/>
              <w:bottom w:val="nil"/>
              <w:right w:val="single" w:sz="4" w:space="0" w:color="auto"/>
            </w:tcBorders>
            <w:shd w:val="clear" w:color="auto" w:fill="auto"/>
            <w:noWrap/>
            <w:vAlign w:val="bottom"/>
            <w:hideMark/>
          </w:tcPr>
          <w:p w14:paraId="43A596AC"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1.686*</w:t>
            </w:r>
          </w:p>
        </w:tc>
        <w:tc>
          <w:tcPr>
            <w:tcW w:w="1440" w:type="dxa"/>
            <w:tcBorders>
              <w:top w:val="nil"/>
              <w:left w:val="nil"/>
              <w:bottom w:val="nil"/>
              <w:right w:val="single" w:sz="4" w:space="0" w:color="auto"/>
            </w:tcBorders>
            <w:shd w:val="clear" w:color="auto" w:fill="auto"/>
            <w:noWrap/>
            <w:vAlign w:val="bottom"/>
            <w:hideMark/>
          </w:tcPr>
          <w:p w14:paraId="42921C3A"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2.414**</w:t>
            </w:r>
          </w:p>
        </w:tc>
      </w:tr>
      <w:tr w:rsidR="00273E38" w:rsidRPr="002F1920" w14:paraId="2CB234E3"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2A2B0E1B"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50C8E59E"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0.684</w:t>
            </w:r>
            <w:r>
              <w:rPr>
                <w:rFonts w:eastAsia="Times New Roman"/>
                <w:color w:val="000000"/>
                <w:sz w:val="20"/>
                <w:szCs w:val="20"/>
                <w:lang w:val="en-US"/>
              </w:rPr>
              <w:t>)</w:t>
            </w:r>
          </w:p>
        </w:tc>
        <w:tc>
          <w:tcPr>
            <w:tcW w:w="1440" w:type="dxa"/>
            <w:tcBorders>
              <w:top w:val="nil"/>
              <w:left w:val="nil"/>
              <w:bottom w:val="nil"/>
              <w:right w:val="single" w:sz="4" w:space="0" w:color="auto"/>
            </w:tcBorders>
            <w:shd w:val="clear" w:color="auto" w:fill="auto"/>
            <w:noWrap/>
            <w:vAlign w:val="bottom"/>
            <w:hideMark/>
          </w:tcPr>
          <w:p w14:paraId="461DC700"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0.826</w:t>
            </w:r>
            <w:r>
              <w:rPr>
                <w:rFonts w:eastAsia="Times New Roman"/>
                <w:color w:val="000000"/>
                <w:sz w:val="20"/>
                <w:szCs w:val="20"/>
                <w:lang w:val="en-US"/>
              </w:rPr>
              <w:t>)</w:t>
            </w:r>
          </w:p>
        </w:tc>
        <w:tc>
          <w:tcPr>
            <w:tcW w:w="1350" w:type="dxa"/>
            <w:tcBorders>
              <w:top w:val="nil"/>
              <w:left w:val="nil"/>
              <w:bottom w:val="nil"/>
              <w:right w:val="single" w:sz="4" w:space="0" w:color="auto"/>
            </w:tcBorders>
            <w:shd w:val="clear" w:color="auto" w:fill="auto"/>
            <w:noWrap/>
            <w:vAlign w:val="bottom"/>
            <w:hideMark/>
          </w:tcPr>
          <w:p w14:paraId="7F68145A"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0.949</w:t>
            </w:r>
            <w:r>
              <w:rPr>
                <w:rFonts w:eastAsia="Times New Roman"/>
                <w:color w:val="000000"/>
                <w:sz w:val="20"/>
                <w:szCs w:val="20"/>
                <w:lang w:val="en-US"/>
              </w:rPr>
              <w:t>)</w:t>
            </w:r>
          </w:p>
        </w:tc>
        <w:tc>
          <w:tcPr>
            <w:tcW w:w="1440" w:type="dxa"/>
            <w:tcBorders>
              <w:top w:val="nil"/>
              <w:left w:val="nil"/>
              <w:bottom w:val="nil"/>
              <w:right w:val="single" w:sz="4" w:space="0" w:color="auto"/>
            </w:tcBorders>
            <w:shd w:val="clear" w:color="auto" w:fill="auto"/>
            <w:noWrap/>
            <w:vAlign w:val="bottom"/>
            <w:hideMark/>
          </w:tcPr>
          <w:p w14:paraId="56E1BA3A"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1.075</w:t>
            </w:r>
            <w:r>
              <w:rPr>
                <w:rFonts w:eastAsia="Times New Roman"/>
                <w:color w:val="000000"/>
                <w:sz w:val="20"/>
                <w:szCs w:val="20"/>
                <w:lang w:val="en-US"/>
              </w:rPr>
              <w:t>)</w:t>
            </w:r>
          </w:p>
        </w:tc>
      </w:tr>
      <w:tr w:rsidR="00273E38" w:rsidRPr="002F1920" w14:paraId="4BB25C93"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4BA3BEEF"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Capital Account Liberalization</w:t>
            </w:r>
          </w:p>
        </w:tc>
        <w:tc>
          <w:tcPr>
            <w:tcW w:w="1440" w:type="dxa"/>
            <w:tcBorders>
              <w:top w:val="nil"/>
              <w:left w:val="nil"/>
              <w:bottom w:val="nil"/>
              <w:right w:val="single" w:sz="4" w:space="0" w:color="auto"/>
            </w:tcBorders>
            <w:shd w:val="clear" w:color="auto" w:fill="auto"/>
            <w:noWrap/>
            <w:vAlign w:val="bottom"/>
            <w:hideMark/>
          </w:tcPr>
          <w:p w14:paraId="63E0A1D3"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3BAD1509"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-0.572</w:t>
            </w:r>
          </w:p>
        </w:tc>
        <w:tc>
          <w:tcPr>
            <w:tcW w:w="1350" w:type="dxa"/>
            <w:tcBorders>
              <w:top w:val="nil"/>
              <w:left w:val="nil"/>
              <w:bottom w:val="nil"/>
              <w:right w:val="single" w:sz="4" w:space="0" w:color="auto"/>
            </w:tcBorders>
            <w:shd w:val="clear" w:color="auto" w:fill="auto"/>
            <w:noWrap/>
            <w:vAlign w:val="bottom"/>
            <w:hideMark/>
          </w:tcPr>
          <w:p w14:paraId="7A0CDDFF"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-0.506</w:t>
            </w:r>
          </w:p>
        </w:tc>
        <w:tc>
          <w:tcPr>
            <w:tcW w:w="1440" w:type="dxa"/>
            <w:tcBorders>
              <w:top w:val="nil"/>
              <w:left w:val="nil"/>
              <w:bottom w:val="nil"/>
              <w:right w:val="single" w:sz="4" w:space="0" w:color="auto"/>
            </w:tcBorders>
            <w:shd w:val="clear" w:color="auto" w:fill="auto"/>
            <w:noWrap/>
            <w:vAlign w:val="bottom"/>
            <w:hideMark/>
          </w:tcPr>
          <w:p w14:paraId="5AAD76C5"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-0.116</w:t>
            </w:r>
          </w:p>
        </w:tc>
      </w:tr>
      <w:tr w:rsidR="00273E38" w:rsidRPr="002F1920" w14:paraId="2ADFC7A8"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14965AA8" w14:textId="6CAAF089" w:rsidR="00273E38" w:rsidRPr="00A1040F" w:rsidRDefault="008D2BC9" w:rsidP="00273E38">
            <w:pPr>
              <w:jc w:val="center"/>
              <w:rPr>
                <w:rFonts w:eastAsia="Times New Roman"/>
                <w:color w:val="000000"/>
                <w:sz w:val="20"/>
                <w:szCs w:val="20"/>
                <w:lang w:val="en-US"/>
              </w:rPr>
            </w:pPr>
            <w:r>
              <w:rPr>
                <w:rFonts w:eastAsia="Times New Roman"/>
                <w:color w:val="000000"/>
                <w:sz w:val="20"/>
                <w:szCs w:val="20"/>
                <w:lang w:val="en-US"/>
              </w:rPr>
              <w:t>Index</w:t>
            </w:r>
            <w:r w:rsidR="00273E38" w:rsidRPr="00A1040F">
              <w:rPr>
                <w:rFonts w:eastAsia="Times New Roman"/>
                <w:color w:val="000000"/>
                <w:sz w:val="20"/>
                <w:szCs w:val="20"/>
                <w:lang w:val="en-US"/>
              </w:rPr>
              <w:t>(t-1)</w:t>
            </w:r>
          </w:p>
        </w:tc>
        <w:tc>
          <w:tcPr>
            <w:tcW w:w="1440" w:type="dxa"/>
            <w:tcBorders>
              <w:top w:val="nil"/>
              <w:left w:val="nil"/>
              <w:bottom w:val="nil"/>
              <w:right w:val="single" w:sz="4" w:space="0" w:color="auto"/>
            </w:tcBorders>
            <w:shd w:val="clear" w:color="auto" w:fill="auto"/>
            <w:noWrap/>
            <w:vAlign w:val="bottom"/>
            <w:hideMark/>
          </w:tcPr>
          <w:p w14:paraId="67209E0B"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695C02FB"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0.513</w:t>
            </w:r>
            <w:r>
              <w:rPr>
                <w:rFonts w:eastAsia="Times New Roman"/>
                <w:color w:val="000000"/>
                <w:sz w:val="20"/>
                <w:szCs w:val="20"/>
                <w:lang w:val="en-US"/>
              </w:rPr>
              <w:t>)</w:t>
            </w:r>
          </w:p>
        </w:tc>
        <w:tc>
          <w:tcPr>
            <w:tcW w:w="1350" w:type="dxa"/>
            <w:tcBorders>
              <w:top w:val="nil"/>
              <w:left w:val="nil"/>
              <w:bottom w:val="nil"/>
              <w:right w:val="single" w:sz="4" w:space="0" w:color="auto"/>
            </w:tcBorders>
            <w:shd w:val="clear" w:color="auto" w:fill="auto"/>
            <w:noWrap/>
            <w:vAlign w:val="bottom"/>
            <w:hideMark/>
          </w:tcPr>
          <w:p w14:paraId="09EB421C"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0.543</w:t>
            </w:r>
            <w:r>
              <w:rPr>
                <w:rFonts w:eastAsia="Times New Roman"/>
                <w:color w:val="000000"/>
                <w:sz w:val="20"/>
                <w:szCs w:val="20"/>
                <w:lang w:val="en-US"/>
              </w:rPr>
              <w:t>)</w:t>
            </w:r>
          </w:p>
        </w:tc>
        <w:tc>
          <w:tcPr>
            <w:tcW w:w="1440" w:type="dxa"/>
            <w:tcBorders>
              <w:top w:val="nil"/>
              <w:left w:val="nil"/>
              <w:bottom w:val="nil"/>
              <w:right w:val="single" w:sz="4" w:space="0" w:color="auto"/>
            </w:tcBorders>
            <w:shd w:val="clear" w:color="auto" w:fill="auto"/>
            <w:noWrap/>
            <w:vAlign w:val="bottom"/>
            <w:hideMark/>
          </w:tcPr>
          <w:p w14:paraId="2153E75E"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0.413</w:t>
            </w:r>
            <w:r>
              <w:rPr>
                <w:rFonts w:eastAsia="Times New Roman"/>
                <w:color w:val="000000"/>
                <w:sz w:val="20"/>
                <w:szCs w:val="20"/>
                <w:lang w:val="en-US"/>
              </w:rPr>
              <w:t>)</w:t>
            </w:r>
          </w:p>
        </w:tc>
      </w:tr>
      <w:tr w:rsidR="00273E38" w:rsidRPr="002F1920" w14:paraId="70B126E2"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65FB4EF2"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xml:space="preserve">Proportion of Cabinet Seats </w:t>
            </w:r>
          </w:p>
        </w:tc>
        <w:tc>
          <w:tcPr>
            <w:tcW w:w="1440" w:type="dxa"/>
            <w:tcBorders>
              <w:top w:val="nil"/>
              <w:left w:val="nil"/>
              <w:bottom w:val="nil"/>
              <w:right w:val="single" w:sz="4" w:space="0" w:color="auto"/>
            </w:tcBorders>
            <w:shd w:val="clear" w:color="auto" w:fill="auto"/>
            <w:noWrap/>
            <w:vAlign w:val="bottom"/>
            <w:hideMark/>
          </w:tcPr>
          <w:p w14:paraId="75108EB9"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1740563B"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350" w:type="dxa"/>
            <w:tcBorders>
              <w:top w:val="nil"/>
              <w:left w:val="nil"/>
              <w:bottom w:val="nil"/>
              <w:right w:val="single" w:sz="4" w:space="0" w:color="auto"/>
            </w:tcBorders>
            <w:shd w:val="clear" w:color="auto" w:fill="auto"/>
            <w:noWrap/>
            <w:vAlign w:val="bottom"/>
            <w:hideMark/>
          </w:tcPr>
          <w:p w14:paraId="1A38D533"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-0.168</w:t>
            </w:r>
          </w:p>
        </w:tc>
        <w:tc>
          <w:tcPr>
            <w:tcW w:w="1440" w:type="dxa"/>
            <w:tcBorders>
              <w:top w:val="nil"/>
              <w:left w:val="nil"/>
              <w:bottom w:val="nil"/>
              <w:right w:val="single" w:sz="4" w:space="0" w:color="auto"/>
            </w:tcBorders>
            <w:shd w:val="clear" w:color="auto" w:fill="auto"/>
            <w:noWrap/>
            <w:vAlign w:val="bottom"/>
            <w:hideMark/>
          </w:tcPr>
          <w:p w14:paraId="1157CF1C"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-0.263</w:t>
            </w:r>
          </w:p>
        </w:tc>
      </w:tr>
      <w:tr w:rsidR="00273E38" w:rsidRPr="002F1920" w14:paraId="00CCCDAE"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572D9167" w14:textId="05356431" w:rsidR="00273E38" w:rsidRPr="00A1040F" w:rsidRDefault="008D2BC9" w:rsidP="00273E38">
            <w:pPr>
              <w:jc w:val="center"/>
              <w:rPr>
                <w:rFonts w:eastAsia="Times New Roman"/>
                <w:color w:val="000000"/>
                <w:sz w:val="20"/>
                <w:szCs w:val="20"/>
                <w:lang w:val="en-US"/>
              </w:rPr>
            </w:pPr>
            <w:r>
              <w:rPr>
                <w:rFonts w:eastAsia="Times New Roman"/>
                <w:color w:val="000000"/>
                <w:sz w:val="20"/>
                <w:szCs w:val="20"/>
                <w:lang w:val="en-US"/>
              </w:rPr>
              <w:t>occupied by right parties</w:t>
            </w:r>
            <w:r w:rsidR="00273E38" w:rsidRPr="00A1040F">
              <w:rPr>
                <w:rFonts w:eastAsia="Times New Roman"/>
                <w:color w:val="000000"/>
                <w:sz w:val="20"/>
                <w:szCs w:val="20"/>
                <w:lang w:val="en-US"/>
              </w:rPr>
              <w:t>(t-1)</w:t>
            </w:r>
          </w:p>
        </w:tc>
        <w:tc>
          <w:tcPr>
            <w:tcW w:w="1440" w:type="dxa"/>
            <w:tcBorders>
              <w:top w:val="nil"/>
              <w:left w:val="nil"/>
              <w:bottom w:val="nil"/>
              <w:right w:val="single" w:sz="4" w:space="0" w:color="auto"/>
            </w:tcBorders>
            <w:shd w:val="clear" w:color="auto" w:fill="auto"/>
            <w:noWrap/>
            <w:vAlign w:val="bottom"/>
            <w:hideMark/>
          </w:tcPr>
          <w:p w14:paraId="0A300C70"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7059ED5E"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350" w:type="dxa"/>
            <w:tcBorders>
              <w:top w:val="nil"/>
              <w:left w:val="nil"/>
              <w:bottom w:val="nil"/>
              <w:right w:val="single" w:sz="4" w:space="0" w:color="auto"/>
            </w:tcBorders>
            <w:shd w:val="clear" w:color="auto" w:fill="auto"/>
            <w:noWrap/>
            <w:vAlign w:val="bottom"/>
            <w:hideMark/>
          </w:tcPr>
          <w:p w14:paraId="44F41055"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0.334</w:t>
            </w:r>
            <w:r>
              <w:rPr>
                <w:rFonts w:eastAsia="Times New Roman"/>
                <w:color w:val="000000"/>
                <w:sz w:val="20"/>
                <w:szCs w:val="20"/>
                <w:lang w:val="en-US"/>
              </w:rPr>
              <w:t>)</w:t>
            </w:r>
          </w:p>
        </w:tc>
        <w:tc>
          <w:tcPr>
            <w:tcW w:w="1440" w:type="dxa"/>
            <w:tcBorders>
              <w:top w:val="nil"/>
              <w:left w:val="nil"/>
              <w:bottom w:val="nil"/>
              <w:right w:val="single" w:sz="4" w:space="0" w:color="auto"/>
            </w:tcBorders>
            <w:shd w:val="clear" w:color="auto" w:fill="auto"/>
            <w:noWrap/>
            <w:vAlign w:val="bottom"/>
            <w:hideMark/>
          </w:tcPr>
          <w:p w14:paraId="622356FB"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0.366</w:t>
            </w:r>
            <w:r>
              <w:rPr>
                <w:rFonts w:eastAsia="Times New Roman"/>
                <w:color w:val="000000"/>
                <w:sz w:val="20"/>
                <w:szCs w:val="20"/>
                <w:lang w:val="en-US"/>
              </w:rPr>
              <w:t>)</w:t>
            </w:r>
          </w:p>
        </w:tc>
      </w:tr>
      <w:tr w:rsidR="00273E38" w:rsidRPr="002F1920" w14:paraId="69D756EA"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4BFB2E4E" w14:textId="0898BA47" w:rsidR="00273E38" w:rsidRPr="00A1040F" w:rsidRDefault="008D2BC9" w:rsidP="00273E38">
            <w:pPr>
              <w:jc w:val="center"/>
              <w:rPr>
                <w:rFonts w:eastAsia="Times New Roman"/>
                <w:color w:val="000000"/>
                <w:sz w:val="20"/>
                <w:szCs w:val="20"/>
                <w:lang w:val="en-US"/>
              </w:rPr>
            </w:pPr>
            <w:r>
              <w:rPr>
                <w:rFonts w:eastAsia="Times New Roman"/>
                <w:color w:val="000000"/>
                <w:sz w:val="20"/>
                <w:szCs w:val="20"/>
                <w:lang w:val="en-US"/>
              </w:rPr>
              <w:t>Weighted CBI</w:t>
            </w:r>
            <w:r w:rsidR="00273E38" w:rsidRPr="00A1040F">
              <w:rPr>
                <w:rFonts w:eastAsia="Times New Roman"/>
                <w:color w:val="000000"/>
                <w:sz w:val="20"/>
                <w:szCs w:val="20"/>
                <w:lang w:val="en-US"/>
              </w:rPr>
              <w:t>(t-1)</w:t>
            </w:r>
          </w:p>
        </w:tc>
        <w:tc>
          <w:tcPr>
            <w:tcW w:w="1440" w:type="dxa"/>
            <w:tcBorders>
              <w:top w:val="nil"/>
              <w:left w:val="nil"/>
              <w:bottom w:val="nil"/>
              <w:right w:val="single" w:sz="4" w:space="0" w:color="auto"/>
            </w:tcBorders>
            <w:shd w:val="clear" w:color="auto" w:fill="auto"/>
            <w:noWrap/>
            <w:vAlign w:val="bottom"/>
            <w:hideMark/>
          </w:tcPr>
          <w:p w14:paraId="7E2C329C"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009E92E5"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350" w:type="dxa"/>
            <w:tcBorders>
              <w:top w:val="nil"/>
              <w:left w:val="nil"/>
              <w:bottom w:val="nil"/>
              <w:right w:val="single" w:sz="4" w:space="0" w:color="auto"/>
            </w:tcBorders>
            <w:shd w:val="clear" w:color="auto" w:fill="auto"/>
            <w:noWrap/>
            <w:vAlign w:val="bottom"/>
            <w:hideMark/>
          </w:tcPr>
          <w:p w14:paraId="5E76175B"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-0.093</w:t>
            </w:r>
          </w:p>
        </w:tc>
        <w:tc>
          <w:tcPr>
            <w:tcW w:w="1440" w:type="dxa"/>
            <w:tcBorders>
              <w:top w:val="nil"/>
              <w:left w:val="nil"/>
              <w:bottom w:val="nil"/>
              <w:right w:val="single" w:sz="4" w:space="0" w:color="auto"/>
            </w:tcBorders>
            <w:shd w:val="clear" w:color="auto" w:fill="auto"/>
            <w:noWrap/>
            <w:vAlign w:val="bottom"/>
            <w:hideMark/>
          </w:tcPr>
          <w:p w14:paraId="736AF8CA"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-0.019</w:t>
            </w:r>
          </w:p>
        </w:tc>
      </w:tr>
      <w:tr w:rsidR="00273E38" w:rsidRPr="002F1920" w14:paraId="6B68C408"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052E40D4"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5A79B51E"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0A263145"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350" w:type="dxa"/>
            <w:tcBorders>
              <w:top w:val="nil"/>
              <w:left w:val="nil"/>
              <w:bottom w:val="nil"/>
              <w:right w:val="single" w:sz="4" w:space="0" w:color="auto"/>
            </w:tcBorders>
            <w:shd w:val="clear" w:color="auto" w:fill="auto"/>
            <w:noWrap/>
            <w:vAlign w:val="bottom"/>
            <w:hideMark/>
          </w:tcPr>
          <w:p w14:paraId="763CD0B8"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0.447</w:t>
            </w:r>
            <w:r>
              <w:rPr>
                <w:rFonts w:eastAsia="Times New Roman"/>
                <w:color w:val="000000"/>
                <w:sz w:val="20"/>
                <w:szCs w:val="20"/>
                <w:lang w:val="en-US"/>
              </w:rPr>
              <w:t>)</w:t>
            </w:r>
          </w:p>
        </w:tc>
        <w:tc>
          <w:tcPr>
            <w:tcW w:w="1440" w:type="dxa"/>
            <w:tcBorders>
              <w:top w:val="nil"/>
              <w:left w:val="nil"/>
              <w:bottom w:val="nil"/>
              <w:right w:val="single" w:sz="4" w:space="0" w:color="auto"/>
            </w:tcBorders>
            <w:shd w:val="clear" w:color="auto" w:fill="auto"/>
            <w:noWrap/>
            <w:vAlign w:val="bottom"/>
            <w:hideMark/>
          </w:tcPr>
          <w:p w14:paraId="16202CF1"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0.422</w:t>
            </w:r>
            <w:r>
              <w:rPr>
                <w:rFonts w:eastAsia="Times New Roman"/>
                <w:color w:val="000000"/>
                <w:sz w:val="20"/>
                <w:szCs w:val="20"/>
                <w:lang w:val="en-US"/>
              </w:rPr>
              <w:t>)</w:t>
            </w:r>
          </w:p>
        </w:tc>
      </w:tr>
      <w:tr w:rsidR="00273E38" w:rsidRPr="002F1920" w14:paraId="205C2DEA"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2D3566BC"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Constant</w:t>
            </w:r>
          </w:p>
        </w:tc>
        <w:tc>
          <w:tcPr>
            <w:tcW w:w="1440" w:type="dxa"/>
            <w:tcBorders>
              <w:top w:val="nil"/>
              <w:left w:val="nil"/>
              <w:bottom w:val="nil"/>
              <w:right w:val="single" w:sz="4" w:space="0" w:color="auto"/>
            </w:tcBorders>
            <w:shd w:val="clear" w:color="auto" w:fill="auto"/>
            <w:noWrap/>
            <w:vAlign w:val="bottom"/>
            <w:hideMark/>
          </w:tcPr>
          <w:p w14:paraId="74B30FA3"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3.009***</w:t>
            </w:r>
          </w:p>
        </w:tc>
        <w:tc>
          <w:tcPr>
            <w:tcW w:w="1440" w:type="dxa"/>
            <w:tcBorders>
              <w:top w:val="nil"/>
              <w:left w:val="nil"/>
              <w:bottom w:val="nil"/>
              <w:right w:val="single" w:sz="4" w:space="0" w:color="auto"/>
            </w:tcBorders>
            <w:shd w:val="clear" w:color="auto" w:fill="auto"/>
            <w:noWrap/>
            <w:vAlign w:val="bottom"/>
            <w:hideMark/>
          </w:tcPr>
          <w:p w14:paraId="146BDC26"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3.451***</w:t>
            </w:r>
          </w:p>
        </w:tc>
        <w:tc>
          <w:tcPr>
            <w:tcW w:w="1350" w:type="dxa"/>
            <w:tcBorders>
              <w:top w:val="nil"/>
              <w:left w:val="nil"/>
              <w:bottom w:val="nil"/>
              <w:right w:val="single" w:sz="4" w:space="0" w:color="auto"/>
            </w:tcBorders>
            <w:shd w:val="clear" w:color="auto" w:fill="auto"/>
            <w:noWrap/>
            <w:vAlign w:val="bottom"/>
            <w:hideMark/>
          </w:tcPr>
          <w:p w14:paraId="08E96211"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3.386***</w:t>
            </w:r>
          </w:p>
        </w:tc>
        <w:tc>
          <w:tcPr>
            <w:tcW w:w="1440" w:type="dxa"/>
            <w:tcBorders>
              <w:top w:val="nil"/>
              <w:left w:val="nil"/>
              <w:bottom w:val="nil"/>
              <w:right w:val="single" w:sz="4" w:space="0" w:color="auto"/>
            </w:tcBorders>
            <w:shd w:val="clear" w:color="auto" w:fill="auto"/>
            <w:noWrap/>
            <w:vAlign w:val="bottom"/>
            <w:hideMark/>
          </w:tcPr>
          <w:p w14:paraId="7C63EBDB"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3.079***</w:t>
            </w:r>
          </w:p>
        </w:tc>
      </w:tr>
      <w:tr w:rsidR="00273E38" w:rsidRPr="002F1920" w14:paraId="7912F866"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0B5A3F81"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042F502"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0.825</w:t>
            </w:r>
            <w:r>
              <w:rPr>
                <w:rFonts w:eastAsia="Times New Roman"/>
                <w:color w:val="000000"/>
                <w:sz w:val="20"/>
                <w:szCs w:val="20"/>
                <w:lang w:val="en-US"/>
              </w:rPr>
              <w:t>)</w:t>
            </w:r>
          </w:p>
        </w:tc>
        <w:tc>
          <w:tcPr>
            <w:tcW w:w="1440" w:type="dxa"/>
            <w:tcBorders>
              <w:top w:val="nil"/>
              <w:left w:val="nil"/>
              <w:bottom w:val="single" w:sz="4" w:space="0" w:color="auto"/>
              <w:right w:val="single" w:sz="4" w:space="0" w:color="auto"/>
            </w:tcBorders>
            <w:shd w:val="clear" w:color="auto" w:fill="auto"/>
            <w:noWrap/>
            <w:vAlign w:val="bottom"/>
            <w:hideMark/>
          </w:tcPr>
          <w:p w14:paraId="43BE0998"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0.822</w:t>
            </w:r>
            <w:r>
              <w:rPr>
                <w:rFonts w:eastAsia="Times New Roman"/>
                <w:color w:val="000000"/>
                <w:sz w:val="20"/>
                <w:szCs w:val="20"/>
                <w:lang w:val="en-US"/>
              </w:rPr>
              <w:t>)</w:t>
            </w:r>
          </w:p>
        </w:tc>
        <w:tc>
          <w:tcPr>
            <w:tcW w:w="1350" w:type="dxa"/>
            <w:tcBorders>
              <w:top w:val="nil"/>
              <w:left w:val="nil"/>
              <w:bottom w:val="single" w:sz="4" w:space="0" w:color="auto"/>
              <w:right w:val="single" w:sz="4" w:space="0" w:color="auto"/>
            </w:tcBorders>
            <w:shd w:val="clear" w:color="auto" w:fill="auto"/>
            <w:noWrap/>
            <w:vAlign w:val="bottom"/>
            <w:hideMark/>
          </w:tcPr>
          <w:p w14:paraId="6C82EB13"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0.925</w:t>
            </w:r>
            <w:r>
              <w:rPr>
                <w:rFonts w:eastAsia="Times New Roman"/>
                <w:color w:val="000000"/>
                <w:sz w:val="20"/>
                <w:szCs w:val="20"/>
                <w:lang w:val="en-US"/>
              </w:rPr>
              <w:t>)</w:t>
            </w:r>
          </w:p>
        </w:tc>
        <w:tc>
          <w:tcPr>
            <w:tcW w:w="1440" w:type="dxa"/>
            <w:tcBorders>
              <w:top w:val="nil"/>
              <w:left w:val="nil"/>
              <w:bottom w:val="single" w:sz="4" w:space="0" w:color="auto"/>
              <w:right w:val="single" w:sz="4" w:space="0" w:color="auto"/>
            </w:tcBorders>
            <w:shd w:val="clear" w:color="auto" w:fill="auto"/>
            <w:noWrap/>
            <w:vAlign w:val="bottom"/>
            <w:hideMark/>
          </w:tcPr>
          <w:p w14:paraId="75813674"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w:t>
            </w:r>
            <w:r w:rsidRPr="00A1040F">
              <w:rPr>
                <w:rFonts w:eastAsia="Times New Roman"/>
                <w:color w:val="000000"/>
                <w:sz w:val="20"/>
                <w:szCs w:val="20"/>
                <w:lang w:val="en-US"/>
              </w:rPr>
              <w:t>0.849</w:t>
            </w:r>
            <w:r>
              <w:rPr>
                <w:rFonts w:eastAsia="Times New Roman"/>
                <w:color w:val="000000"/>
                <w:sz w:val="20"/>
                <w:szCs w:val="20"/>
                <w:lang w:val="en-US"/>
              </w:rPr>
              <w:t>)</w:t>
            </w:r>
          </w:p>
        </w:tc>
      </w:tr>
      <w:tr w:rsidR="00273E38" w:rsidRPr="002F1920" w14:paraId="151D1ABF" w14:textId="77777777" w:rsidTr="00273E38">
        <w:trPr>
          <w:trHeight w:val="300"/>
        </w:trPr>
        <w:tc>
          <w:tcPr>
            <w:tcW w:w="3435" w:type="dxa"/>
            <w:tcBorders>
              <w:top w:val="single" w:sz="4" w:space="0" w:color="auto"/>
              <w:left w:val="single" w:sz="4" w:space="0" w:color="auto"/>
              <w:bottom w:val="nil"/>
              <w:right w:val="single" w:sz="4" w:space="0" w:color="auto"/>
            </w:tcBorders>
            <w:shd w:val="clear" w:color="auto" w:fill="auto"/>
            <w:noWrap/>
            <w:vAlign w:val="bottom"/>
            <w:hideMark/>
          </w:tcPr>
          <w:p w14:paraId="67D04F6C"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N</w:t>
            </w:r>
          </w:p>
        </w:tc>
        <w:tc>
          <w:tcPr>
            <w:tcW w:w="1440" w:type="dxa"/>
            <w:tcBorders>
              <w:top w:val="nil"/>
              <w:left w:val="nil"/>
              <w:bottom w:val="nil"/>
              <w:right w:val="single" w:sz="4" w:space="0" w:color="auto"/>
            </w:tcBorders>
            <w:shd w:val="clear" w:color="auto" w:fill="auto"/>
            <w:noWrap/>
            <w:vAlign w:val="bottom"/>
            <w:hideMark/>
          </w:tcPr>
          <w:p w14:paraId="3D83D181"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428</w:t>
            </w:r>
          </w:p>
        </w:tc>
        <w:tc>
          <w:tcPr>
            <w:tcW w:w="1440" w:type="dxa"/>
            <w:tcBorders>
              <w:top w:val="nil"/>
              <w:left w:val="nil"/>
              <w:bottom w:val="nil"/>
              <w:right w:val="single" w:sz="4" w:space="0" w:color="auto"/>
            </w:tcBorders>
            <w:shd w:val="clear" w:color="auto" w:fill="auto"/>
            <w:noWrap/>
            <w:vAlign w:val="bottom"/>
            <w:hideMark/>
          </w:tcPr>
          <w:p w14:paraId="05091197"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410</w:t>
            </w:r>
          </w:p>
        </w:tc>
        <w:tc>
          <w:tcPr>
            <w:tcW w:w="1350" w:type="dxa"/>
            <w:tcBorders>
              <w:top w:val="nil"/>
              <w:left w:val="nil"/>
              <w:bottom w:val="nil"/>
              <w:right w:val="single" w:sz="4" w:space="0" w:color="auto"/>
            </w:tcBorders>
            <w:shd w:val="clear" w:color="auto" w:fill="auto"/>
            <w:noWrap/>
            <w:vAlign w:val="bottom"/>
            <w:hideMark/>
          </w:tcPr>
          <w:p w14:paraId="47F48B85"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410</w:t>
            </w:r>
          </w:p>
        </w:tc>
        <w:tc>
          <w:tcPr>
            <w:tcW w:w="1440" w:type="dxa"/>
            <w:tcBorders>
              <w:top w:val="nil"/>
              <w:left w:val="nil"/>
              <w:bottom w:val="nil"/>
              <w:right w:val="single" w:sz="4" w:space="0" w:color="auto"/>
            </w:tcBorders>
            <w:shd w:val="clear" w:color="auto" w:fill="auto"/>
            <w:noWrap/>
            <w:vAlign w:val="bottom"/>
            <w:hideMark/>
          </w:tcPr>
          <w:p w14:paraId="0B9959F7"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397</w:t>
            </w:r>
          </w:p>
        </w:tc>
      </w:tr>
      <w:tr w:rsidR="00273E38" w:rsidRPr="002F1920" w14:paraId="2ED9C742" w14:textId="77777777" w:rsidTr="00273E38">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14:paraId="1897C5D7"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xml:space="preserve">R-squared </w:t>
            </w:r>
          </w:p>
        </w:tc>
        <w:tc>
          <w:tcPr>
            <w:tcW w:w="1440" w:type="dxa"/>
            <w:tcBorders>
              <w:top w:val="nil"/>
              <w:left w:val="nil"/>
              <w:bottom w:val="single" w:sz="4" w:space="0" w:color="auto"/>
              <w:right w:val="single" w:sz="4" w:space="0" w:color="auto"/>
            </w:tcBorders>
            <w:shd w:val="clear" w:color="auto" w:fill="auto"/>
            <w:noWrap/>
            <w:vAlign w:val="bottom"/>
            <w:hideMark/>
          </w:tcPr>
          <w:p w14:paraId="118D8247"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0.388</w:t>
            </w:r>
          </w:p>
        </w:tc>
        <w:tc>
          <w:tcPr>
            <w:tcW w:w="1440" w:type="dxa"/>
            <w:tcBorders>
              <w:top w:val="nil"/>
              <w:left w:val="nil"/>
              <w:bottom w:val="single" w:sz="4" w:space="0" w:color="auto"/>
              <w:right w:val="single" w:sz="4" w:space="0" w:color="auto"/>
            </w:tcBorders>
            <w:shd w:val="clear" w:color="auto" w:fill="auto"/>
            <w:noWrap/>
            <w:vAlign w:val="bottom"/>
            <w:hideMark/>
          </w:tcPr>
          <w:p w14:paraId="7CCBA7F8"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0.369</w:t>
            </w:r>
          </w:p>
        </w:tc>
        <w:tc>
          <w:tcPr>
            <w:tcW w:w="1350" w:type="dxa"/>
            <w:tcBorders>
              <w:top w:val="nil"/>
              <w:left w:val="nil"/>
              <w:bottom w:val="single" w:sz="4" w:space="0" w:color="auto"/>
              <w:right w:val="single" w:sz="4" w:space="0" w:color="auto"/>
            </w:tcBorders>
            <w:shd w:val="clear" w:color="auto" w:fill="auto"/>
            <w:noWrap/>
            <w:vAlign w:val="bottom"/>
            <w:hideMark/>
          </w:tcPr>
          <w:p w14:paraId="2BF7CE8E"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0.371</w:t>
            </w:r>
          </w:p>
        </w:tc>
        <w:tc>
          <w:tcPr>
            <w:tcW w:w="1440" w:type="dxa"/>
            <w:tcBorders>
              <w:top w:val="nil"/>
              <w:left w:val="nil"/>
              <w:bottom w:val="single" w:sz="4" w:space="0" w:color="auto"/>
              <w:right w:val="single" w:sz="4" w:space="0" w:color="auto"/>
            </w:tcBorders>
            <w:shd w:val="clear" w:color="auto" w:fill="auto"/>
            <w:noWrap/>
            <w:vAlign w:val="bottom"/>
            <w:hideMark/>
          </w:tcPr>
          <w:p w14:paraId="5CBBE1FE"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0.398</w:t>
            </w:r>
          </w:p>
        </w:tc>
      </w:tr>
      <w:tr w:rsidR="00273E38" w:rsidRPr="002F1920" w14:paraId="5ABB9EBD" w14:textId="77777777" w:rsidTr="00273E38">
        <w:trPr>
          <w:trHeight w:val="300"/>
        </w:trPr>
        <w:tc>
          <w:tcPr>
            <w:tcW w:w="910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BDFDB9"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First Stage: Dependent variable is standardized real income growth (t-1)</w:t>
            </w:r>
          </w:p>
        </w:tc>
      </w:tr>
      <w:tr w:rsidR="00273E38" w:rsidRPr="002F1920" w14:paraId="11149327"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6AC58E4D" w14:textId="662EFC26"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Peak level bargaining(t-1)</w:t>
            </w:r>
          </w:p>
        </w:tc>
        <w:tc>
          <w:tcPr>
            <w:tcW w:w="1440" w:type="dxa"/>
            <w:tcBorders>
              <w:top w:val="nil"/>
              <w:left w:val="nil"/>
              <w:bottom w:val="nil"/>
              <w:right w:val="single" w:sz="4" w:space="0" w:color="auto"/>
            </w:tcBorders>
            <w:shd w:val="clear" w:color="auto" w:fill="auto"/>
            <w:noWrap/>
            <w:vAlign w:val="bottom"/>
            <w:hideMark/>
          </w:tcPr>
          <w:p w14:paraId="37F1116A"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-0.821*</w:t>
            </w:r>
          </w:p>
        </w:tc>
        <w:tc>
          <w:tcPr>
            <w:tcW w:w="1440" w:type="dxa"/>
            <w:tcBorders>
              <w:top w:val="nil"/>
              <w:left w:val="nil"/>
              <w:bottom w:val="nil"/>
              <w:right w:val="single" w:sz="4" w:space="0" w:color="auto"/>
            </w:tcBorders>
            <w:shd w:val="clear" w:color="auto" w:fill="auto"/>
            <w:noWrap/>
            <w:vAlign w:val="bottom"/>
            <w:hideMark/>
          </w:tcPr>
          <w:p w14:paraId="3635E9A6"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-0.993**</w:t>
            </w:r>
          </w:p>
        </w:tc>
        <w:tc>
          <w:tcPr>
            <w:tcW w:w="1350" w:type="dxa"/>
            <w:tcBorders>
              <w:top w:val="nil"/>
              <w:left w:val="nil"/>
              <w:bottom w:val="nil"/>
              <w:right w:val="single" w:sz="4" w:space="0" w:color="auto"/>
            </w:tcBorders>
            <w:shd w:val="clear" w:color="auto" w:fill="auto"/>
            <w:noWrap/>
            <w:vAlign w:val="bottom"/>
            <w:hideMark/>
          </w:tcPr>
          <w:p w14:paraId="4D514C7C"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-0.971**</w:t>
            </w:r>
          </w:p>
        </w:tc>
        <w:tc>
          <w:tcPr>
            <w:tcW w:w="1440" w:type="dxa"/>
            <w:tcBorders>
              <w:top w:val="nil"/>
              <w:left w:val="nil"/>
              <w:bottom w:val="nil"/>
              <w:right w:val="single" w:sz="4" w:space="0" w:color="auto"/>
            </w:tcBorders>
            <w:shd w:val="clear" w:color="auto" w:fill="auto"/>
            <w:noWrap/>
            <w:vAlign w:val="bottom"/>
            <w:hideMark/>
          </w:tcPr>
          <w:p w14:paraId="42F02051"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r>
      <w:tr w:rsidR="00273E38" w:rsidRPr="002F1920" w14:paraId="0146B8EE"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5D5DFCD5"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79B96406"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(0.470)</w:t>
            </w:r>
          </w:p>
        </w:tc>
        <w:tc>
          <w:tcPr>
            <w:tcW w:w="1440" w:type="dxa"/>
            <w:tcBorders>
              <w:top w:val="nil"/>
              <w:left w:val="nil"/>
              <w:bottom w:val="nil"/>
              <w:right w:val="single" w:sz="4" w:space="0" w:color="auto"/>
            </w:tcBorders>
            <w:shd w:val="clear" w:color="auto" w:fill="auto"/>
            <w:noWrap/>
            <w:vAlign w:val="bottom"/>
            <w:hideMark/>
          </w:tcPr>
          <w:p w14:paraId="583F228E"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(0.488)</w:t>
            </w:r>
          </w:p>
        </w:tc>
        <w:tc>
          <w:tcPr>
            <w:tcW w:w="1350" w:type="dxa"/>
            <w:tcBorders>
              <w:top w:val="nil"/>
              <w:left w:val="nil"/>
              <w:bottom w:val="nil"/>
              <w:right w:val="single" w:sz="4" w:space="0" w:color="auto"/>
            </w:tcBorders>
            <w:shd w:val="clear" w:color="auto" w:fill="auto"/>
            <w:noWrap/>
            <w:vAlign w:val="bottom"/>
            <w:hideMark/>
          </w:tcPr>
          <w:p w14:paraId="091D7C7A"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(0.476)</w:t>
            </w:r>
          </w:p>
        </w:tc>
        <w:tc>
          <w:tcPr>
            <w:tcW w:w="1440" w:type="dxa"/>
            <w:tcBorders>
              <w:top w:val="nil"/>
              <w:left w:val="nil"/>
              <w:bottom w:val="nil"/>
              <w:right w:val="single" w:sz="4" w:space="0" w:color="auto"/>
            </w:tcBorders>
            <w:shd w:val="clear" w:color="auto" w:fill="auto"/>
            <w:noWrap/>
            <w:vAlign w:val="bottom"/>
            <w:hideMark/>
          </w:tcPr>
          <w:p w14:paraId="4B3D1475" w14:textId="77777777" w:rsidR="00273E38" w:rsidRPr="00A1040F" w:rsidRDefault="00273E38" w:rsidP="00273E38">
            <w:pPr>
              <w:jc w:val="center"/>
              <w:rPr>
                <w:rFonts w:eastAsia="Times New Roman"/>
                <w:color w:val="000000"/>
                <w:sz w:val="20"/>
                <w:szCs w:val="20"/>
                <w:lang w:val="en-US"/>
              </w:rPr>
            </w:pPr>
          </w:p>
        </w:tc>
      </w:tr>
      <w:tr w:rsidR="00273E38" w:rsidRPr="002F1920" w14:paraId="34F95414"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11312F92" w14:textId="23ACE180" w:rsidR="00273E38" w:rsidRPr="00A1040F" w:rsidRDefault="008D2BC9" w:rsidP="00273E38">
            <w:pPr>
              <w:jc w:val="center"/>
              <w:rPr>
                <w:rFonts w:eastAsia="Times New Roman"/>
                <w:color w:val="000000"/>
                <w:sz w:val="20"/>
                <w:szCs w:val="20"/>
                <w:lang w:val="en-US"/>
              </w:rPr>
            </w:pPr>
            <w:r>
              <w:rPr>
                <w:rFonts w:eastAsia="Times New Roman"/>
                <w:color w:val="000000"/>
                <w:sz w:val="20"/>
                <w:szCs w:val="20"/>
                <w:lang w:val="en-US"/>
              </w:rPr>
              <w:t>Pattern bargaining</w:t>
            </w:r>
            <w:r w:rsidR="00273E38" w:rsidRPr="00A1040F">
              <w:rPr>
                <w:rFonts w:eastAsia="Times New Roman"/>
                <w:color w:val="000000"/>
                <w:sz w:val="20"/>
                <w:szCs w:val="20"/>
                <w:lang w:val="en-US"/>
              </w:rPr>
              <w:t>(t-1)</w:t>
            </w:r>
          </w:p>
        </w:tc>
        <w:tc>
          <w:tcPr>
            <w:tcW w:w="1440" w:type="dxa"/>
            <w:tcBorders>
              <w:top w:val="nil"/>
              <w:left w:val="nil"/>
              <w:bottom w:val="nil"/>
              <w:right w:val="single" w:sz="4" w:space="0" w:color="auto"/>
            </w:tcBorders>
            <w:shd w:val="clear" w:color="auto" w:fill="auto"/>
            <w:noWrap/>
            <w:vAlign w:val="bottom"/>
            <w:hideMark/>
          </w:tcPr>
          <w:p w14:paraId="26FAB4DB"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-0.813*</w:t>
            </w:r>
          </w:p>
        </w:tc>
        <w:tc>
          <w:tcPr>
            <w:tcW w:w="1440" w:type="dxa"/>
            <w:tcBorders>
              <w:top w:val="nil"/>
              <w:left w:val="nil"/>
              <w:bottom w:val="nil"/>
              <w:right w:val="single" w:sz="4" w:space="0" w:color="auto"/>
            </w:tcBorders>
            <w:shd w:val="clear" w:color="auto" w:fill="auto"/>
            <w:noWrap/>
            <w:vAlign w:val="bottom"/>
            <w:hideMark/>
          </w:tcPr>
          <w:p w14:paraId="7AF8F91A"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-0.933*</w:t>
            </w:r>
          </w:p>
        </w:tc>
        <w:tc>
          <w:tcPr>
            <w:tcW w:w="1350" w:type="dxa"/>
            <w:tcBorders>
              <w:top w:val="nil"/>
              <w:left w:val="nil"/>
              <w:bottom w:val="nil"/>
              <w:right w:val="single" w:sz="4" w:space="0" w:color="auto"/>
            </w:tcBorders>
            <w:shd w:val="clear" w:color="auto" w:fill="auto"/>
            <w:noWrap/>
            <w:vAlign w:val="bottom"/>
            <w:hideMark/>
          </w:tcPr>
          <w:p w14:paraId="3C796434"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-0.885*</w:t>
            </w:r>
          </w:p>
        </w:tc>
        <w:tc>
          <w:tcPr>
            <w:tcW w:w="1440" w:type="dxa"/>
            <w:tcBorders>
              <w:top w:val="nil"/>
              <w:left w:val="nil"/>
              <w:bottom w:val="nil"/>
              <w:right w:val="single" w:sz="4" w:space="0" w:color="auto"/>
            </w:tcBorders>
            <w:shd w:val="clear" w:color="auto" w:fill="auto"/>
            <w:noWrap/>
            <w:vAlign w:val="bottom"/>
            <w:hideMark/>
          </w:tcPr>
          <w:p w14:paraId="1805E39A"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r>
      <w:tr w:rsidR="00273E38" w:rsidRPr="002F1920" w14:paraId="4B6ACD6E"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5C1B4188"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1CADD613"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(0.457)</w:t>
            </w:r>
          </w:p>
        </w:tc>
        <w:tc>
          <w:tcPr>
            <w:tcW w:w="1440" w:type="dxa"/>
            <w:tcBorders>
              <w:top w:val="nil"/>
              <w:left w:val="nil"/>
              <w:bottom w:val="nil"/>
              <w:right w:val="single" w:sz="4" w:space="0" w:color="auto"/>
            </w:tcBorders>
            <w:shd w:val="clear" w:color="auto" w:fill="auto"/>
            <w:noWrap/>
            <w:vAlign w:val="bottom"/>
            <w:hideMark/>
          </w:tcPr>
          <w:p w14:paraId="53FA5E4F"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(0.499)</w:t>
            </w:r>
          </w:p>
        </w:tc>
        <w:tc>
          <w:tcPr>
            <w:tcW w:w="1350" w:type="dxa"/>
            <w:tcBorders>
              <w:top w:val="nil"/>
              <w:left w:val="nil"/>
              <w:bottom w:val="nil"/>
              <w:right w:val="single" w:sz="4" w:space="0" w:color="auto"/>
            </w:tcBorders>
            <w:shd w:val="clear" w:color="auto" w:fill="auto"/>
            <w:noWrap/>
            <w:vAlign w:val="bottom"/>
            <w:hideMark/>
          </w:tcPr>
          <w:p w14:paraId="4700DA82"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(0.481)</w:t>
            </w:r>
          </w:p>
        </w:tc>
        <w:tc>
          <w:tcPr>
            <w:tcW w:w="1440" w:type="dxa"/>
            <w:tcBorders>
              <w:top w:val="nil"/>
              <w:left w:val="nil"/>
              <w:bottom w:val="nil"/>
              <w:right w:val="single" w:sz="4" w:space="0" w:color="auto"/>
            </w:tcBorders>
            <w:shd w:val="clear" w:color="auto" w:fill="auto"/>
            <w:noWrap/>
            <w:vAlign w:val="bottom"/>
            <w:hideMark/>
          </w:tcPr>
          <w:p w14:paraId="06CB96F4" w14:textId="77777777" w:rsidR="00273E38" w:rsidRPr="00A1040F" w:rsidRDefault="00273E38" w:rsidP="00273E38">
            <w:pPr>
              <w:jc w:val="center"/>
              <w:rPr>
                <w:rFonts w:eastAsia="Times New Roman"/>
                <w:color w:val="000000"/>
                <w:sz w:val="20"/>
                <w:szCs w:val="20"/>
                <w:lang w:val="en-US"/>
              </w:rPr>
            </w:pPr>
          </w:p>
        </w:tc>
      </w:tr>
      <w:tr w:rsidR="00273E38" w:rsidRPr="002F1920" w14:paraId="21CBB480"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5B57D70A" w14:textId="35EF8405" w:rsidR="00273E38" w:rsidRPr="00A1040F" w:rsidRDefault="008D2BC9" w:rsidP="00273E38">
            <w:pPr>
              <w:jc w:val="center"/>
              <w:rPr>
                <w:rFonts w:eastAsia="Times New Roman"/>
                <w:color w:val="000000"/>
                <w:sz w:val="20"/>
                <w:szCs w:val="20"/>
                <w:lang w:val="en-US"/>
              </w:rPr>
            </w:pPr>
            <w:r>
              <w:rPr>
                <w:rFonts w:eastAsia="Times New Roman"/>
                <w:color w:val="000000"/>
                <w:sz w:val="20"/>
                <w:szCs w:val="20"/>
                <w:lang w:val="en-US"/>
              </w:rPr>
              <w:t>State imposed coordination</w:t>
            </w:r>
            <w:r w:rsidR="00273E38" w:rsidRPr="00A1040F">
              <w:rPr>
                <w:rFonts w:eastAsia="Times New Roman"/>
                <w:color w:val="000000"/>
                <w:sz w:val="20"/>
                <w:szCs w:val="20"/>
                <w:lang w:val="en-US"/>
              </w:rPr>
              <w:t>(t-1)</w:t>
            </w:r>
          </w:p>
        </w:tc>
        <w:tc>
          <w:tcPr>
            <w:tcW w:w="1440" w:type="dxa"/>
            <w:tcBorders>
              <w:top w:val="nil"/>
              <w:left w:val="nil"/>
              <w:bottom w:val="nil"/>
              <w:right w:val="single" w:sz="4" w:space="0" w:color="auto"/>
            </w:tcBorders>
            <w:shd w:val="clear" w:color="auto" w:fill="auto"/>
            <w:noWrap/>
            <w:vAlign w:val="bottom"/>
            <w:hideMark/>
          </w:tcPr>
          <w:p w14:paraId="53E191EB"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-1.041**</w:t>
            </w:r>
          </w:p>
        </w:tc>
        <w:tc>
          <w:tcPr>
            <w:tcW w:w="1440" w:type="dxa"/>
            <w:tcBorders>
              <w:top w:val="nil"/>
              <w:left w:val="nil"/>
              <w:bottom w:val="nil"/>
              <w:right w:val="single" w:sz="4" w:space="0" w:color="auto"/>
            </w:tcBorders>
            <w:shd w:val="clear" w:color="auto" w:fill="auto"/>
            <w:noWrap/>
            <w:vAlign w:val="bottom"/>
            <w:hideMark/>
          </w:tcPr>
          <w:p w14:paraId="0FA7C4CF"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-1.208***</w:t>
            </w:r>
          </w:p>
        </w:tc>
        <w:tc>
          <w:tcPr>
            <w:tcW w:w="1350" w:type="dxa"/>
            <w:tcBorders>
              <w:top w:val="nil"/>
              <w:left w:val="nil"/>
              <w:bottom w:val="nil"/>
              <w:right w:val="single" w:sz="4" w:space="0" w:color="auto"/>
            </w:tcBorders>
            <w:shd w:val="clear" w:color="auto" w:fill="auto"/>
            <w:noWrap/>
            <w:vAlign w:val="bottom"/>
            <w:hideMark/>
          </w:tcPr>
          <w:p w14:paraId="3235E3E9"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-1.195***</w:t>
            </w:r>
          </w:p>
        </w:tc>
        <w:tc>
          <w:tcPr>
            <w:tcW w:w="1440" w:type="dxa"/>
            <w:tcBorders>
              <w:top w:val="nil"/>
              <w:left w:val="nil"/>
              <w:bottom w:val="nil"/>
              <w:right w:val="single" w:sz="4" w:space="0" w:color="auto"/>
            </w:tcBorders>
            <w:shd w:val="clear" w:color="auto" w:fill="auto"/>
            <w:noWrap/>
            <w:vAlign w:val="bottom"/>
            <w:hideMark/>
          </w:tcPr>
          <w:p w14:paraId="587529A6"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r>
      <w:tr w:rsidR="00273E38" w:rsidRPr="002F1920" w14:paraId="089CF8C6"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1ED85B42"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6D31B4C3"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(0.445)</w:t>
            </w:r>
          </w:p>
        </w:tc>
        <w:tc>
          <w:tcPr>
            <w:tcW w:w="1440" w:type="dxa"/>
            <w:tcBorders>
              <w:top w:val="nil"/>
              <w:left w:val="nil"/>
              <w:bottom w:val="nil"/>
              <w:right w:val="single" w:sz="4" w:space="0" w:color="auto"/>
            </w:tcBorders>
            <w:shd w:val="clear" w:color="auto" w:fill="auto"/>
            <w:noWrap/>
            <w:vAlign w:val="bottom"/>
            <w:hideMark/>
          </w:tcPr>
          <w:p w14:paraId="26F0891D"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(0.441)</w:t>
            </w:r>
          </w:p>
        </w:tc>
        <w:tc>
          <w:tcPr>
            <w:tcW w:w="1350" w:type="dxa"/>
            <w:tcBorders>
              <w:top w:val="nil"/>
              <w:left w:val="nil"/>
              <w:bottom w:val="nil"/>
              <w:right w:val="single" w:sz="4" w:space="0" w:color="auto"/>
            </w:tcBorders>
            <w:shd w:val="clear" w:color="auto" w:fill="auto"/>
            <w:noWrap/>
            <w:vAlign w:val="bottom"/>
            <w:hideMark/>
          </w:tcPr>
          <w:p w14:paraId="74C8E324"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(0.431)</w:t>
            </w:r>
          </w:p>
        </w:tc>
        <w:tc>
          <w:tcPr>
            <w:tcW w:w="1440" w:type="dxa"/>
            <w:tcBorders>
              <w:top w:val="nil"/>
              <w:left w:val="nil"/>
              <w:bottom w:val="nil"/>
              <w:right w:val="single" w:sz="4" w:space="0" w:color="auto"/>
            </w:tcBorders>
            <w:shd w:val="clear" w:color="auto" w:fill="auto"/>
            <w:noWrap/>
            <w:vAlign w:val="bottom"/>
            <w:hideMark/>
          </w:tcPr>
          <w:p w14:paraId="59BED277" w14:textId="77777777" w:rsidR="00273E38" w:rsidRPr="00A1040F" w:rsidRDefault="00273E38" w:rsidP="00273E38">
            <w:pPr>
              <w:jc w:val="center"/>
              <w:rPr>
                <w:rFonts w:eastAsia="Times New Roman"/>
                <w:color w:val="000000"/>
                <w:sz w:val="20"/>
                <w:szCs w:val="20"/>
                <w:lang w:val="en-US"/>
              </w:rPr>
            </w:pPr>
          </w:p>
        </w:tc>
      </w:tr>
      <w:tr w:rsidR="00273E38" w:rsidRPr="002F1920" w14:paraId="5F8CFA62"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090079BB" w14:textId="193606E9" w:rsidR="00273E38" w:rsidRPr="00913093" w:rsidRDefault="00273E38" w:rsidP="00273E38">
            <w:pPr>
              <w:jc w:val="center"/>
              <w:rPr>
                <w:rFonts w:eastAsia="Times New Roman"/>
                <w:color w:val="000000"/>
                <w:sz w:val="20"/>
                <w:szCs w:val="20"/>
                <w:lang w:val="en-US"/>
              </w:rPr>
            </w:pPr>
            <w:r>
              <w:rPr>
                <w:rFonts w:eastAsia="Times New Roman"/>
                <w:color w:val="000000"/>
                <w:sz w:val="20"/>
                <w:szCs w:val="20"/>
                <w:lang w:val="en-US"/>
              </w:rPr>
              <w:t>State-led</w:t>
            </w:r>
            <w:r w:rsidRPr="00913093">
              <w:rPr>
                <w:rFonts w:eastAsia="Times New Roman"/>
                <w:color w:val="000000"/>
                <w:sz w:val="20"/>
                <w:szCs w:val="20"/>
                <w:lang w:val="en-US"/>
              </w:rPr>
              <w:t xml:space="preserve"> wage pact</w:t>
            </w:r>
            <w:r w:rsidR="008D2BC9">
              <w:rPr>
                <w:rFonts w:eastAsia="Times New Roman"/>
                <w:color w:val="000000"/>
                <w:sz w:val="20"/>
                <w:szCs w:val="20"/>
                <w:lang w:val="en-US"/>
              </w:rPr>
              <w:t>s</w:t>
            </w:r>
            <w:r w:rsidRPr="00913093">
              <w:rPr>
                <w:rFonts w:eastAsia="Times New Roman"/>
                <w:color w:val="000000"/>
                <w:sz w:val="20"/>
                <w:szCs w:val="20"/>
                <w:lang w:val="en-US"/>
              </w:rPr>
              <w:t>(t-1)</w:t>
            </w:r>
          </w:p>
        </w:tc>
        <w:tc>
          <w:tcPr>
            <w:tcW w:w="1440" w:type="dxa"/>
            <w:tcBorders>
              <w:top w:val="nil"/>
              <w:left w:val="nil"/>
              <w:bottom w:val="nil"/>
              <w:right w:val="single" w:sz="4" w:space="0" w:color="auto"/>
            </w:tcBorders>
            <w:shd w:val="clear" w:color="auto" w:fill="auto"/>
            <w:noWrap/>
            <w:vAlign w:val="bottom"/>
            <w:hideMark/>
          </w:tcPr>
          <w:p w14:paraId="724ABE71"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-0.892*</w:t>
            </w:r>
          </w:p>
        </w:tc>
        <w:tc>
          <w:tcPr>
            <w:tcW w:w="1440" w:type="dxa"/>
            <w:tcBorders>
              <w:top w:val="nil"/>
              <w:left w:val="nil"/>
              <w:bottom w:val="nil"/>
              <w:right w:val="single" w:sz="4" w:space="0" w:color="auto"/>
            </w:tcBorders>
            <w:shd w:val="clear" w:color="auto" w:fill="auto"/>
            <w:noWrap/>
            <w:vAlign w:val="bottom"/>
            <w:hideMark/>
          </w:tcPr>
          <w:p w14:paraId="3878E824"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-1.015</w:t>
            </w:r>
            <w:r>
              <w:rPr>
                <w:rFonts w:eastAsia="Times New Roman"/>
                <w:color w:val="000000"/>
                <w:sz w:val="20"/>
                <w:szCs w:val="20"/>
                <w:lang w:val="en-US"/>
              </w:rPr>
              <w:t>**</w:t>
            </w:r>
          </w:p>
        </w:tc>
        <w:tc>
          <w:tcPr>
            <w:tcW w:w="1350" w:type="dxa"/>
            <w:tcBorders>
              <w:top w:val="nil"/>
              <w:left w:val="nil"/>
              <w:bottom w:val="nil"/>
              <w:right w:val="single" w:sz="4" w:space="0" w:color="auto"/>
            </w:tcBorders>
            <w:shd w:val="clear" w:color="auto" w:fill="auto"/>
            <w:noWrap/>
            <w:vAlign w:val="bottom"/>
            <w:hideMark/>
          </w:tcPr>
          <w:p w14:paraId="116E86EC"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-1.007**</w:t>
            </w:r>
          </w:p>
        </w:tc>
        <w:tc>
          <w:tcPr>
            <w:tcW w:w="1440" w:type="dxa"/>
            <w:tcBorders>
              <w:top w:val="nil"/>
              <w:left w:val="nil"/>
              <w:bottom w:val="nil"/>
              <w:right w:val="single" w:sz="4" w:space="0" w:color="auto"/>
            </w:tcBorders>
            <w:shd w:val="clear" w:color="auto" w:fill="auto"/>
            <w:noWrap/>
            <w:vAlign w:val="bottom"/>
            <w:hideMark/>
          </w:tcPr>
          <w:p w14:paraId="583AB70B"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r>
      <w:tr w:rsidR="00273E38" w:rsidRPr="002F1920" w14:paraId="0316E639"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3E6E7631" w14:textId="77777777" w:rsidR="00273E38" w:rsidRPr="00A1040F" w:rsidRDefault="00273E38" w:rsidP="00273E38">
            <w:pPr>
              <w:jc w:val="center"/>
              <w:rPr>
                <w:rFonts w:eastAsia="Times New Roman"/>
                <w:color w:val="000000"/>
                <w:sz w:val="20"/>
                <w:szCs w:val="20"/>
                <w:lang w:val="en-US"/>
              </w:rPr>
            </w:pPr>
          </w:p>
        </w:tc>
        <w:tc>
          <w:tcPr>
            <w:tcW w:w="1440" w:type="dxa"/>
            <w:tcBorders>
              <w:top w:val="nil"/>
              <w:left w:val="nil"/>
              <w:bottom w:val="nil"/>
              <w:right w:val="single" w:sz="4" w:space="0" w:color="auto"/>
            </w:tcBorders>
            <w:shd w:val="clear" w:color="auto" w:fill="auto"/>
            <w:noWrap/>
            <w:vAlign w:val="bottom"/>
            <w:hideMark/>
          </w:tcPr>
          <w:p w14:paraId="2EB9018E"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(0.460)</w:t>
            </w:r>
          </w:p>
        </w:tc>
        <w:tc>
          <w:tcPr>
            <w:tcW w:w="1440" w:type="dxa"/>
            <w:tcBorders>
              <w:top w:val="nil"/>
              <w:left w:val="nil"/>
              <w:bottom w:val="nil"/>
              <w:right w:val="single" w:sz="4" w:space="0" w:color="auto"/>
            </w:tcBorders>
            <w:shd w:val="clear" w:color="auto" w:fill="auto"/>
            <w:noWrap/>
            <w:vAlign w:val="bottom"/>
            <w:hideMark/>
          </w:tcPr>
          <w:p w14:paraId="0A7D7091"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(0.514)</w:t>
            </w:r>
          </w:p>
        </w:tc>
        <w:tc>
          <w:tcPr>
            <w:tcW w:w="1350" w:type="dxa"/>
            <w:tcBorders>
              <w:top w:val="nil"/>
              <w:left w:val="nil"/>
              <w:bottom w:val="nil"/>
              <w:right w:val="single" w:sz="4" w:space="0" w:color="auto"/>
            </w:tcBorders>
            <w:shd w:val="clear" w:color="auto" w:fill="auto"/>
            <w:noWrap/>
            <w:vAlign w:val="bottom"/>
            <w:hideMark/>
          </w:tcPr>
          <w:p w14:paraId="09542533"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(0.503)</w:t>
            </w:r>
          </w:p>
        </w:tc>
        <w:tc>
          <w:tcPr>
            <w:tcW w:w="1440" w:type="dxa"/>
            <w:tcBorders>
              <w:top w:val="nil"/>
              <w:left w:val="nil"/>
              <w:bottom w:val="nil"/>
              <w:right w:val="single" w:sz="4" w:space="0" w:color="auto"/>
            </w:tcBorders>
            <w:shd w:val="clear" w:color="auto" w:fill="auto"/>
            <w:noWrap/>
            <w:vAlign w:val="bottom"/>
            <w:hideMark/>
          </w:tcPr>
          <w:p w14:paraId="7C23C3AE" w14:textId="77777777" w:rsidR="00273E38" w:rsidRPr="00A1040F" w:rsidRDefault="00273E38" w:rsidP="00273E38">
            <w:pPr>
              <w:jc w:val="center"/>
              <w:rPr>
                <w:rFonts w:eastAsia="Times New Roman"/>
                <w:color w:val="000000"/>
                <w:sz w:val="20"/>
                <w:szCs w:val="20"/>
                <w:lang w:val="en-US"/>
              </w:rPr>
            </w:pPr>
          </w:p>
        </w:tc>
      </w:tr>
      <w:tr w:rsidR="00273E38" w:rsidRPr="002F1920" w14:paraId="28F8751B"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208ABD80" w14:textId="35CCE5DF" w:rsidR="00273E38" w:rsidRPr="00A1040F" w:rsidRDefault="008D2BC9" w:rsidP="00273E38">
            <w:pPr>
              <w:jc w:val="center"/>
              <w:rPr>
                <w:rFonts w:eastAsia="Times New Roman"/>
                <w:color w:val="000000"/>
                <w:sz w:val="20"/>
                <w:szCs w:val="20"/>
                <w:lang w:val="en-US"/>
              </w:rPr>
            </w:pPr>
            <w:r>
              <w:rPr>
                <w:rFonts w:eastAsia="Times New Roman"/>
                <w:color w:val="000000"/>
                <w:sz w:val="20"/>
                <w:szCs w:val="20"/>
                <w:lang w:val="en-US"/>
              </w:rPr>
              <w:t>No coordination</w:t>
            </w:r>
            <w:r w:rsidR="00273E38" w:rsidRPr="00A1040F">
              <w:rPr>
                <w:rFonts w:eastAsia="Times New Roman"/>
                <w:color w:val="000000"/>
                <w:sz w:val="20"/>
                <w:szCs w:val="20"/>
                <w:lang w:val="en-US"/>
              </w:rPr>
              <w:t>(t-1)</w:t>
            </w:r>
          </w:p>
        </w:tc>
        <w:tc>
          <w:tcPr>
            <w:tcW w:w="1440" w:type="dxa"/>
            <w:tcBorders>
              <w:top w:val="nil"/>
              <w:left w:val="nil"/>
              <w:bottom w:val="nil"/>
              <w:right w:val="single" w:sz="4" w:space="0" w:color="auto"/>
            </w:tcBorders>
            <w:shd w:val="clear" w:color="auto" w:fill="auto"/>
            <w:noWrap/>
            <w:vAlign w:val="bottom"/>
            <w:hideMark/>
          </w:tcPr>
          <w:p w14:paraId="0594921A"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-0.807*</w:t>
            </w:r>
          </w:p>
        </w:tc>
        <w:tc>
          <w:tcPr>
            <w:tcW w:w="1440" w:type="dxa"/>
            <w:tcBorders>
              <w:top w:val="nil"/>
              <w:left w:val="nil"/>
              <w:bottom w:val="nil"/>
              <w:right w:val="single" w:sz="4" w:space="0" w:color="auto"/>
            </w:tcBorders>
            <w:shd w:val="clear" w:color="auto" w:fill="auto"/>
            <w:noWrap/>
            <w:vAlign w:val="bottom"/>
            <w:hideMark/>
          </w:tcPr>
          <w:p w14:paraId="2FB59536"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-0.918*</w:t>
            </w:r>
          </w:p>
        </w:tc>
        <w:tc>
          <w:tcPr>
            <w:tcW w:w="1350" w:type="dxa"/>
            <w:tcBorders>
              <w:top w:val="nil"/>
              <w:left w:val="nil"/>
              <w:bottom w:val="nil"/>
              <w:right w:val="single" w:sz="4" w:space="0" w:color="auto"/>
            </w:tcBorders>
            <w:shd w:val="clear" w:color="auto" w:fill="auto"/>
            <w:noWrap/>
            <w:vAlign w:val="bottom"/>
            <w:hideMark/>
          </w:tcPr>
          <w:p w14:paraId="642A0112"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-0.887*</w:t>
            </w:r>
          </w:p>
        </w:tc>
        <w:tc>
          <w:tcPr>
            <w:tcW w:w="1440" w:type="dxa"/>
            <w:tcBorders>
              <w:top w:val="nil"/>
              <w:left w:val="nil"/>
              <w:bottom w:val="nil"/>
              <w:right w:val="single" w:sz="4" w:space="0" w:color="auto"/>
            </w:tcBorders>
            <w:shd w:val="clear" w:color="auto" w:fill="auto"/>
            <w:noWrap/>
            <w:vAlign w:val="bottom"/>
            <w:hideMark/>
          </w:tcPr>
          <w:p w14:paraId="3A78022E"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r>
      <w:tr w:rsidR="00273E38" w:rsidRPr="002F1920" w14:paraId="6D8FD6E8"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5EB150D8"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5377459C"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(0.470)</w:t>
            </w:r>
          </w:p>
        </w:tc>
        <w:tc>
          <w:tcPr>
            <w:tcW w:w="1440" w:type="dxa"/>
            <w:tcBorders>
              <w:top w:val="nil"/>
              <w:left w:val="nil"/>
              <w:bottom w:val="nil"/>
              <w:right w:val="single" w:sz="4" w:space="0" w:color="auto"/>
            </w:tcBorders>
            <w:shd w:val="clear" w:color="auto" w:fill="auto"/>
            <w:noWrap/>
            <w:vAlign w:val="bottom"/>
            <w:hideMark/>
          </w:tcPr>
          <w:p w14:paraId="21B65507"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(0.518)</w:t>
            </w:r>
          </w:p>
        </w:tc>
        <w:tc>
          <w:tcPr>
            <w:tcW w:w="1350" w:type="dxa"/>
            <w:tcBorders>
              <w:top w:val="nil"/>
              <w:left w:val="nil"/>
              <w:bottom w:val="nil"/>
              <w:right w:val="single" w:sz="4" w:space="0" w:color="auto"/>
            </w:tcBorders>
            <w:shd w:val="clear" w:color="auto" w:fill="auto"/>
            <w:noWrap/>
            <w:vAlign w:val="bottom"/>
            <w:hideMark/>
          </w:tcPr>
          <w:p w14:paraId="6AE8C1D6"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(0.501)</w:t>
            </w:r>
          </w:p>
        </w:tc>
        <w:tc>
          <w:tcPr>
            <w:tcW w:w="1440" w:type="dxa"/>
            <w:tcBorders>
              <w:top w:val="nil"/>
              <w:left w:val="nil"/>
              <w:bottom w:val="nil"/>
              <w:right w:val="single" w:sz="4" w:space="0" w:color="auto"/>
            </w:tcBorders>
            <w:shd w:val="clear" w:color="auto" w:fill="auto"/>
            <w:noWrap/>
            <w:vAlign w:val="bottom"/>
            <w:hideMark/>
          </w:tcPr>
          <w:p w14:paraId="7E6115D7" w14:textId="77777777" w:rsidR="00273E38" w:rsidRPr="00A1040F" w:rsidRDefault="00273E38" w:rsidP="00273E38">
            <w:pPr>
              <w:jc w:val="center"/>
              <w:rPr>
                <w:rFonts w:eastAsia="Times New Roman"/>
                <w:color w:val="000000"/>
                <w:sz w:val="20"/>
                <w:szCs w:val="20"/>
                <w:lang w:val="en-US"/>
              </w:rPr>
            </w:pPr>
          </w:p>
        </w:tc>
      </w:tr>
      <w:tr w:rsidR="00273E38" w:rsidRPr="002F1920" w14:paraId="62765A13"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42348196" w14:textId="37D114B0" w:rsidR="00273E38" w:rsidRPr="00A1040F" w:rsidRDefault="008D2BC9" w:rsidP="00273E38">
            <w:pPr>
              <w:jc w:val="center"/>
              <w:rPr>
                <w:rFonts w:eastAsia="Times New Roman"/>
                <w:color w:val="000000"/>
                <w:sz w:val="20"/>
                <w:szCs w:val="20"/>
                <w:lang w:val="en-US"/>
              </w:rPr>
            </w:pPr>
            <w:r>
              <w:rPr>
                <w:rFonts w:eastAsia="Times New Roman"/>
                <w:color w:val="000000"/>
                <w:sz w:val="20"/>
                <w:szCs w:val="20"/>
                <w:lang w:val="en-US"/>
              </w:rPr>
              <w:t>Peak level bargaining</w:t>
            </w:r>
            <w:r w:rsidR="00273E38" w:rsidRPr="00A1040F">
              <w:rPr>
                <w:rFonts w:eastAsia="Times New Roman"/>
                <w:color w:val="000000"/>
                <w:sz w:val="20"/>
                <w:szCs w:val="20"/>
                <w:lang w:val="en-US"/>
              </w:rPr>
              <w:t>(t-2)</w:t>
            </w:r>
          </w:p>
        </w:tc>
        <w:tc>
          <w:tcPr>
            <w:tcW w:w="1440" w:type="dxa"/>
            <w:tcBorders>
              <w:top w:val="nil"/>
              <w:left w:val="nil"/>
              <w:bottom w:val="nil"/>
              <w:right w:val="single" w:sz="4" w:space="0" w:color="auto"/>
            </w:tcBorders>
            <w:shd w:val="clear" w:color="auto" w:fill="auto"/>
            <w:noWrap/>
            <w:vAlign w:val="bottom"/>
            <w:hideMark/>
          </w:tcPr>
          <w:p w14:paraId="735C2258"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309E756B"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350" w:type="dxa"/>
            <w:tcBorders>
              <w:top w:val="nil"/>
              <w:left w:val="nil"/>
              <w:bottom w:val="nil"/>
              <w:right w:val="single" w:sz="4" w:space="0" w:color="auto"/>
            </w:tcBorders>
            <w:shd w:val="clear" w:color="auto" w:fill="auto"/>
            <w:noWrap/>
            <w:vAlign w:val="bottom"/>
            <w:hideMark/>
          </w:tcPr>
          <w:p w14:paraId="4A0B4FA1"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2EFAB173"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-1.122**</w:t>
            </w:r>
          </w:p>
        </w:tc>
      </w:tr>
      <w:tr w:rsidR="00273E38" w:rsidRPr="002F1920" w14:paraId="51AD8803"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716A67D0"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1A1D7965" w14:textId="77777777" w:rsidR="00273E38" w:rsidRPr="00A1040F" w:rsidRDefault="00273E38" w:rsidP="00273E38">
            <w:pPr>
              <w:jc w:val="center"/>
              <w:rPr>
                <w:rFonts w:eastAsia="Times New Roman"/>
                <w:color w:val="000000"/>
                <w:sz w:val="20"/>
                <w:szCs w:val="20"/>
                <w:lang w:val="en-US"/>
              </w:rPr>
            </w:pPr>
          </w:p>
        </w:tc>
        <w:tc>
          <w:tcPr>
            <w:tcW w:w="1440" w:type="dxa"/>
            <w:tcBorders>
              <w:top w:val="nil"/>
              <w:left w:val="nil"/>
              <w:bottom w:val="nil"/>
              <w:right w:val="single" w:sz="4" w:space="0" w:color="auto"/>
            </w:tcBorders>
            <w:shd w:val="clear" w:color="auto" w:fill="auto"/>
            <w:noWrap/>
            <w:vAlign w:val="bottom"/>
            <w:hideMark/>
          </w:tcPr>
          <w:p w14:paraId="77C6E1A4" w14:textId="77777777" w:rsidR="00273E38" w:rsidRPr="00A1040F" w:rsidRDefault="00273E38" w:rsidP="00273E38">
            <w:pPr>
              <w:jc w:val="center"/>
              <w:rPr>
                <w:rFonts w:eastAsia="Times New Roman"/>
                <w:color w:val="000000"/>
                <w:sz w:val="20"/>
                <w:szCs w:val="20"/>
                <w:lang w:val="en-US"/>
              </w:rPr>
            </w:pPr>
          </w:p>
        </w:tc>
        <w:tc>
          <w:tcPr>
            <w:tcW w:w="1350" w:type="dxa"/>
            <w:tcBorders>
              <w:top w:val="nil"/>
              <w:left w:val="nil"/>
              <w:bottom w:val="nil"/>
              <w:right w:val="single" w:sz="4" w:space="0" w:color="auto"/>
            </w:tcBorders>
            <w:shd w:val="clear" w:color="auto" w:fill="auto"/>
            <w:noWrap/>
            <w:vAlign w:val="bottom"/>
            <w:hideMark/>
          </w:tcPr>
          <w:p w14:paraId="23CB5B7F" w14:textId="77777777" w:rsidR="00273E38" w:rsidRPr="00A1040F" w:rsidRDefault="00273E38" w:rsidP="00273E38">
            <w:pPr>
              <w:jc w:val="center"/>
              <w:rPr>
                <w:rFonts w:eastAsia="Times New Roman"/>
                <w:color w:val="000000"/>
                <w:sz w:val="20"/>
                <w:szCs w:val="20"/>
                <w:lang w:val="en-US"/>
              </w:rPr>
            </w:pPr>
          </w:p>
        </w:tc>
        <w:tc>
          <w:tcPr>
            <w:tcW w:w="1440" w:type="dxa"/>
            <w:tcBorders>
              <w:top w:val="nil"/>
              <w:left w:val="nil"/>
              <w:bottom w:val="nil"/>
              <w:right w:val="single" w:sz="4" w:space="0" w:color="auto"/>
            </w:tcBorders>
            <w:shd w:val="clear" w:color="auto" w:fill="auto"/>
            <w:noWrap/>
            <w:vAlign w:val="bottom"/>
            <w:hideMark/>
          </w:tcPr>
          <w:p w14:paraId="4B81E7FC"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(0.448)</w:t>
            </w:r>
          </w:p>
        </w:tc>
      </w:tr>
      <w:tr w:rsidR="00273E38" w:rsidRPr="002F1920" w14:paraId="7CA2C8E1"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0947B049" w14:textId="62211741" w:rsidR="00273E38" w:rsidRPr="00A1040F" w:rsidRDefault="008D2BC9" w:rsidP="00273E38">
            <w:pPr>
              <w:jc w:val="center"/>
              <w:rPr>
                <w:rFonts w:eastAsia="Times New Roman"/>
                <w:color w:val="000000"/>
                <w:sz w:val="20"/>
                <w:szCs w:val="20"/>
                <w:lang w:val="en-US"/>
              </w:rPr>
            </w:pPr>
            <w:r>
              <w:rPr>
                <w:rFonts w:eastAsia="Times New Roman"/>
                <w:color w:val="000000"/>
                <w:sz w:val="20"/>
                <w:szCs w:val="20"/>
                <w:lang w:val="en-US"/>
              </w:rPr>
              <w:t>Pattern bargaining</w:t>
            </w:r>
            <w:r w:rsidR="00273E38" w:rsidRPr="00A1040F">
              <w:rPr>
                <w:rFonts w:eastAsia="Times New Roman"/>
                <w:color w:val="000000"/>
                <w:sz w:val="20"/>
                <w:szCs w:val="20"/>
                <w:lang w:val="en-US"/>
              </w:rPr>
              <w:t>(t-2)</w:t>
            </w:r>
          </w:p>
        </w:tc>
        <w:tc>
          <w:tcPr>
            <w:tcW w:w="1440" w:type="dxa"/>
            <w:tcBorders>
              <w:top w:val="nil"/>
              <w:left w:val="nil"/>
              <w:bottom w:val="nil"/>
              <w:right w:val="single" w:sz="4" w:space="0" w:color="auto"/>
            </w:tcBorders>
            <w:shd w:val="clear" w:color="auto" w:fill="auto"/>
            <w:noWrap/>
            <w:vAlign w:val="bottom"/>
            <w:hideMark/>
          </w:tcPr>
          <w:p w14:paraId="1E42A827"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7E39AC84"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350" w:type="dxa"/>
            <w:tcBorders>
              <w:top w:val="nil"/>
              <w:left w:val="nil"/>
              <w:bottom w:val="nil"/>
              <w:right w:val="single" w:sz="4" w:space="0" w:color="auto"/>
            </w:tcBorders>
            <w:shd w:val="clear" w:color="auto" w:fill="auto"/>
            <w:noWrap/>
            <w:vAlign w:val="bottom"/>
            <w:hideMark/>
          </w:tcPr>
          <w:p w14:paraId="059C47AE"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57769E46"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-1.004**</w:t>
            </w:r>
          </w:p>
        </w:tc>
      </w:tr>
      <w:tr w:rsidR="00273E38" w:rsidRPr="002F1920" w14:paraId="6E89C34B"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0C015DB2"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2B74362E" w14:textId="77777777" w:rsidR="00273E38" w:rsidRPr="00A1040F" w:rsidRDefault="00273E38" w:rsidP="00273E38">
            <w:pPr>
              <w:jc w:val="center"/>
              <w:rPr>
                <w:rFonts w:eastAsia="Times New Roman"/>
                <w:color w:val="000000"/>
                <w:sz w:val="20"/>
                <w:szCs w:val="20"/>
                <w:lang w:val="en-US"/>
              </w:rPr>
            </w:pPr>
          </w:p>
        </w:tc>
        <w:tc>
          <w:tcPr>
            <w:tcW w:w="1440" w:type="dxa"/>
            <w:tcBorders>
              <w:top w:val="nil"/>
              <w:left w:val="nil"/>
              <w:bottom w:val="nil"/>
              <w:right w:val="single" w:sz="4" w:space="0" w:color="auto"/>
            </w:tcBorders>
            <w:shd w:val="clear" w:color="auto" w:fill="auto"/>
            <w:noWrap/>
            <w:vAlign w:val="bottom"/>
            <w:hideMark/>
          </w:tcPr>
          <w:p w14:paraId="244F4540" w14:textId="77777777" w:rsidR="00273E38" w:rsidRPr="00A1040F" w:rsidRDefault="00273E38" w:rsidP="00273E38">
            <w:pPr>
              <w:jc w:val="center"/>
              <w:rPr>
                <w:rFonts w:eastAsia="Times New Roman"/>
                <w:color w:val="000000"/>
                <w:sz w:val="20"/>
                <w:szCs w:val="20"/>
                <w:lang w:val="en-US"/>
              </w:rPr>
            </w:pPr>
          </w:p>
        </w:tc>
        <w:tc>
          <w:tcPr>
            <w:tcW w:w="1350" w:type="dxa"/>
            <w:tcBorders>
              <w:top w:val="nil"/>
              <w:left w:val="nil"/>
              <w:bottom w:val="nil"/>
              <w:right w:val="single" w:sz="4" w:space="0" w:color="auto"/>
            </w:tcBorders>
            <w:shd w:val="clear" w:color="auto" w:fill="auto"/>
            <w:noWrap/>
            <w:vAlign w:val="bottom"/>
            <w:hideMark/>
          </w:tcPr>
          <w:p w14:paraId="1020671E" w14:textId="77777777" w:rsidR="00273E38" w:rsidRPr="00A1040F" w:rsidRDefault="00273E38" w:rsidP="00273E38">
            <w:pPr>
              <w:jc w:val="center"/>
              <w:rPr>
                <w:rFonts w:eastAsia="Times New Roman"/>
                <w:color w:val="000000"/>
                <w:sz w:val="20"/>
                <w:szCs w:val="20"/>
                <w:lang w:val="en-US"/>
              </w:rPr>
            </w:pPr>
          </w:p>
        </w:tc>
        <w:tc>
          <w:tcPr>
            <w:tcW w:w="1440" w:type="dxa"/>
            <w:tcBorders>
              <w:top w:val="nil"/>
              <w:left w:val="nil"/>
              <w:bottom w:val="nil"/>
              <w:right w:val="single" w:sz="4" w:space="0" w:color="auto"/>
            </w:tcBorders>
            <w:shd w:val="clear" w:color="auto" w:fill="auto"/>
            <w:noWrap/>
            <w:vAlign w:val="bottom"/>
            <w:hideMark/>
          </w:tcPr>
          <w:p w14:paraId="4620AC96"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(0.434)</w:t>
            </w:r>
          </w:p>
        </w:tc>
      </w:tr>
      <w:tr w:rsidR="00273E38" w:rsidRPr="002F1920" w14:paraId="409BD5AC"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3615F50E" w14:textId="705F960D"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St</w:t>
            </w:r>
            <w:r w:rsidR="008D2BC9">
              <w:rPr>
                <w:rFonts w:eastAsia="Times New Roman"/>
                <w:color w:val="000000"/>
                <w:sz w:val="20"/>
                <w:szCs w:val="20"/>
                <w:lang w:val="en-US"/>
              </w:rPr>
              <w:t>ate imposed coordination</w:t>
            </w:r>
            <w:r w:rsidRPr="00A1040F">
              <w:rPr>
                <w:rFonts w:eastAsia="Times New Roman"/>
                <w:color w:val="000000"/>
                <w:sz w:val="20"/>
                <w:szCs w:val="20"/>
                <w:lang w:val="en-US"/>
              </w:rPr>
              <w:t>(t-2)</w:t>
            </w:r>
          </w:p>
        </w:tc>
        <w:tc>
          <w:tcPr>
            <w:tcW w:w="1440" w:type="dxa"/>
            <w:tcBorders>
              <w:top w:val="nil"/>
              <w:left w:val="nil"/>
              <w:bottom w:val="nil"/>
              <w:right w:val="single" w:sz="4" w:space="0" w:color="auto"/>
            </w:tcBorders>
            <w:shd w:val="clear" w:color="auto" w:fill="auto"/>
            <w:noWrap/>
            <w:vAlign w:val="bottom"/>
            <w:hideMark/>
          </w:tcPr>
          <w:p w14:paraId="0366E7A4"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1DD131FB"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350" w:type="dxa"/>
            <w:tcBorders>
              <w:top w:val="nil"/>
              <w:left w:val="nil"/>
              <w:bottom w:val="nil"/>
              <w:right w:val="single" w:sz="4" w:space="0" w:color="auto"/>
            </w:tcBorders>
            <w:shd w:val="clear" w:color="auto" w:fill="auto"/>
            <w:noWrap/>
            <w:vAlign w:val="bottom"/>
            <w:hideMark/>
          </w:tcPr>
          <w:p w14:paraId="7D7734E2"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6134C5F9"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-1.383***</w:t>
            </w:r>
          </w:p>
        </w:tc>
      </w:tr>
      <w:tr w:rsidR="00273E38" w:rsidRPr="002F1920" w14:paraId="1E3A490A"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3560F6C2"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63E7510F" w14:textId="77777777" w:rsidR="00273E38" w:rsidRPr="00A1040F" w:rsidRDefault="00273E38" w:rsidP="00273E38">
            <w:pPr>
              <w:jc w:val="center"/>
              <w:rPr>
                <w:rFonts w:eastAsia="Times New Roman"/>
                <w:color w:val="000000"/>
                <w:sz w:val="20"/>
                <w:szCs w:val="20"/>
                <w:lang w:val="en-US"/>
              </w:rPr>
            </w:pPr>
          </w:p>
        </w:tc>
        <w:tc>
          <w:tcPr>
            <w:tcW w:w="1440" w:type="dxa"/>
            <w:tcBorders>
              <w:top w:val="nil"/>
              <w:left w:val="nil"/>
              <w:bottom w:val="nil"/>
              <w:right w:val="single" w:sz="4" w:space="0" w:color="auto"/>
            </w:tcBorders>
            <w:shd w:val="clear" w:color="auto" w:fill="auto"/>
            <w:noWrap/>
            <w:vAlign w:val="bottom"/>
            <w:hideMark/>
          </w:tcPr>
          <w:p w14:paraId="3C1D8B75" w14:textId="77777777" w:rsidR="00273E38" w:rsidRPr="00A1040F" w:rsidRDefault="00273E38" w:rsidP="00273E38">
            <w:pPr>
              <w:jc w:val="center"/>
              <w:rPr>
                <w:rFonts w:eastAsia="Times New Roman"/>
                <w:color w:val="000000"/>
                <w:sz w:val="20"/>
                <w:szCs w:val="20"/>
                <w:lang w:val="en-US"/>
              </w:rPr>
            </w:pPr>
          </w:p>
        </w:tc>
        <w:tc>
          <w:tcPr>
            <w:tcW w:w="1350" w:type="dxa"/>
            <w:tcBorders>
              <w:top w:val="nil"/>
              <w:left w:val="nil"/>
              <w:bottom w:val="nil"/>
              <w:right w:val="single" w:sz="4" w:space="0" w:color="auto"/>
            </w:tcBorders>
            <w:shd w:val="clear" w:color="auto" w:fill="auto"/>
            <w:noWrap/>
            <w:vAlign w:val="bottom"/>
            <w:hideMark/>
          </w:tcPr>
          <w:p w14:paraId="547BEDA1" w14:textId="77777777" w:rsidR="00273E38" w:rsidRPr="00A1040F" w:rsidRDefault="00273E38" w:rsidP="00273E38">
            <w:pPr>
              <w:jc w:val="center"/>
              <w:rPr>
                <w:rFonts w:eastAsia="Times New Roman"/>
                <w:color w:val="000000"/>
                <w:sz w:val="20"/>
                <w:szCs w:val="20"/>
                <w:lang w:val="en-US"/>
              </w:rPr>
            </w:pPr>
          </w:p>
        </w:tc>
        <w:tc>
          <w:tcPr>
            <w:tcW w:w="1440" w:type="dxa"/>
            <w:tcBorders>
              <w:top w:val="nil"/>
              <w:left w:val="nil"/>
              <w:bottom w:val="nil"/>
              <w:right w:val="single" w:sz="4" w:space="0" w:color="auto"/>
            </w:tcBorders>
            <w:shd w:val="clear" w:color="auto" w:fill="auto"/>
            <w:noWrap/>
            <w:vAlign w:val="bottom"/>
            <w:hideMark/>
          </w:tcPr>
          <w:p w14:paraId="3158296F"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(0.410)</w:t>
            </w:r>
          </w:p>
        </w:tc>
      </w:tr>
      <w:tr w:rsidR="00273E38" w:rsidRPr="002F1920" w14:paraId="3133D37C"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3D10C393" w14:textId="5BB4641B"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State-led</w:t>
            </w:r>
            <w:r w:rsidR="008D2BC9">
              <w:rPr>
                <w:rFonts w:eastAsia="Times New Roman"/>
                <w:color w:val="000000"/>
                <w:sz w:val="20"/>
                <w:szCs w:val="20"/>
                <w:lang w:val="en-US"/>
              </w:rPr>
              <w:t xml:space="preserve"> wage pacts</w:t>
            </w:r>
            <w:r>
              <w:rPr>
                <w:rFonts w:eastAsia="Times New Roman"/>
                <w:color w:val="000000"/>
                <w:sz w:val="20"/>
                <w:szCs w:val="20"/>
                <w:lang w:val="en-US"/>
              </w:rPr>
              <w:t>(t-2</w:t>
            </w:r>
            <w:r w:rsidRPr="00913093">
              <w:rPr>
                <w:rFonts w:eastAsia="Times New Roman"/>
                <w:color w:val="000000"/>
                <w:sz w:val="20"/>
                <w:szCs w:val="20"/>
                <w:lang w:val="en-US"/>
              </w:rPr>
              <w:t>)</w:t>
            </w:r>
          </w:p>
        </w:tc>
        <w:tc>
          <w:tcPr>
            <w:tcW w:w="1440" w:type="dxa"/>
            <w:tcBorders>
              <w:top w:val="nil"/>
              <w:left w:val="nil"/>
              <w:bottom w:val="nil"/>
              <w:right w:val="single" w:sz="4" w:space="0" w:color="auto"/>
            </w:tcBorders>
            <w:shd w:val="clear" w:color="auto" w:fill="auto"/>
            <w:noWrap/>
            <w:vAlign w:val="bottom"/>
            <w:hideMark/>
          </w:tcPr>
          <w:p w14:paraId="472BA80F"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70DB1021"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350" w:type="dxa"/>
            <w:tcBorders>
              <w:top w:val="nil"/>
              <w:left w:val="nil"/>
              <w:bottom w:val="nil"/>
              <w:right w:val="single" w:sz="4" w:space="0" w:color="auto"/>
            </w:tcBorders>
            <w:shd w:val="clear" w:color="auto" w:fill="auto"/>
            <w:noWrap/>
            <w:vAlign w:val="bottom"/>
            <w:hideMark/>
          </w:tcPr>
          <w:p w14:paraId="1F06A32C"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5CAE9916"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-1.073**</w:t>
            </w:r>
          </w:p>
        </w:tc>
      </w:tr>
      <w:tr w:rsidR="00273E38" w:rsidRPr="002F1920" w14:paraId="6A4A939F"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2C450481" w14:textId="77777777" w:rsidR="00273E38" w:rsidRPr="00A1040F" w:rsidRDefault="00273E38" w:rsidP="00273E38">
            <w:pPr>
              <w:jc w:val="center"/>
              <w:rPr>
                <w:rFonts w:eastAsia="Times New Roman"/>
                <w:color w:val="000000"/>
                <w:sz w:val="20"/>
                <w:szCs w:val="20"/>
                <w:lang w:val="en-US"/>
              </w:rPr>
            </w:pPr>
          </w:p>
        </w:tc>
        <w:tc>
          <w:tcPr>
            <w:tcW w:w="1440" w:type="dxa"/>
            <w:tcBorders>
              <w:top w:val="nil"/>
              <w:left w:val="nil"/>
              <w:bottom w:val="nil"/>
              <w:right w:val="single" w:sz="4" w:space="0" w:color="auto"/>
            </w:tcBorders>
            <w:shd w:val="clear" w:color="auto" w:fill="auto"/>
            <w:noWrap/>
            <w:vAlign w:val="bottom"/>
            <w:hideMark/>
          </w:tcPr>
          <w:p w14:paraId="6ECA9523" w14:textId="77777777" w:rsidR="00273E38" w:rsidRPr="00A1040F" w:rsidRDefault="00273E38" w:rsidP="00273E38">
            <w:pPr>
              <w:jc w:val="center"/>
              <w:rPr>
                <w:rFonts w:eastAsia="Times New Roman"/>
                <w:color w:val="000000"/>
                <w:sz w:val="20"/>
                <w:szCs w:val="20"/>
                <w:lang w:val="en-US"/>
              </w:rPr>
            </w:pPr>
          </w:p>
        </w:tc>
        <w:tc>
          <w:tcPr>
            <w:tcW w:w="1440" w:type="dxa"/>
            <w:tcBorders>
              <w:top w:val="nil"/>
              <w:left w:val="nil"/>
              <w:bottom w:val="nil"/>
              <w:right w:val="single" w:sz="4" w:space="0" w:color="auto"/>
            </w:tcBorders>
            <w:shd w:val="clear" w:color="auto" w:fill="auto"/>
            <w:noWrap/>
            <w:vAlign w:val="bottom"/>
            <w:hideMark/>
          </w:tcPr>
          <w:p w14:paraId="6CC85C78" w14:textId="77777777" w:rsidR="00273E38" w:rsidRPr="00A1040F" w:rsidRDefault="00273E38" w:rsidP="00273E38">
            <w:pPr>
              <w:jc w:val="center"/>
              <w:rPr>
                <w:rFonts w:eastAsia="Times New Roman"/>
                <w:color w:val="000000"/>
                <w:sz w:val="20"/>
                <w:szCs w:val="20"/>
                <w:lang w:val="en-US"/>
              </w:rPr>
            </w:pPr>
          </w:p>
        </w:tc>
        <w:tc>
          <w:tcPr>
            <w:tcW w:w="1350" w:type="dxa"/>
            <w:tcBorders>
              <w:top w:val="nil"/>
              <w:left w:val="nil"/>
              <w:bottom w:val="nil"/>
              <w:right w:val="single" w:sz="4" w:space="0" w:color="auto"/>
            </w:tcBorders>
            <w:shd w:val="clear" w:color="auto" w:fill="auto"/>
            <w:noWrap/>
            <w:vAlign w:val="bottom"/>
            <w:hideMark/>
          </w:tcPr>
          <w:p w14:paraId="5D905211" w14:textId="77777777" w:rsidR="00273E38" w:rsidRPr="00A1040F" w:rsidRDefault="00273E38" w:rsidP="00273E38">
            <w:pPr>
              <w:jc w:val="center"/>
              <w:rPr>
                <w:rFonts w:eastAsia="Times New Roman"/>
                <w:color w:val="000000"/>
                <w:sz w:val="20"/>
                <w:szCs w:val="20"/>
                <w:lang w:val="en-US"/>
              </w:rPr>
            </w:pPr>
          </w:p>
        </w:tc>
        <w:tc>
          <w:tcPr>
            <w:tcW w:w="1440" w:type="dxa"/>
            <w:tcBorders>
              <w:top w:val="nil"/>
              <w:left w:val="nil"/>
              <w:bottom w:val="nil"/>
              <w:right w:val="single" w:sz="4" w:space="0" w:color="auto"/>
            </w:tcBorders>
            <w:shd w:val="clear" w:color="auto" w:fill="auto"/>
            <w:noWrap/>
            <w:vAlign w:val="bottom"/>
            <w:hideMark/>
          </w:tcPr>
          <w:p w14:paraId="04A9345D"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(0.448)</w:t>
            </w:r>
          </w:p>
        </w:tc>
      </w:tr>
      <w:tr w:rsidR="00273E38" w:rsidRPr="002F1920" w14:paraId="192F875A"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4A0E31AC" w14:textId="3E80B2AC" w:rsidR="00273E38" w:rsidRPr="00A1040F" w:rsidRDefault="008D2BC9" w:rsidP="00273E38">
            <w:pPr>
              <w:jc w:val="center"/>
              <w:rPr>
                <w:rFonts w:eastAsia="Times New Roman"/>
                <w:color w:val="000000"/>
                <w:sz w:val="20"/>
                <w:szCs w:val="20"/>
                <w:lang w:val="en-US"/>
              </w:rPr>
            </w:pPr>
            <w:r>
              <w:rPr>
                <w:rFonts w:eastAsia="Times New Roman"/>
                <w:color w:val="000000"/>
                <w:sz w:val="20"/>
                <w:szCs w:val="20"/>
                <w:lang w:val="en-US"/>
              </w:rPr>
              <w:t>No coordination</w:t>
            </w:r>
            <w:r w:rsidR="00273E38" w:rsidRPr="00A1040F">
              <w:rPr>
                <w:rFonts w:eastAsia="Times New Roman"/>
                <w:color w:val="000000"/>
                <w:sz w:val="20"/>
                <w:szCs w:val="20"/>
                <w:lang w:val="en-US"/>
              </w:rPr>
              <w:t>(t-2)</w:t>
            </w:r>
          </w:p>
        </w:tc>
        <w:tc>
          <w:tcPr>
            <w:tcW w:w="1440" w:type="dxa"/>
            <w:tcBorders>
              <w:top w:val="nil"/>
              <w:left w:val="nil"/>
              <w:bottom w:val="nil"/>
              <w:right w:val="single" w:sz="4" w:space="0" w:color="auto"/>
            </w:tcBorders>
            <w:shd w:val="clear" w:color="auto" w:fill="auto"/>
            <w:noWrap/>
            <w:vAlign w:val="bottom"/>
            <w:hideMark/>
          </w:tcPr>
          <w:p w14:paraId="1D947771"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63B6E95D"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350" w:type="dxa"/>
            <w:tcBorders>
              <w:top w:val="nil"/>
              <w:left w:val="nil"/>
              <w:bottom w:val="nil"/>
              <w:right w:val="single" w:sz="4" w:space="0" w:color="auto"/>
            </w:tcBorders>
            <w:shd w:val="clear" w:color="auto" w:fill="auto"/>
            <w:noWrap/>
            <w:vAlign w:val="bottom"/>
            <w:hideMark/>
          </w:tcPr>
          <w:p w14:paraId="7B238147"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14:paraId="1C238199"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-0.975**</w:t>
            </w:r>
          </w:p>
        </w:tc>
      </w:tr>
      <w:tr w:rsidR="00273E38" w:rsidRPr="002F1920" w14:paraId="47BA9ADD" w14:textId="77777777" w:rsidTr="00273E38">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14:paraId="4F684716"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E7BE417" w14:textId="77777777" w:rsidR="00273E38" w:rsidRPr="00A1040F" w:rsidRDefault="00273E38" w:rsidP="00273E38">
            <w:pPr>
              <w:jc w:val="center"/>
              <w:rPr>
                <w:rFonts w:eastAsia="Times New Roman"/>
                <w:color w:val="000000"/>
                <w:sz w:val="20"/>
                <w:szCs w:val="20"/>
                <w:lang w:val="en-US"/>
              </w:rPr>
            </w:pPr>
          </w:p>
        </w:tc>
        <w:tc>
          <w:tcPr>
            <w:tcW w:w="1440" w:type="dxa"/>
            <w:tcBorders>
              <w:top w:val="nil"/>
              <w:left w:val="nil"/>
              <w:bottom w:val="single" w:sz="4" w:space="0" w:color="auto"/>
              <w:right w:val="single" w:sz="4" w:space="0" w:color="auto"/>
            </w:tcBorders>
            <w:shd w:val="clear" w:color="auto" w:fill="auto"/>
            <w:noWrap/>
            <w:vAlign w:val="bottom"/>
            <w:hideMark/>
          </w:tcPr>
          <w:p w14:paraId="21EA430A" w14:textId="77777777" w:rsidR="00273E38" w:rsidRPr="00A1040F" w:rsidRDefault="00273E38" w:rsidP="00273E38">
            <w:pPr>
              <w:jc w:val="center"/>
              <w:rPr>
                <w:rFonts w:eastAsia="Times New Roman"/>
                <w:color w:val="000000"/>
                <w:sz w:val="20"/>
                <w:szCs w:val="20"/>
                <w:lang w:val="en-US"/>
              </w:rPr>
            </w:pPr>
          </w:p>
        </w:tc>
        <w:tc>
          <w:tcPr>
            <w:tcW w:w="1350" w:type="dxa"/>
            <w:tcBorders>
              <w:top w:val="nil"/>
              <w:left w:val="nil"/>
              <w:bottom w:val="single" w:sz="4" w:space="0" w:color="auto"/>
              <w:right w:val="single" w:sz="4" w:space="0" w:color="auto"/>
            </w:tcBorders>
            <w:shd w:val="clear" w:color="auto" w:fill="auto"/>
            <w:noWrap/>
            <w:vAlign w:val="bottom"/>
            <w:hideMark/>
          </w:tcPr>
          <w:p w14:paraId="331A93B3" w14:textId="77777777" w:rsidR="00273E38" w:rsidRPr="00A1040F" w:rsidRDefault="00273E38" w:rsidP="00273E38">
            <w:pPr>
              <w:jc w:val="center"/>
              <w:rPr>
                <w:rFonts w:eastAsia="Times New Roman"/>
                <w:color w:val="000000"/>
                <w:sz w:val="20"/>
                <w:szCs w:val="20"/>
                <w:lang w:val="en-US"/>
              </w:rPr>
            </w:pPr>
          </w:p>
        </w:tc>
        <w:tc>
          <w:tcPr>
            <w:tcW w:w="1440" w:type="dxa"/>
            <w:tcBorders>
              <w:top w:val="nil"/>
              <w:left w:val="nil"/>
              <w:bottom w:val="single" w:sz="4" w:space="0" w:color="auto"/>
              <w:right w:val="single" w:sz="4" w:space="0" w:color="auto"/>
            </w:tcBorders>
            <w:shd w:val="clear" w:color="auto" w:fill="auto"/>
            <w:noWrap/>
            <w:vAlign w:val="bottom"/>
            <w:hideMark/>
          </w:tcPr>
          <w:p w14:paraId="1DA1154B"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(0.456)</w:t>
            </w:r>
          </w:p>
        </w:tc>
      </w:tr>
      <w:tr w:rsidR="00273E38" w:rsidRPr="002F1920" w14:paraId="0C722629"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5CD3E81A"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N</w:t>
            </w:r>
          </w:p>
        </w:tc>
        <w:tc>
          <w:tcPr>
            <w:tcW w:w="1440" w:type="dxa"/>
            <w:tcBorders>
              <w:top w:val="nil"/>
              <w:left w:val="nil"/>
              <w:bottom w:val="nil"/>
              <w:right w:val="single" w:sz="4" w:space="0" w:color="auto"/>
            </w:tcBorders>
            <w:shd w:val="clear" w:color="auto" w:fill="auto"/>
            <w:noWrap/>
            <w:vAlign w:val="bottom"/>
            <w:hideMark/>
          </w:tcPr>
          <w:p w14:paraId="487C02CA"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428</w:t>
            </w:r>
          </w:p>
        </w:tc>
        <w:tc>
          <w:tcPr>
            <w:tcW w:w="1440" w:type="dxa"/>
            <w:tcBorders>
              <w:top w:val="nil"/>
              <w:left w:val="nil"/>
              <w:bottom w:val="nil"/>
              <w:right w:val="single" w:sz="4" w:space="0" w:color="auto"/>
            </w:tcBorders>
            <w:shd w:val="clear" w:color="auto" w:fill="auto"/>
            <w:noWrap/>
            <w:vAlign w:val="bottom"/>
            <w:hideMark/>
          </w:tcPr>
          <w:p w14:paraId="5883D4F3"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410</w:t>
            </w:r>
          </w:p>
        </w:tc>
        <w:tc>
          <w:tcPr>
            <w:tcW w:w="1350" w:type="dxa"/>
            <w:tcBorders>
              <w:top w:val="nil"/>
              <w:left w:val="nil"/>
              <w:bottom w:val="nil"/>
              <w:right w:val="single" w:sz="4" w:space="0" w:color="auto"/>
            </w:tcBorders>
            <w:shd w:val="clear" w:color="auto" w:fill="auto"/>
            <w:noWrap/>
            <w:vAlign w:val="bottom"/>
            <w:hideMark/>
          </w:tcPr>
          <w:p w14:paraId="548D58C0"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410</w:t>
            </w:r>
          </w:p>
        </w:tc>
        <w:tc>
          <w:tcPr>
            <w:tcW w:w="1440" w:type="dxa"/>
            <w:tcBorders>
              <w:top w:val="nil"/>
              <w:left w:val="nil"/>
              <w:bottom w:val="nil"/>
              <w:right w:val="single" w:sz="4" w:space="0" w:color="auto"/>
            </w:tcBorders>
            <w:shd w:val="clear" w:color="auto" w:fill="auto"/>
            <w:noWrap/>
            <w:vAlign w:val="bottom"/>
            <w:hideMark/>
          </w:tcPr>
          <w:p w14:paraId="4D929BDC"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397</w:t>
            </w:r>
          </w:p>
        </w:tc>
      </w:tr>
      <w:tr w:rsidR="00273E38" w:rsidRPr="002F1920" w14:paraId="24BBB669" w14:textId="77777777" w:rsidTr="00273E38">
        <w:trPr>
          <w:trHeight w:val="300"/>
        </w:trPr>
        <w:tc>
          <w:tcPr>
            <w:tcW w:w="3435" w:type="dxa"/>
            <w:tcBorders>
              <w:top w:val="nil"/>
              <w:left w:val="single" w:sz="4" w:space="0" w:color="auto"/>
              <w:bottom w:val="nil"/>
              <w:right w:val="single" w:sz="4" w:space="0" w:color="auto"/>
            </w:tcBorders>
            <w:shd w:val="clear" w:color="auto" w:fill="auto"/>
            <w:noWrap/>
            <w:vAlign w:val="bottom"/>
            <w:hideMark/>
          </w:tcPr>
          <w:p w14:paraId="122EA134"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 xml:space="preserve">R-squared </w:t>
            </w:r>
          </w:p>
        </w:tc>
        <w:tc>
          <w:tcPr>
            <w:tcW w:w="1440" w:type="dxa"/>
            <w:tcBorders>
              <w:top w:val="nil"/>
              <w:left w:val="nil"/>
              <w:bottom w:val="nil"/>
              <w:right w:val="single" w:sz="4" w:space="0" w:color="auto"/>
            </w:tcBorders>
            <w:shd w:val="clear" w:color="auto" w:fill="auto"/>
            <w:noWrap/>
            <w:vAlign w:val="bottom"/>
            <w:hideMark/>
          </w:tcPr>
          <w:p w14:paraId="21EB051C"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0.3987</w:t>
            </w:r>
          </w:p>
        </w:tc>
        <w:tc>
          <w:tcPr>
            <w:tcW w:w="1440" w:type="dxa"/>
            <w:tcBorders>
              <w:top w:val="nil"/>
              <w:left w:val="nil"/>
              <w:bottom w:val="nil"/>
              <w:right w:val="single" w:sz="4" w:space="0" w:color="auto"/>
            </w:tcBorders>
            <w:shd w:val="clear" w:color="auto" w:fill="auto"/>
            <w:noWrap/>
            <w:vAlign w:val="bottom"/>
            <w:hideMark/>
          </w:tcPr>
          <w:p w14:paraId="502FC602"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0.4121</w:t>
            </w:r>
          </w:p>
        </w:tc>
        <w:tc>
          <w:tcPr>
            <w:tcW w:w="1350" w:type="dxa"/>
            <w:tcBorders>
              <w:top w:val="nil"/>
              <w:left w:val="nil"/>
              <w:bottom w:val="nil"/>
              <w:right w:val="single" w:sz="4" w:space="0" w:color="auto"/>
            </w:tcBorders>
            <w:shd w:val="clear" w:color="auto" w:fill="auto"/>
            <w:noWrap/>
            <w:vAlign w:val="bottom"/>
            <w:hideMark/>
          </w:tcPr>
          <w:p w14:paraId="53CC1577"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0.4144</w:t>
            </w:r>
          </w:p>
        </w:tc>
        <w:tc>
          <w:tcPr>
            <w:tcW w:w="1440" w:type="dxa"/>
            <w:tcBorders>
              <w:top w:val="nil"/>
              <w:left w:val="nil"/>
              <w:bottom w:val="nil"/>
              <w:right w:val="single" w:sz="4" w:space="0" w:color="auto"/>
            </w:tcBorders>
            <w:shd w:val="clear" w:color="auto" w:fill="auto"/>
            <w:noWrap/>
            <w:vAlign w:val="bottom"/>
            <w:hideMark/>
          </w:tcPr>
          <w:p w14:paraId="57604ECB" w14:textId="77777777" w:rsidR="00273E38" w:rsidRPr="00A1040F" w:rsidRDefault="00273E38" w:rsidP="00273E38">
            <w:pPr>
              <w:jc w:val="center"/>
              <w:rPr>
                <w:rFonts w:eastAsia="Times New Roman"/>
                <w:color w:val="000000"/>
                <w:sz w:val="20"/>
                <w:szCs w:val="20"/>
                <w:lang w:val="en-US"/>
              </w:rPr>
            </w:pPr>
            <w:r w:rsidRPr="00A1040F">
              <w:rPr>
                <w:rFonts w:eastAsia="Times New Roman"/>
                <w:color w:val="000000"/>
                <w:sz w:val="20"/>
                <w:szCs w:val="20"/>
                <w:lang w:val="en-US"/>
              </w:rPr>
              <w:t>0.4424</w:t>
            </w:r>
          </w:p>
        </w:tc>
      </w:tr>
      <w:tr w:rsidR="00273E38" w:rsidRPr="002F1920" w14:paraId="2C81DCB1" w14:textId="77777777" w:rsidTr="00273E38">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tcPr>
          <w:p w14:paraId="5051ACDD"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F-test of joint instrument significance</w:t>
            </w:r>
          </w:p>
        </w:tc>
        <w:tc>
          <w:tcPr>
            <w:tcW w:w="1440" w:type="dxa"/>
            <w:tcBorders>
              <w:top w:val="nil"/>
              <w:left w:val="nil"/>
              <w:bottom w:val="single" w:sz="4" w:space="0" w:color="auto"/>
              <w:right w:val="single" w:sz="4" w:space="0" w:color="auto"/>
            </w:tcBorders>
            <w:shd w:val="clear" w:color="auto" w:fill="auto"/>
            <w:noWrap/>
            <w:vAlign w:val="bottom"/>
          </w:tcPr>
          <w:p w14:paraId="68618881"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28.03***</w:t>
            </w:r>
          </w:p>
        </w:tc>
        <w:tc>
          <w:tcPr>
            <w:tcW w:w="1440" w:type="dxa"/>
            <w:tcBorders>
              <w:top w:val="nil"/>
              <w:left w:val="nil"/>
              <w:bottom w:val="single" w:sz="4" w:space="0" w:color="auto"/>
              <w:right w:val="single" w:sz="4" w:space="0" w:color="auto"/>
            </w:tcBorders>
            <w:shd w:val="clear" w:color="auto" w:fill="auto"/>
            <w:noWrap/>
            <w:vAlign w:val="bottom"/>
          </w:tcPr>
          <w:p w14:paraId="00BE9E20"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31.73***</w:t>
            </w:r>
          </w:p>
        </w:tc>
        <w:tc>
          <w:tcPr>
            <w:tcW w:w="1350" w:type="dxa"/>
            <w:tcBorders>
              <w:top w:val="nil"/>
              <w:left w:val="nil"/>
              <w:bottom w:val="single" w:sz="4" w:space="0" w:color="auto"/>
              <w:right w:val="single" w:sz="4" w:space="0" w:color="auto"/>
            </w:tcBorders>
            <w:shd w:val="clear" w:color="auto" w:fill="auto"/>
            <w:noWrap/>
            <w:vAlign w:val="bottom"/>
          </w:tcPr>
          <w:p w14:paraId="2BC4DC43"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34.43***</w:t>
            </w:r>
          </w:p>
        </w:tc>
        <w:tc>
          <w:tcPr>
            <w:tcW w:w="1440" w:type="dxa"/>
            <w:tcBorders>
              <w:top w:val="nil"/>
              <w:left w:val="nil"/>
              <w:bottom w:val="single" w:sz="4" w:space="0" w:color="auto"/>
              <w:right w:val="single" w:sz="4" w:space="0" w:color="auto"/>
            </w:tcBorders>
            <w:shd w:val="clear" w:color="auto" w:fill="auto"/>
            <w:noWrap/>
            <w:vAlign w:val="bottom"/>
          </w:tcPr>
          <w:p w14:paraId="3A42B761" w14:textId="77777777" w:rsidR="00273E38" w:rsidRPr="00A1040F" w:rsidRDefault="00273E38" w:rsidP="00273E38">
            <w:pPr>
              <w:jc w:val="center"/>
              <w:rPr>
                <w:rFonts w:eastAsia="Times New Roman"/>
                <w:color w:val="000000"/>
                <w:sz w:val="20"/>
                <w:szCs w:val="20"/>
                <w:lang w:val="en-US"/>
              </w:rPr>
            </w:pPr>
            <w:r>
              <w:rPr>
                <w:rFonts w:eastAsia="Times New Roman"/>
                <w:color w:val="000000"/>
                <w:sz w:val="20"/>
                <w:szCs w:val="20"/>
                <w:lang w:val="en-US"/>
              </w:rPr>
              <w:t>23.01***</w:t>
            </w:r>
          </w:p>
        </w:tc>
      </w:tr>
    </w:tbl>
    <w:p w14:paraId="35C71227" w14:textId="424BE647" w:rsidR="000E2CC7" w:rsidRDefault="00273E38" w:rsidP="00273E38">
      <w:pPr>
        <w:tabs>
          <w:tab w:val="left" w:pos="630"/>
        </w:tabs>
        <w:autoSpaceDE w:val="0"/>
        <w:autoSpaceDN w:val="0"/>
        <w:adjustRightInd w:val="0"/>
        <w:jc w:val="both"/>
        <w:rPr>
          <w:rFonts w:eastAsia="Cambria"/>
          <w:sz w:val="20"/>
          <w:szCs w:val="20"/>
          <w:lang w:val="en-US"/>
        </w:rPr>
      </w:pPr>
      <w:r w:rsidRPr="002F1920">
        <w:rPr>
          <w:rFonts w:eastAsia="Cambria"/>
          <w:sz w:val="20"/>
          <w:szCs w:val="20"/>
          <w:lang w:val="en-US"/>
        </w:rPr>
        <w:t>Dependent variable is real housing price growth.  Independent variables in the second stage are standardized. Estimator used was a pooled cross-sectional time series r</w:t>
      </w:r>
      <w:r w:rsidR="000E2CC7">
        <w:rPr>
          <w:rFonts w:eastAsia="Cambria"/>
          <w:sz w:val="20"/>
          <w:szCs w:val="20"/>
          <w:lang w:val="en-US"/>
        </w:rPr>
        <w:t>andom effects IV/2SLS estimator for</w:t>
      </w:r>
      <w:r w:rsidR="000E2CC7" w:rsidRPr="002F1920">
        <w:rPr>
          <w:rFonts w:eastAsia="Cambria"/>
          <w:sz w:val="20"/>
          <w:szCs w:val="20"/>
          <w:lang w:val="en-US"/>
        </w:rPr>
        <w:t xml:space="preserve"> 17 OECD economies from 1980 to 2007.  </w:t>
      </w:r>
      <w:proofErr w:type="gramStart"/>
      <w:r w:rsidR="000E2CC7" w:rsidRPr="002F1920">
        <w:rPr>
          <w:rFonts w:eastAsia="Cambria"/>
          <w:sz w:val="20"/>
          <w:szCs w:val="20"/>
          <w:lang w:val="en-US"/>
        </w:rPr>
        <w:t>N-1 time dummies included but not shown.</w:t>
      </w:r>
      <w:proofErr w:type="gramEnd"/>
      <w:r w:rsidR="000E2CC7" w:rsidRPr="002F1920">
        <w:rPr>
          <w:rFonts w:eastAsia="Cambria"/>
          <w:sz w:val="20"/>
          <w:szCs w:val="20"/>
          <w:lang w:val="en-US"/>
        </w:rPr>
        <w:t xml:space="preserve">  For first stage regressions, non-instrument independent variables and constant term not shown.  Panel clustered standard errors provided in parentheses. *, **, and *** indicate significance at a 90%, 95%, and 99% confidence level. </w:t>
      </w:r>
    </w:p>
    <w:p w14:paraId="74CE0E8D" w14:textId="77777777" w:rsidR="000E2CC7" w:rsidRDefault="000E2CC7" w:rsidP="00273E38">
      <w:pPr>
        <w:tabs>
          <w:tab w:val="left" w:pos="630"/>
        </w:tabs>
        <w:autoSpaceDE w:val="0"/>
        <w:autoSpaceDN w:val="0"/>
        <w:adjustRightInd w:val="0"/>
        <w:jc w:val="both"/>
        <w:rPr>
          <w:rFonts w:eastAsia="Cambria"/>
          <w:sz w:val="20"/>
          <w:szCs w:val="20"/>
          <w:lang w:val="en-US"/>
        </w:rPr>
        <w:sectPr w:rsidR="000E2CC7" w:rsidSect="000E2CC7">
          <w:pgSz w:w="11900" w:h="16840"/>
          <w:pgMar w:top="864" w:right="1440" w:bottom="864" w:left="1440" w:header="706" w:footer="706" w:gutter="0"/>
          <w:cols w:space="708"/>
          <w:docGrid w:linePitch="360"/>
        </w:sectPr>
      </w:pPr>
    </w:p>
    <w:p w14:paraId="5ED19B2F" w14:textId="70D0E998" w:rsidR="0023707F" w:rsidRDefault="0023707F" w:rsidP="0023707F">
      <w:pPr>
        <w:spacing w:line="276" w:lineRule="auto"/>
        <w:jc w:val="both"/>
      </w:pPr>
      <w:r>
        <w:lastRenderedPageBreak/>
        <w:t xml:space="preserve">Table 2, first stage estimates conform largely to our hypotheses.  Pattern bargaining, state imposed </w:t>
      </w:r>
      <w:proofErr w:type="gramStart"/>
      <w:r>
        <w:t>coordination,</w:t>
      </w:r>
      <w:proofErr w:type="gramEnd"/>
      <w:r>
        <w:t xml:space="preserve"> and </w:t>
      </w:r>
      <w:r w:rsidR="00A46E48">
        <w:t xml:space="preserve">state-led </w:t>
      </w:r>
      <w:r>
        <w:t>wage pacts exhibited lower annual real wage growth, on average, than the baseline category (</w:t>
      </w:r>
      <w:r w:rsidR="00A46E48">
        <w:t xml:space="preserve">non-state-led </w:t>
      </w:r>
      <w:r>
        <w:t xml:space="preserve">wage pacts).  The other two coordination regimes also exhibited significantly (although for uncoordinated regimes, weakly significant) lower annual wage growth than </w:t>
      </w:r>
      <w:r w:rsidR="00A46E48">
        <w:t>non-state-led</w:t>
      </w:r>
      <w:r>
        <w:t xml:space="preserve"> wage pacts: </w:t>
      </w:r>
      <w:r w:rsidR="00732D66">
        <w:t>note</w:t>
      </w:r>
      <w:r>
        <w:t xml:space="preserve"> that </w:t>
      </w:r>
      <w:r w:rsidR="00732D66">
        <w:t>these</w:t>
      </w:r>
      <w:r w:rsidR="00A46E48">
        <w:t xml:space="preserve"> </w:t>
      </w:r>
      <w:r>
        <w:t>wage pacts impose the least constraints on sheltered sector</w:t>
      </w:r>
      <w:r w:rsidR="00B82835">
        <w:t xml:space="preserve"> unions</w:t>
      </w:r>
      <w:r>
        <w:t>.  When distinguishing between sheltered and export sector dominated peak bargaining regimes, peak level bargaining’s negative coefficient was largely driven by the latter.</w:t>
      </w:r>
    </w:p>
    <w:p w14:paraId="2A3B40CD" w14:textId="77777777" w:rsidR="0023707F" w:rsidRDefault="0023707F" w:rsidP="0023707F">
      <w:pPr>
        <w:spacing w:line="276" w:lineRule="auto"/>
        <w:jc w:val="both"/>
      </w:pPr>
    </w:p>
    <w:p w14:paraId="3E31D370" w14:textId="77777777" w:rsidR="0023707F" w:rsidRDefault="0023707F" w:rsidP="0023707F">
      <w:pPr>
        <w:spacing w:line="276" w:lineRule="auto"/>
        <w:jc w:val="both"/>
      </w:pPr>
      <w:r>
        <w:t xml:space="preserve">The impact of lagged real income growth on changes in real housing prices is reduced in the IV regressions.  However, the magnitude of lagged income growth’s impact remains substantial, and continues to exceed the predicted effects of changes in lagged real interest rate.  According to results in Table 2, a one standard deviation increase in lagged real income is associated with a 1.6-2.4% annual increase in housing prices, while the impact of a lagged one standard deviation decrease in real interest rates is associated with only a 0.6-0.7% annual increase in housing prices.  Similar to the OLS models, financial and other domestic political variables displayed no significant association with housing prices.   </w:t>
      </w:r>
    </w:p>
    <w:p w14:paraId="188936CC" w14:textId="77777777" w:rsidR="0023707F" w:rsidRDefault="0023707F" w:rsidP="0023707F">
      <w:pPr>
        <w:spacing w:line="276" w:lineRule="auto"/>
        <w:jc w:val="both"/>
      </w:pPr>
    </w:p>
    <w:p w14:paraId="42DD8A34" w14:textId="4598C3D3" w:rsidR="0023707F" w:rsidRDefault="0023707F" w:rsidP="0023707F">
      <w:pPr>
        <w:spacing w:line="276" w:lineRule="auto"/>
        <w:jc w:val="both"/>
      </w:pPr>
      <w:r>
        <w:t>Results in Tables 1 and 2 provide empirical evidence of the primacy of income growth’s influence on housing prices.  Income exhibited the largest impact on housing price growth of all variables examined,</w:t>
      </w:r>
      <w:r w:rsidR="00732D66">
        <w:t xml:space="preserve"> although its impact was negligible for the US,</w:t>
      </w:r>
      <w:r>
        <w:t xml:space="preserve"> even when attempting to correct for endogeneity via instrumental variables.  While the impact of changes in real interest rates was also significant, its magnitude was </w:t>
      </w:r>
      <w:r w:rsidR="008D2BC9">
        <w:t>lower than</w:t>
      </w:r>
      <w:r>
        <w:t xml:space="preserve"> that of income growth.  </w:t>
      </w:r>
      <w:r w:rsidR="008D2BC9">
        <w:t>V</w:t>
      </w:r>
      <w:r>
        <w:t xml:space="preserve">ariables measuring broader trends in financial liberalization and financial depth displayed no significant effect.  </w:t>
      </w:r>
    </w:p>
    <w:p w14:paraId="480BD08C" w14:textId="77777777" w:rsidR="008A4927" w:rsidRPr="00827160" w:rsidRDefault="008A4927" w:rsidP="0023707F">
      <w:pPr>
        <w:spacing w:line="276" w:lineRule="auto"/>
        <w:jc w:val="both"/>
      </w:pPr>
    </w:p>
    <w:p w14:paraId="084C54AB" w14:textId="77777777" w:rsidR="0023707F" w:rsidRPr="00576FA5" w:rsidRDefault="0023707F" w:rsidP="0023707F">
      <w:pPr>
        <w:spacing w:line="276" w:lineRule="auto"/>
        <w:jc w:val="both"/>
        <w:rPr>
          <w:b/>
        </w:rPr>
      </w:pPr>
      <w:r w:rsidRPr="00576FA5">
        <w:rPr>
          <w:b/>
        </w:rPr>
        <w:t>Primed for housing bubbles: A comparison of Ireland and the Netherlands</w:t>
      </w:r>
    </w:p>
    <w:p w14:paraId="7358D45F" w14:textId="77777777" w:rsidR="0023707F" w:rsidRDefault="0023707F" w:rsidP="0023707F">
      <w:pPr>
        <w:spacing w:line="276" w:lineRule="auto"/>
        <w:jc w:val="both"/>
      </w:pPr>
    </w:p>
    <w:p w14:paraId="5014FFC7" w14:textId="2011327B" w:rsidR="0023707F" w:rsidRDefault="0023707F" w:rsidP="000E2CC7">
      <w:pPr>
        <w:spacing w:line="276" w:lineRule="auto"/>
        <w:jc w:val="both"/>
      </w:pPr>
      <w:r>
        <w:t xml:space="preserve">Ireland and the Netherlands provide a useful (method of difference) case study design to examine the influence of wage-setting institutions on housing bubbles.  During the 1990s, both countries had similar trajectories in their housing markets.  Ireland and the Netherlands had the largest housing price increases in nominal and real terms in the OECD.  Between 1990 and 2000, nominal/real housing prices increased by 173%/112% in the Netherlands and 170%/99% in Ireland (OECD, 2012).  Yet while both countries experienced significant housing prices growth during the 1990s, they experienced divergent real-estate price trends during the (pre-financial crisis) 2000s.  In Ireland, housing price growth turned into a </w:t>
      </w:r>
      <w:r w:rsidRPr="00DF3888">
        <w:rPr>
          <w:i/>
        </w:rPr>
        <w:t>bubble</w:t>
      </w:r>
      <w:r>
        <w:t xml:space="preserve"> between 2002 and 2007. Nominal housing prices grew by 105%, the third highest in the OECD.  The Netherlands, on the other hand, witnessed a lull in housing price growth. Between 2002 and 2007, nominal housing prices grew by only 45%</w:t>
      </w:r>
      <w:proofErr w:type="gramStart"/>
      <w:r>
        <w:t>,</w:t>
      </w:r>
      <w:proofErr w:type="gramEnd"/>
      <w:r>
        <w:t xml:space="preserve"> </w:t>
      </w:r>
      <w:r w:rsidR="00732D66">
        <w:t xml:space="preserve">ranking </w:t>
      </w:r>
      <w:r>
        <w:t>15</w:t>
      </w:r>
      <w:r w:rsidRPr="00576FA5">
        <w:rPr>
          <w:vertAlign w:val="superscript"/>
        </w:rPr>
        <w:t>th</w:t>
      </w:r>
      <w:r>
        <w:t xml:space="preserve"> in the OECD</w:t>
      </w:r>
      <w:r w:rsidR="00732D66">
        <w:t xml:space="preserve"> housing price growth</w:t>
      </w:r>
      <w:r>
        <w:t xml:space="preserve">, whereas real housing price growth in the Netherlands for the same period was roughly a third of Ireland’s (see Figure 5).  </w:t>
      </w:r>
    </w:p>
    <w:p w14:paraId="50A560BD" w14:textId="77777777" w:rsidR="00273E38" w:rsidRDefault="00273E38" w:rsidP="00273E38">
      <w:pPr>
        <w:spacing w:line="276" w:lineRule="auto"/>
        <w:jc w:val="center"/>
        <w:rPr>
          <w:b/>
          <w:sz w:val="22"/>
          <w:szCs w:val="22"/>
        </w:rPr>
      </w:pPr>
      <w:r w:rsidRPr="00CB6134">
        <w:rPr>
          <w:b/>
          <w:sz w:val="22"/>
          <w:szCs w:val="22"/>
        </w:rPr>
        <w:lastRenderedPageBreak/>
        <w:t>Figure 5: Real housing price index for Ireland and the Netherlands (1980-2007)</w:t>
      </w:r>
    </w:p>
    <w:p w14:paraId="737D1EA1" w14:textId="77777777" w:rsidR="00273E38" w:rsidRPr="00CB6134" w:rsidRDefault="00273E38" w:rsidP="00273E38">
      <w:pPr>
        <w:spacing w:line="276" w:lineRule="auto"/>
        <w:jc w:val="center"/>
        <w:rPr>
          <w:b/>
          <w:sz w:val="22"/>
          <w:szCs w:val="22"/>
        </w:rPr>
      </w:pPr>
    </w:p>
    <w:p w14:paraId="220CFCE1" w14:textId="77777777" w:rsidR="00273E38" w:rsidRDefault="00273E38" w:rsidP="00273E38">
      <w:pPr>
        <w:spacing w:line="276" w:lineRule="auto"/>
        <w:jc w:val="center"/>
      </w:pPr>
      <w:r>
        <w:rPr>
          <w:noProof/>
          <w:lang w:val="en-US"/>
        </w:rPr>
        <w:drawing>
          <wp:inline distT="0" distB="0" distL="0" distR="0" wp14:anchorId="3B54F4D0" wp14:editId="4540A68E">
            <wp:extent cx="4456670" cy="3250617"/>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6720" cy="3250654"/>
                    </a:xfrm>
                    <a:prstGeom prst="rect">
                      <a:avLst/>
                    </a:prstGeom>
                    <a:noFill/>
                    <a:ln>
                      <a:noFill/>
                    </a:ln>
                  </pic:spPr>
                </pic:pic>
              </a:graphicData>
            </a:graphic>
          </wp:inline>
        </w:drawing>
      </w:r>
    </w:p>
    <w:p w14:paraId="674DF6EA" w14:textId="77777777" w:rsidR="00273E38" w:rsidRPr="008A7210" w:rsidRDefault="00273E38" w:rsidP="00273E38">
      <w:pPr>
        <w:spacing w:line="276" w:lineRule="auto"/>
        <w:ind w:left="4320"/>
        <w:rPr>
          <w:sz w:val="18"/>
          <w:szCs w:val="18"/>
        </w:rPr>
      </w:pPr>
      <w:r>
        <w:rPr>
          <w:sz w:val="16"/>
          <w:szCs w:val="16"/>
        </w:rPr>
        <w:t xml:space="preserve">              </w:t>
      </w:r>
      <w:r w:rsidRPr="008A7210">
        <w:rPr>
          <w:sz w:val="18"/>
          <w:szCs w:val="18"/>
        </w:rPr>
        <w:t>Housing price data from the OECD (2012</w:t>
      </w:r>
      <w:r>
        <w:rPr>
          <w:sz w:val="18"/>
          <w:szCs w:val="18"/>
        </w:rPr>
        <w:t>a</w:t>
      </w:r>
      <w:r w:rsidRPr="008A7210">
        <w:rPr>
          <w:sz w:val="18"/>
          <w:szCs w:val="18"/>
        </w:rPr>
        <w:t>)</w:t>
      </w:r>
    </w:p>
    <w:p w14:paraId="35064B2C" w14:textId="77777777" w:rsidR="008A4927" w:rsidRDefault="008A4927" w:rsidP="0023707F">
      <w:pPr>
        <w:spacing w:line="276" w:lineRule="auto"/>
        <w:jc w:val="both"/>
      </w:pPr>
    </w:p>
    <w:p w14:paraId="4D7E9A7F" w14:textId="77777777" w:rsidR="0023707F" w:rsidRDefault="0023707F" w:rsidP="0023707F">
      <w:pPr>
        <w:spacing w:line="276" w:lineRule="auto"/>
        <w:jc w:val="both"/>
      </w:pPr>
      <w:r>
        <w:t xml:space="preserve">Why did Ireland’s rapid increase in housing prices during the 1990s turn into a </w:t>
      </w:r>
      <w:r w:rsidRPr="003F033F">
        <w:rPr>
          <w:i/>
        </w:rPr>
        <w:t>bubble</w:t>
      </w:r>
      <w:r>
        <w:t xml:space="preserve"> whereas it did not in the Netherlands? Several supply-side and demand-side determinants can be ruled out given that both countries shared these characteristics.  Both Ireland and the Netherlands realized a reduction in their nominal interest rates during the 1990s. Both countries also witnessed employment/growth miracles in the late 1990s and early 2000s, stimulating domestic demand. Much of the Dutch employment miracle concentrated in part-time employment, with a significant proportion of married women entering the part-time labor force (Salverda, 2005).  Yet the deregulation of Dutch mortgage lending matched these part-time employment trends, making it possible for (part-time) second household incomes to qualify for loan-to-income mortgage limits (Schwartz and Seabrook, 2008).     </w:t>
      </w:r>
    </w:p>
    <w:p w14:paraId="0CF9C6DE" w14:textId="77777777" w:rsidR="0023707F" w:rsidRDefault="0023707F" w:rsidP="0023707F">
      <w:pPr>
        <w:spacing w:line="276" w:lineRule="auto"/>
        <w:jc w:val="both"/>
      </w:pPr>
    </w:p>
    <w:p w14:paraId="654EE61F" w14:textId="77777777" w:rsidR="0023707F" w:rsidRDefault="0023707F" w:rsidP="0023707F">
      <w:pPr>
        <w:spacing w:line="276" w:lineRule="auto"/>
        <w:jc w:val="both"/>
      </w:pPr>
      <w:r>
        <w:t>Other supply-side determinants of housing prices that differ between the two countries can also be ruled out, as they suggest that a housing bubble should have emerged in the Netherlands rather than Ireland. First, the Netherlands has one of the most generous housing credit markets in the OECD.  In 2000, the Netherlands had the highest maximum loan-to-value ratios in the OECD: the maximum loan a buyer could take out in the Netherlands was 115% of the home’s value, compared to a maximum limit of 90% in Ireland (Andrews, Caldera Sánchez, and Johansson, 2011).</w:t>
      </w:r>
      <w:r>
        <w:rPr>
          <w:rStyle w:val="FootnoteReference"/>
        </w:rPr>
        <w:footnoteReference w:id="19"/>
      </w:r>
      <w:r>
        <w:t xml:space="preserve">  Though maximum loan-</w:t>
      </w:r>
      <w:r>
        <w:lastRenderedPageBreak/>
        <w:t xml:space="preserve">to-value ratios may not suitably gauge credit generosity, as such values are limited to a country’s least risky homebuyers, similar dynamics emerge when examining typical/average loan-to-value ratios.  In 2002, the Dutch typical loan-to-value ratio was 90%, growing to 115% by 2008, well above Ireland’s 66% ratio (Schwartz and Seabrooke, 2008; Vandevyvere and Zenthӧfer, 2012).  </w:t>
      </w:r>
    </w:p>
    <w:p w14:paraId="1EDF2B4D" w14:textId="77777777" w:rsidR="0023707F" w:rsidRDefault="0023707F" w:rsidP="0023707F">
      <w:pPr>
        <w:spacing w:line="276" w:lineRule="auto"/>
        <w:jc w:val="both"/>
      </w:pPr>
    </w:p>
    <w:p w14:paraId="728CDBFF" w14:textId="77777777" w:rsidR="0023707F" w:rsidRPr="00B33DBE" w:rsidRDefault="0023707F" w:rsidP="0023707F">
      <w:pPr>
        <w:spacing w:line="276" w:lineRule="auto"/>
        <w:jc w:val="both"/>
      </w:pPr>
      <w:r>
        <w:t xml:space="preserve">The Netherlands also has the most generous tax relief on mortgage interest in the OECD.  In 2009, the gap between the market interest rate on (prime) home loans and the after-tax debt financing costs of homeownership was just over 1.6%, compared to 0.3% in Ireland (OECD, 2011).  Rent control is also stricter in the Netherlands than in Ireland, due </w:t>
      </w:r>
      <w:r w:rsidRPr="00A15ED5">
        <w:t xml:space="preserve">to the presence of a large rental sector that is dominated by social housing (OECD, 2011).  </w:t>
      </w:r>
      <w:r w:rsidR="004738D8">
        <w:t xml:space="preserve">These restrictions should </w:t>
      </w:r>
      <w:proofErr w:type="spellStart"/>
      <w:r w:rsidR="004738D8">
        <w:t>favo</w:t>
      </w:r>
      <w:r>
        <w:t>r</w:t>
      </w:r>
      <w:proofErr w:type="spellEnd"/>
      <w:r>
        <w:t xml:space="preserve"> substitution away from rental properties towards home-ownership.  Additionally, housing stock growth in the Netherlands was modest and kept pace with population growth </w:t>
      </w:r>
      <w:r w:rsidRPr="00007AAF">
        <w:t>(</w:t>
      </w:r>
      <w:r w:rsidRPr="00576FA5">
        <w:rPr>
          <w:rFonts w:cs="CMR12"/>
          <w:lang w:val="en-US"/>
        </w:rPr>
        <w:t xml:space="preserve">Cunha, </w:t>
      </w:r>
      <w:proofErr w:type="spellStart"/>
      <w:r w:rsidRPr="00576FA5">
        <w:rPr>
          <w:rFonts w:cs="CMR12"/>
          <w:lang w:val="en-US"/>
        </w:rPr>
        <w:t>Lambrecht</w:t>
      </w:r>
      <w:proofErr w:type="spellEnd"/>
      <w:r w:rsidRPr="00576FA5">
        <w:rPr>
          <w:rFonts w:cs="CMR12"/>
          <w:lang w:val="en-US"/>
        </w:rPr>
        <w:t xml:space="preserve">, and </w:t>
      </w:r>
      <w:proofErr w:type="spellStart"/>
      <w:r w:rsidRPr="00576FA5">
        <w:rPr>
          <w:rFonts w:cs="CMR12"/>
          <w:lang w:val="en-US"/>
        </w:rPr>
        <w:t>Pawlina</w:t>
      </w:r>
      <w:proofErr w:type="spellEnd"/>
      <w:r w:rsidRPr="00576FA5">
        <w:rPr>
          <w:rFonts w:cs="CMR12"/>
          <w:lang w:val="en-US"/>
        </w:rPr>
        <w:t>, 2009).</w:t>
      </w:r>
      <w:r>
        <w:rPr>
          <w:rFonts w:cs="CMR12"/>
          <w:lang w:val="en-US"/>
        </w:rPr>
        <w:t xml:space="preserve">  </w:t>
      </w:r>
      <w:r>
        <w:t>All of these supply-side factors suggest that leading into the 2008 global financial crisis, the Dutch housing market should have been more bubble prone than Ireland’s. Yet after the early 2000s, Dutch housing prices flat-lined, while Irish housing prices continued to grow.</w:t>
      </w:r>
    </w:p>
    <w:p w14:paraId="20E0BA3A" w14:textId="77777777" w:rsidR="0023707F" w:rsidRDefault="0023707F" w:rsidP="0023707F">
      <w:pPr>
        <w:spacing w:line="276" w:lineRule="auto"/>
        <w:jc w:val="both"/>
        <w:rPr>
          <w:rFonts w:cs="CMR12"/>
          <w:lang w:val="en-US"/>
        </w:rPr>
      </w:pPr>
    </w:p>
    <w:p w14:paraId="68550ED2" w14:textId="77777777" w:rsidR="0023707F" w:rsidRDefault="0023707F" w:rsidP="0023707F">
      <w:pPr>
        <w:spacing w:line="276" w:lineRule="auto"/>
        <w:jc w:val="both"/>
        <w:rPr>
          <w:rFonts w:cs="CMR12"/>
          <w:lang w:val="en-US"/>
        </w:rPr>
      </w:pPr>
      <w:r w:rsidRPr="00576FA5">
        <w:rPr>
          <w:rFonts w:cs="CMR12"/>
          <w:lang w:val="en-US"/>
        </w:rPr>
        <w:t xml:space="preserve">One crucial difference between Ireland and the Netherlands that may </w:t>
      </w:r>
      <w:r>
        <w:rPr>
          <w:rFonts w:cs="CMR12"/>
          <w:lang w:val="en-US"/>
        </w:rPr>
        <w:t>explain their diverging</w:t>
      </w:r>
      <w:r w:rsidRPr="00576FA5">
        <w:rPr>
          <w:rFonts w:cs="CMR12"/>
          <w:lang w:val="en-US"/>
        </w:rPr>
        <w:t xml:space="preserve"> housing price dynamics </w:t>
      </w:r>
      <w:r>
        <w:rPr>
          <w:rFonts w:cs="CMR12"/>
          <w:lang w:val="en-US"/>
        </w:rPr>
        <w:t>(and mortgage-</w:t>
      </w:r>
      <w:r w:rsidR="00450457">
        <w:rPr>
          <w:rFonts w:cs="CMR12"/>
          <w:lang w:val="en-US"/>
        </w:rPr>
        <w:t>demand</w:t>
      </w:r>
      <w:r>
        <w:rPr>
          <w:rFonts w:cs="CMR12"/>
          <w:lang w:val="en-US"/>
        </w:rPr>
        <w:t xml:space="preserve"> expansion) </w:t>
      </w:r>
      <w:r w:rsidRPr="00576FA5">
        <w:rPr>
          <w:rFonts w:cs="CMR12"/>
          <w:lang w:val="en-US"/>
        </w:rPr>
        <w:t xml:space="preserve">in the </w:t>
      </w:r>
      <w:r>
        <w:rPr>
          <w:rFonts w:cs="CMR12"/>
          <w:lang w:val="en-US"/>
        </w:rPr>
        <w:t>mid-</w:t>
      </w:r>
      <w:r w:rsidRPr="00576FA5">
        <w:rPr>
          <w:rFonts w:cs="CMR12"/>
          <w:lang w:val="en-US"/>
        </w:rPr>
        <w:t xml:space="preserve">2000s was how </w:t>
      </w:r>
      <w:r>
        <w:rPr>
          <w:rFonts w:cs="CMR12"/>
          <w:i/>
          <w:lang w:val="en-US"/>
        </w:rPr>
        <w:t>wage-setting</w:t>
      </w:r>
      <w:r w:rsidRPr="00F249C5">
        <w:rPr>
          <w:rFonts w:cs="CMR12"/>
          <w:i/>
          <w:lang w:val="en-US"/>
        </w:rPr>
        <w:t xml:space="preserve"> institutions</w:t>
      </w:r>
      <w:r w:rsidRPr="00576FA5">
        <w:rPr>
          <w:rFonts w:cs="CMR12"/>
          <w:lang w:val="en-US"/>
        </w:rPr>
        <w:t xml:space="preserve"> influenced </w:t>
      </w:r>
      <w:r>
        <w:rPr>
          <w:rFonts w:cs="CMR12"/>
          <w:lang w:val="en-US"/>
        </w:rPr>
        <w:t>income</w:t>
      </w:r>
      <w:r w:rsidRPr="00576FA5">
        <w:rPr>
          <w:rFonts w:cs="CMR12"/>
          <w:lang w:val="en-US"/>
        </w:rPr>
        <w:t xml:space="preserve"> dynamics in both countries.  Both Ireland and the Netherlands entered EMU with </w:t>
      </w:r>
      <w:r>
        <w:rPr>
          <w:rFonts w:cs="CMR12"/>
          <w:lang w:val="en-US"/>
        </w:rPr>
        <w:t>labor market shortages</w:t>
      </w:r>
      <w:r w:rsidR="00732D66">
        <w:rPr>
          <w:rFonts w:cs="CMR12"/>
          <w:lang w:val="en-US"/>
        </w:rPr>
        <w:t>, and these</w:t>
      </w:r>
      <w:r w:rsidRPr="00576FA5">
        <w:rPr>
          <w:rFonts w:cs="CMR12"/>
          <w:lang w:val="en-US"/>
        </w:rPr>
        <w:t xml:space="preserve"> shortages placed upwards pressures on wages.   By 2001, both countries arrived at a price spiral juncture; Ireland possessed the highest inflation rate in EMU, and the Netherlands possessed the third highest (OECD, 2014).  What differed between these two countries, </w:t>
      </w:r>
      <w:r>
        <w:rPr>
          <w:rFonts w:cs="CMR12"/>
          <w:lang w:val="en-US"/>
        </w:rPr>
        <w:t>which</w:t>
      </w:r>
      <w:r w:rsidRPr="00576FA5">
        <w:rPr>
          <w:rFonts w:cs="CMR12"/>
          <w:lang w:val="en-US"/>
        </w:rPr>
        <w:t xml:space="preserve"> had significant implications for income growth</w:t>
      </w:r>
      <w:r>
        <w:rPr>
          <w:rFonts w:cs="CMR12"/>
          <w:lang w:val="en-US"/>
        </w:rPr>
        <w:t xml:space="preserve"> from 2002 onwards</w:t>
      </w:r>
      <w:r w:rsidRPr="00576FA5">
        <w:rPr>
          <w:rFonts w:cs="CMR12"/>
          <w:lang w:val="en-US"/>
        </w:rPr>
        <w:t xml:space="preserve">, and in turn demand for housing prices, was </w:t>
      </w:r>
      <w:r>
        <w:rPr>
          <w:rFonts w:cs="CMR12"/>
          <w:lang w:val="en-US"/>
        </w:rPr>
        <w:t>the domestic political</w:t>
      </w:r>
      <w:r w:rsidRPr="00576FA5">
        <w:rPr>
          <w:rFonts w:cs="CMR12"/>
          <w:lang w:val="en-US"/>
        </w:rPr>
        <w:t xml:space="preserve"> </w:t>
      </w:r>
      <w:r w:rsidRPr="005B6DE6">
        <w:rPr>
          <w:rFonts w:cs="CMR12"/>
          <w:i/>
          <w:lang w:val="en-US"/>
        </w:rPr>
        <w:t>response</w:t>
      </w:r>
      <w:r w:rsidRPr="00576FA5">
        <w:rPr>
          <w:rFonts w:cs="CMR12"/>
          <w:lang w:val="en-US"/>
        </w:rPr>
        <w:t xml:space="preserve"> to these inflation dynamics. </w:t>
      </w:r>
    </w:p>
    <w:p w14:paraId="222680A2" w14:textId="77777777" w:rsidR="0023707F" w:rsidRDefault="0023707F" w:rsidP="0023707F">
      <w:pPr>
        <w:spacing w:line="276" w:lineRule="auto"/>
        <w:jc w:val="both"/>
        <w:rPr>
          <w:rFonts w:cs="CMR12"/>
          <w:lang w:val="en-US"/>
        </w:rPr>
      </w:pPr>
    </w:p>
    <w:p w14:paraId="3A21815F" w14:textId="77777777" w:rsidR="0023707F" w:rsidRDefault="0023707F" w:rsidP="0023707F">
      <w:pPr>
        <w:spacing w:line="276" w:lineRule="auto"/>
        <w:jc w:val="both"/>
        <w:rPr>
          <w:rFonts w:cs="CMR12"/>
          <w:lang w:val="en-US"/>
        </w:rPr>
      </w:pPr>
      <w:r w:rsidRPr="00576FA5">
        <w:rPr>
          <w:rFonts w:cs="CMR12"/>
          <w:lang w:val="en-US"/>
        </w:rPr>
        <w:t xml:space="preserve">In the Netherlands, the 2001 inflation rate of 4.2%, precipitated an acute sense of crisis; the country prided itself on </w:t>
      </w:r>
      <w:r>
        <w:rPr>
          <w:rFonts w:cs="CMR12"/>
          <w:lang w:val="en-US"/>
        </w:rPr>
        <w:t>its</w:t>
      </w:r>
      <w:r w:rsidRPr="00576FA5">
        <w:rPr>
          <w:rFonts w:cs="CMR12"/>
          <w:lang w:val="en-US"/>
        </w:rPr>
        <w:t xml:space="preserve"> low inflation rates and it had not witnessed inflation higher than 4% since 1982 (OECD, 2014).  Prompted by government action, </w:t>
      </w:r>
      <w:r>
        <w:rPr>
          <w:rFonts w:cs="CMR12"/>
          <w:lang w:val="en-US"/>
        </w:rPr>
        <w:t xml:space="preserve">trade unions and employers </w:t>
      </w:r>
      <w:r w:rsidRPr="00576FA5">
        <w:rPr>
          <w:rFonts w:cs="CMR12"/>
          <w:lang w:val="en-US"/>
        </w:rPr>
        <w:t xml:space="preserve">immediately agreed to a wage ceiling in late 2002, and </w:t>
      </w:r>
      <w:r>
        <w:rPr>
          <w:rFonts w:cs="CMR12"/>
          <w:lang w:val="en-US"/>
        </w:rPr>
        <w:t>wage freezes</w:t>
      </w:r>
      <w:r w:rsidRPr="00576FA5">
        <w:rPr>
          <w:rFonts w:cs="CMR12"/>
          <w:lang w:val="en-US"/>
        </w:rPr>
        <w:t xml:space="preserve"> </w:t>
      </w:r>
      <w:r>
        <w:rPr>
          <w:rFonts w:cs="CMR12"/>
          <w:lang w:val="en-US"/>
        </w:rPr>
        <w:t>for</w:t>
      </w:r>
      <w:r w:rsidRPr="00576FA5">
        <w:rPr>
          <w:rFonts w:cs="CMR12"/>
          <w:lang w:val="en-US"/>
        </w:rPr>
        <w:t xml:space="preserve"> 2004 and 2005 (Grünell, 2002; Van het Kaar, 2003).  These wage pacts slowed income growth in the country considerably, and </w:t>
      </w:r>
      <w:r w:rsidRPr="00E52617">
        <w:rPr>
          <w:rFonts w:cs="CMR12"/>
          <w:i/>
          <w:lang w:val="en-US"/>
        </w:rPr>
        <w:t>nominal</w:t>
      </w:r>
      <w:r w:rsidRPr="00576FA5">
        <w:rPr>
          <w:rFonts w:cs="CMR12"/>
          <w:lang w:val="en-US"/>
        </w:rPr>
        <w:t xml:space="preserve"> hourly wage growth</w:t>
      </w:r>
      <w:r>
        <w:rPr>
          <w:rFonts w:cs="CMR12"/>
          <w:lang w:val="en-US"/>
        </w:rPr>
        <w:t xml:space="preserve"> in the non-market sheltered sectors (public administration and defense, healthcare and social work, and education)</w:t>
      </w:r>
      <w:r w:rsidRPr="00576FA5">
        <w:rPr>
          <w:rFonts w:cs="CMR12"/>
          <w:lang w:val="en-US"/>
        </w:rPr>
        <w:t xml:space="preserve"> declined from 5.3% in 2001 to 1.7%</w:t>
      </w:r>
      <w:r>
        <w:rPr>
          <w:rFonts w:cs="CMR12"/>
          <w:lang w:val="en-US"/>
        </w:rPr>
        <w:t xml:space="preserve"> by 2005, see Figure 6</w:t>
      </w:r>
      <w:r w:rsidRPr="00576FA5">
        <w:rPr>
          <w:rFonts w:cs="CMR12"/>
          <w:lang w:val="en-US"/>
        </w:rPr>
        <w:t xml:space="preserve">).  Such wage dynamics have conspicuous correlations with the lull in </w:t>
      </w:r>
      <w:r>
        <w:rPr>
          <w:rFonts w:cs="CMR12"/>
          <w:lang w:val="en-US"/>
        </w:rPr>
        <w:t xml:space="preserve">Dutch </w:t>
      </w:r>
      <w:r w:rsidRPr="00576FA5">
        <w:rPr>
          <w:rFonts w:cs="CMR12"/>
          <w:lang w:val="en-US"/>
        </w:rPr>
        <w:t xml:space="preserve">housing price </w:t>
      </w:r>
      <w:r>
        <w:rPr>
          <w:rFonts w:cs="CMR12"/>
          <w:lang w:val="en-US"/>
        </w:rPr>
        <w:t>growth</w:t>
      </w:r>
      <w:r w:rsidRPr="00576FA5">
        <w:rPr>
          <w:rFonts w:cs="CMR12"/>
          <w:lang w:val="en-US"/>
        </w:rPr>
        <w:t>.</w:t>
      </w:r>
      <w:r>
        <w:rPr>
          <w:rFonts w:cs="CMR12"/>
          <w:lang w:val="en-US"/>
        </w:rPr>
        <w:t xml:space="preserve"> </w:t>
      </w:r>
    </w:p>
    <w:p w14:paraId="326CEE08" w14:textId="77777777" w:rsidR="0023707F" w:rsidRDefault="0023707F" w:rsidP="0023707F">
      <w:pPr>
        <w:spacing w:line="276" w:lineRule="auto"/>
        <w:jc w:val="both"/>
        <w:rPr>
          <w:rFonts w:cs="CMR12"/>
          <w:lang w:val="en-US"/>
        </w:rPr>
      </w:pPr>
    </w:p>
    <w:p w14:paraId="17F47E8D" w14:textId="77777777" w:rsidR="00FC2F92" w:rsidRPr="00E63C22" w:rsidRDefault="00FC2F92" w:rsidP="00FC2F92">
      <w:pPr>
        <w:spacing w:line="276" w:lineRule="auto"/>
        <w:jc w:val="center"/>
        <w:rPr>
          <w:rFonts w:cs="CMR12"/>
          <w:b/>
          <w:sz w:val="22"/>
          <w:szCs w:val="22"/>
          <w:lang w:val="en-US"/>
        </w:rPr>
      </w:pPr>
      <w:r w:rsidRPr="00E63C22">
        <w:rPr>
          <w:rFonts w:cs="CMR12"/>
          <w:b/>
          <w:sz w:val="22"/>
          <w:szCs w:val="22"/>
          <w:lang w:val="en-US"/>
        </w:rPr>
        <w:t xml:space="preserve">Figure 6: Hourly </w:t>
      </w:r>
      <w:r>
        <w:rPr>
          <w:rFonts w:cs="CMR12"/>
          <w:b/>
          <w:sz w:val="22"/>
          <w:szCs w:val="22"/>
          <w:lang w:val="en-US"/>
        </w:rPr>
        <w:t xml:space="preserve">Nominal </w:t>
      </w:r>
      <w:r w:rsidRPr="00E63C22">
        <w:rPr>
          <w:rFonts w:cs="CMR12"/>
          <w:b/>
          <w:sz w:val="22"/>
          <w:szCs w:val="22"/>
          <w:lang w:val="en-US"/>
        </w:rPr>
        <w:t>Wage Growth in the Manufacturing and the (Sheltered) Non-Market Services Sectors</w:t>
      </w:r>
      <w:r>
        <w:rPr>
          <w:rFonts w:cs="CMR12"/>
          <w:b/>
          <w:sz w:val="22"/>
          <w:szCs w:val="22"/>
          <w:lang w:val="en-US"/>
        </w:rPr>
        <w:t xml:space="preserve"> (199</w:t>
      </w:r>
      <w:r w:rsidRPr="00E63C22">
        <w:rPr>
          <w:rFonts w:cs="CMR12"/>
          <w:b/>
          <w:sz w:val="22"/>
          <w:szCs w:val="22"/>
          <w:lang w:val="en-US"/>
        </w:rPr>
        <w:t>0-2007)</w:t>
      </w:r>
    </w:p>
    <w:p w14:paraId="19A7B24E" w14:textId="77777777" w:rsidR="00FC2F92" w:rsidRDefault="00FC2F92" w:rsidP="00FC2F92">
      <w:pPr>
        <w:spacing w:line="276" w:lineRule="auto"/>
        <w:jc w:val="center"/>
        <w:rPr>
          <w:rFonts w:cs="CMR12"/>
          <w:lang w:val="en-US"/>
        </w:rPr>
      </w:pPr>
      <w:r>
        <w:rPr>
          <w:rFonts w:cs="CMR12"/>
          <w:noProof/>
          <w:lang w:val="en-US"/>
        </w:rPr>
        <w:drawing>
          <wp:inline distT="0" distB="0" distL="0" distR="0" wp14:anchorId="5C426B01" wp14:editId="7B0FE1E5">
            <wp:extent cx="4300151" cy="314959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00114" cy="3149564"/>
                    </a:xfrm>
                    <a:prstGeom prst="rect">
                      <a:avLst/>
                    </a:prstGeom>
                    <a:noFill/>
                    <a:ln>
                      <a:noFill/>
                    </a:ln>
                  </pic:spPr>
                </pic:pic>
              </a:graphicData>
            </a:graphic>
          </wp:inline>
        </w:drawing>
      </w:r>
    </w:p>
    <w:p w14:paraId="51700DF6" w14:textId="77777777" w:rsidR="00FC2F92" w:rsidRDefault="00FC2F92" w:rsidP="00FC2F92">
      <w:pPr>
        <w:spacing w:line="276" w:lineRule="auto"/>
        <w:rPr>
          <w:sz w:val="18"/>
          <w:szCs w:val="18"/>
        </w:rPr>
      </w:pPr>
      <w:r w:rsidRPr="008A7210">
        <w:rPr>
          <w:sz w:val="18"/>
          <w:szCs w:val="18"/>
        </w:rPr>
        <w:t>Wage data from EU KLEMS (2010).  Manufacturing sector is International Standard Industrial Classification (ISIC) D.  Non-Market sector is a weighted composite of public administration and defence (ISIC L), education (ISIC M), and health and social work (ISIC N).</w:t>
      </w:r>
    </w:p>
    <w:p w14:paraId="52D475FA" w14:textId="77777777" w:rsidR="00FC2F92" w:rsidRPr="008A7210" w:rsidRDefault="00FC2F92" w:rsidP="00FC2F92">
      <w:pPr>
        <w:spacing w:line="276" w:lineRule="auto"/>
        <w:rPr>
          <w:sz w:val="18"/>
          <w:szCs w:val="18"/>
        </w:rPr>
      </w:pPr>
    </w:p>
    <w:p w14:paraId="3BBEC8F8" w14:textId="77777777" w:rsidR="0023707F" w:rsidRDefault="0023707F" w:rsidP="0023707F">
      <w:pPr>
        <w:spacing w:line="276" w:lineRule="auto"/>
        <w:jc w:val="both"/>
        <w:rPr>
          <w:rFonts w:cs="CMR12"/>
          <w:lang w:val="en-US"/>
        </w:rPr>
      </w:pPr>
      <w:r>
        <w:rPr>
          <w:rFonts w:cs="CMR12"/>
          <w:lang w:val="en-US"/>
        </w:rPr>
        <w:t>In Ireland the opposite occurred. In the early 2000’s the government and public sector unions established “</w:t>
      </w:r>
      <w:r>
        <w:rPr>
          <w:rFonts w:cs="CMR12"/>
          <w:i/>
          <w:lang w:val="en-US"/>
        </w:rPr>
        <w:t>T</w:t>
      </w:r>
      <w:r w:rsidRPr="007D6621">
        <w:rPr>
          <w:rFonts w:cs="CMR12"/>
          <w:i/>
          <w:lang w:val="en-US"/>
        </w:rPr>
        <w:t>he P</w:t>
      </w:r>
      <w:r>
        <w:rPr>
          <w:rFonts w:cs="CMR12"/>
          <w:i/>
          <w:lang w:val="en-US"/>
        </w:rPr>
        <w:t>ublic Service Benchmarking Body”</w:t>
      </w:r>
      <w:r>
        <w:rPr>
          <w:rFonts w:cs="CMR12"/>
          <w:lang w:val="en-US"/>
        </w:rPr>
        <w:t xml:space="preserve"> to analyze the public-private pay differential. The government granted a wage increase, from 2003-2005, a once off payment that averaged 8.9% across the public sector. This was </w:t>
      </w:r>
      <w:r w:rsidRPr="006406BA">
        <w:rPr>
          <w:rFonts w:cs="CMR12"/>
          <w:i/>
          <w:lang w:val="en-US"/>
        </w:rPr>
        <w:t>in addition</w:t>
      </w:r>
      <w:r>
        <w:rPr>
          <w:rFonts w:cs="CMR12"/>
          <w:lang w:val="en-US"/>
        </w:rPr>
        <w:t xml:space="preserve"> to the national wage agreement, which granted a 12% increase during the period 2003-2005. A special review body was also established which granted further increases to senior public-sector employees. All of this was in addition to cuts in income tax, which further increased the after-tax wage. Quite unlike what occurred in the Netherlands, nominal wage growth in the sheltered domestic sectors </w:t>
      </w:r>
      <w:r w:rsidRPr="00985ECC">
        <w:rPr>
          <w:rFonts w:cs="CMR12"/>
          <w:i/>
          <w:lang w:val="en-US"/>
        </w:rPr>
        <w:t xml:space="preserve">increased </w:t>
      </w:r>
      <w:r>
        <w:rPr>
          <w:rFonts w:cs="CMR12"/>
          <w:lang w:val="en-US"/>
        </w:rPr>
        <w:t xml:space="preserve">from 7.4% in 2001 to 11.4% in 2003, reaching 9.5% in 2005. Such wage dynamics have a conspicuous correlation with the rapid </w:t>
      </w:r>
      <w:r w:rsidRPr="00162087">
        <w:rPr>
          <w:rFonts w:cs="CMR12"/>
          <w:i/>
          <w:lang w:val="en-US"/>
        </w:rPr>
        <w:t>expansion</w:t>
      </w:r>
      <w:r>
        <w:rPr>
          <w:rFonts w:cs="CMR12"/>
          <w:lang w:val="en-US"/>
        </w:rPr>
        <w:t xml:space="preserve"> of credit that funded Irelands housing bubble from 2005 onwards. Both countries experienced credit expansion and rising inflation. The Dutch responded by imposing a wage freeze. Ireland responded by expanding income growth. </w:t>
      </w:r>
    </w:p>
    <w:p w14:paraId="2130A112" w14:textId="77777777" w:rsidR="0023707F" w:rsidRDefault="0023707F" w:rsidP="0023707F">
      <w:pPr>
        <w:spacing w:line="276" w:lineRule="auto"/>
        <w:jc w:val="both"/>
        <w:rPr>
          <w:rFonts w:cs="CMR12"/>
          <w:b/>
          <w:i/>
          <w:u w:val="single"/>
          <w:lang w:val="en-US"/>
        </w:rPr>
      </w:pPr>
    </w:p>
    <w:p w14:paraId="619FF43F" w14:textId="77777777" w:rsidR="0023707F" w:rsidRPr="00BB73F0" w:rsidRDefault="0023707F" w:rsidP="0023707F">
      <w:pPr>
        <w:spacing w:line="276" w:lineRule="auto"/>
        <w:jc w:val="both"/>
        <w:rPr>
          <w:rFonts w:cs="CMR12"/>
          <w:i/>
          <w:lang w:val="en-US"/>
        </w:rPr>
      </w:pPr>
      <w:r w:rsidRPr="00BB73F0">
        <w:rPr>
          <w:rFonts w:cs="CMR12"/>
          <w:i/>
          <w:lang w:val="en-US"/>
        </w:rPr>
        <w:t>Avoiding a bubble: Dutch corporatism’s success in income moderation</w:t>
      </w:r>
    </w:p>
    <w:p w14:paraId="506A0461" w14:textId="77777777" w:rsidR="0023707F" w:rsidRDefault="0023707F" w:rsidP="0023707F">
      <w:pPr>
        <w:spacing w:line="276" w:lineRule="auto"/>
        <w:jc w:val="both"/>
        <w:rPr>
          <w:rFonts w:cs="CMR12"/>
          <w:i/>
          <w:u w:val="single"/>
          <w:lang w:val="en-US"/>
        </w:rPr>
      </w:pPr>
    </w:p>
    <w:p w14:paraId="0E36E1DF" w14:textId="6753A536" w:rsidR="0023707F" w:rsidRDefault="0023707F" w:rsidP="0023707F">
      <w:pPr>
        <w:spacing w:line="276" w:lineRule="auto"/>
        <w:jc w:val="both"/>
        <w:rPr>
          <w:rFonts w:cs="CMR12"/>
          <w:lang w:val="en-US"/>
        </w:rPr>
      </w:pPr>
      <w:r w:rsidRPr="00576FA5">
        <w:rPr>
          <w:rFonts w:cs="CMR12"/>
          <w:lang w:val="en-US"/>
        </w:rPr>
        <w:t>The Netherlands entered the 2000s with one of its largest spikes in nominal and real housing prices.  Though inflation was</w:t>
      </w:r>
      <w:r>
        <w:rPr>
          <w:rFonts w:cs="CMR12"/>
          <w:lang w:val="en-US"/>
        </w:rPr>
        <w:t xml:space="preserve"> </w:t>
      </w:r>
      <w:r w:rsidRPr="00576FA5">
        <w:rPr>
          <w:rFonts w:cs="CMR12"/>
          <w:lang w:val="en-US"/>
        </w:rPr>
        <w:t>low, Dutch unions</w:t>
      </w:r>
      <w:r>
        <w:rPr>
          <w:rFonts w:cs="CMR12"/>
          <w:lang w:val="en-US"/>
        </w:rPr>
        <w:t xml:space="preserve"> embarked on a wage</w:t>
      </w:r>
      <w:r w:rsidRPr="00576FA5">
        <w:rPr>
          <w:rFonts w:cs="CMR12"/>
          <w:lang w:val="en-US"/>
        </w:rPr>
        <w:t xml:space="preserve"> push that led to the doubling of inflation within a year.  This wage push was initiated </w:t>
      </w:r>
      <w:r>
        <w:rPr>
          <w:rFonts w:cs="CMR12"/>
          <w:lang w:val="en-US"/>
        </w:rPr>
        <w:t>by</w:t>
      </w:r>
      <w:r w:rsidRPr="00576FA5">
        <w:rPr>
          <w:rFonts w:cs="CMR12"/>
          <w:lang w:val="en-US"/>
        </w:rPr>
        <w:t xml:space="preserve"> the </w:t>
      </w:r>
      <w:r w:rsidRPr="00B93E91">
        <w:rPr>
          <w:rFonts w:cs="CMR12"/>
          <w:lang w:val="en-US"/>
        </w:rPr>
        <w:t>public sector union</w:t>
      </w:r>
      <w:r w:rsidRPr="00576FA5">
        <w:rPr>
          <w:rFonts w:cs="CMR12"/>
          <w:lang w:val="en-US"/>
        </w:rPr>
        <w:t xml:space="preserve"> Abva-Kabo, which represented almost 30% of </w:t>
      </w:r>
      <w:r>
        <w:rPr>
          <w:rFonts w:cs="CMR12"/>
          <w:lang w:val="en-US"/>
        </w:rPr>
        <w:t>the Federation Dutch Labor Movement’s (</w:t>
      </w:r>
      <w:r w:rsidRPr="00576FA5">
        <w:rPr>
          <w:rFonts w:cs="CMR12"/>
          <w:lang w:val="en-US"/>
        </w:rPr>
        <w:t>FNV’s</w:t>
      </w:r>
      <w:r>
        <w:rPr>
          <w:rFonts w:cs="CMR12"/>
          <w:lang w:val="en-US"/>
        </w:rPr>
        <w:t>)</w:t>
      </w:r>
      <w:r w:rsidRPr="00576FA5">
        <w:rPr>
          <w:rFonts w:cs="CMR12"/>
          <w:lang w:val="en-US"/>
        </w:rPr>
        <w:t xml:space="preserve"> </w:t>
      </w:r>
      <w:r>
        <w:rPr>
          <w:rFonts w:cs="CMR12"/>
          <w:lang w:val="en-US"/>
        </w:rPr>
        <w:t xml:space="preserve">membership </w:t>
      </w:r>
      <w:r w:rsidRPr="00576FA5">
        <w:rPr>
          <w:rFonts w:cs="CMR12"/>
          <w:lang w:val="en-US"/>
        </w:rPr>
        <w:t>(</w:t>
      </w:r>
      <w:r>
        <w:rPr>
          <w:rFonts w:cs="CMR12"/>
          <w:lang w:val="en-US"/>
        </w:rPr>
        <w:t>Visser, 2000)</w:t>
      </w:r>
      <w:r w:rsidRPr="00576FA5">
        <w:rPr>
          <w:rFonts w:cs="CMR12"/>
          <w:lang w:val="en-US"/>
        </w:rPr>
        <w:t xml:space="preserve">.  </w:t>
      </w:r>
      <w:r w:rsidR="0019329E">
        <w:rPr>
          <w:rFonts w:cs="CMR12"/>
          <w:lang w:val="en-US"/>
        </w:rPr>
        <w:t>I</w:t>
      </w:r>
      <w:r w:rsidRPr="00576FA5">
        <w:rPr>
          <w:rFonts w:cs="CMR12"/>
          <w:lang w:val="en-US"/>
        </w:rPr>
        <w:t>n</w:t>
      </w:r>
      <w:r>
        <w:rPr>
          <w:rFonts w:cs="CMR12"/>
          <w:lang w:val="en-US"/>
        </w:rPr>
        <w:t xml:space="preserve"> the </w:t>
      </w:r>
      <w:r w:rsidR="0019329E">
        <w:rPr>
          <w:rFonts w:cs="CMR12"/>
          <w:lang w:val="en-US"/>
        </w:rPr>
        <w:t>19</w:t>
      </w:r>
      <w:r>
        <w:rPr>
          <w:rFonts w:cs="CMR12"/>
          <w:lang w:val="en-US"/>
        </w:rPr>
        <w:t xml:space="preserve">80s and </w:t>
      </w:r>
      <w:r w:rsidR="0019329E">
        <w:rPr>
          <w:rFonts w:cs="CMR12"/>
          <w:lang w:val="en-US"/>
        </w:rPr>
        <w:t>early 19</w:t>
      </w:r>
      <w:r>
        <w:rPr>
          <w:rFonts w:cs="CMR12"/>
          <w:lang w:val="en-US"/>
        </w:rPr>
        <w:t>90s</w:t>
      </w:r>
      <w:r w:rsidRPr="00576FA5">
        <w:rPr>
          <w:rFonts w:cs="CMR12"/>
          <w:lang w:val="en-US"/>
        </w:rPr>
        <w:t xml:space="preserve">, the </w:t>
      </w:r>
      <w:r w:rsidRPr="00576FA5">
        <w:rPr>
          <w:rFonts w:cs="CMR12"/>
          <w:lang w:val="en-US"/>
        </w:rPr>
        <w:lastRenderedPageBreak/>
        <w:t xml:space="preserve">Dutch government imposed </w:t>
      </w:r>
      <w:r>
        <w:rPr>
          <w:rFonts w:cs="CMR12"/>
          <w:lang w:val="en-US"/>
        </w:rPr>
        <w:t>severe</w:t>
      </w:r>
      <w:r w:rsidRPr="00576FA5">
        <w:rPr>
          <w:rFonts w:cs="CMR12"/>
          <w:lang w:val="en-US"/>
        </w:rPr>
        <w:t xml:space="preserve"> moderated wage growth in the public sector.  In 1998, Abva-Kabo declared that </w:t>
      </w:r>
      <w:r>
        <w:rPr>
          <w:rFonts w:cs="CMR12"/>
          <w:lang w:val="en-US"/>
        </w:rPr>
        <w:t>it would seek wage gains to compensate for these developments</w:t>
      </w:r>
      <w:r w:rsidRPr="00576FA5">
        <w:rPr>
          <w:rFonts w:cs="CMR12"/>
          <w:lang w:val="en-US"/>
        </w:rPr>
        <w:t xml:space="preserve">, </w:t>
      </w:r>
      <w:r>
        <w:rPr>
          <w:rFonts w:cs="CMR12"/>
          <w:lang w:val="en-US"/>
        </w:rPr>
        <w:t xml:space="preserve">and </w:t>
      </w:r>
      <w:r w:rsidRPr="00576FA5">
        <w:rPr>
          <w:rFonts w:cs="CMR12"/>
          <w:lang w:val="en-US"/>
        </w:rPr>
        <w:t>entered the 1998 bargaining round with a 5% target.  By 2001, Abva-Kabo successfully conclude</w:t>
      </w:r>
      <w:r>
        <w:rPr>
          <w:rFonts w:cs="CMR12"/>
          <w:lang w:val="en-US"/>
        </w:rPr>
        <w:t>d</w:t>
      </w:r>
      <w:r w:rsidRPr="00576FA5">
        <w:rPr>
          <w:rFonts w:cs="CMR12"/>
          <w:lang w:val="en-US"/>
        </w:rPr>
        <w:t xml:space="preserve"> agreements that were only 0.2% below this benchmark.  </w:t>
      </w:r>
      <w:r>
        <w:rPr>
          <w:rFonts w:cs="CMR12"/>
          <w:lang w:val="en-US"/>
        </w:rPr>
        <w:t>While FNV called for a</w:t>
      </w:r>
      <w:r w:rsidRPr="00576FA5">
        <w:rPr>
          <w:rFonts w:cs="CMR12"/>
          <w:lang w:val="en-US"/>
        </w:rPr>
        <w:t xml:space="preserve"> moderate 3.5% nominal wage growth target in 1998, Abva-Kabo encouraged its affiliates to push higher, especially in the healthcare and education sectors where labor shortages were acute.  </w:t>
      </w:r>
    </w:p>
    <w:p w14:paraId="6A83D950" w14:textId="77777777" w:rsidR="0023707F" w:rsidRDefault="0023707F" w:rsidP="0023707F">
      <w:pPr>
        <w:spacing w:line="276" w:lineRule="auto"/>
        <w:jc w:val="both"/>
        <w:rPr>
          <w:rFonts w:cs="CMR12"/>
          <w:lang w:val="en-US"/>
        </w:rPr>
      </w:pPr>
    </w:p>
    <w:p w14:paraId="5F34BFD5" w14:textId="77777777" w:rsidR="0023707F" w:rsidRPr="00576FA5" w:rsidRDefault="0023707F" w:rsidP="0023707F">
      <w:pPr>
        <w:spacing w:line="276" w:lineRule="auto"/>
        <w:jc w:val="both"/>
        <w:rPr>
          <w:rFonts w:cs="CMR12"/>
          <w:lang w:val="en-US"/>
        </w:rPr>
      </w:pPr>
      <w:r w:rsidRPr="00576FA5">
        <w:rPr>
          <w:rFonts w:cs="CMR12"/>
          <w:lang w:val="en-US"/>
        </w:rPr>
        <w:t xml:space="preserve">By mid-2001, wage increases were notably high in the </w:t>
      </w:r>
      <w:r>
        <w:rPr>
          <w:rFonts w:cs="CMR12"/>
          <w:lang w:val="en-US"/>
        </w:rPr>
        <w:t xml:space="preserve">social </w:t>
      </w:r>
      <w:r w:rsidRPr="00576FA5">
        <w:rPr>
          <w:rFonts w:cs="CMR12"/>
          <w:lang w:val="en-US"/>
        </w:rPr>
        <w:t xml:space="preserve">care and welfare sector, whose workers received annual wage increases of 7.5% and 5.25% respectively (EIRR, 2001).  Abva-Kabo’s wage push campaign did not confine itself to the public sector.  Given the union’s representative power </w:t>
      </w:r>
      <w:r>
        <w:rPr>
          <w:rFonts w:cs="CMR12"/>
          <w:lang w:val="en-US"/>
        </w:rPr>
        <w:t>with</w:t>
      </w:r>
      <w:r w:rsidRPr="00576FA5">
        <w:rPr>
          <w:rFonts w:cs="CMR12"/>
          <w:lang w:val="en-US"/>
        </w:rPr>
        <w:t xml:space="preserve">in </w:t>
      </w:r>
      <w:r>
        <w:rPr>
          <w:rFonts w:cs="CMR12"/>
          <w:lang w:val="en-US"/>
        </w:rPr>
        <w:t xml:space="preserve">the </w:t>
      </w:r>
      <w:r w:rsidRPr="00576FA5">
        <w:rPr>
          <w:rFonts w:cs="CMR12"/>
          <w:lang w:val="en-US"/>
        </w:rPr>
        <w:t xml:space="preserve">FNV, its leaders also successfully pressured the Confederal FNV leadership to increase their general wage targets and abandon their traditional wage formula of setting wage increases in line with inflation and productivity developments (Van der Meer et al, 2005).  Agreements concluded in 2001 provided for an average pay increase of 4.5% (higher than FNV’s 4% target), and in services the average increase was 5.3% (Van het Kaar, 2001).  </w:t>
      </w:r>
    </w:p>
    <w:p w14:paraId="05B02C31" w14:textId="77777777" w:rsidR="0023707F" w:rsidRDefault="0023707F" w:rsidP="0023707F">
      <w:pPr>
        <w:spacing w:line="276" w:lineRule="auto"/>
        <w:jc w:val="both"/>
        <w:rPr>
          <w:rFonts w:cs="CMR12"/>
          <w:lang w:val="en-US"/>
        </w:rPr>
      </w:pPr>
    </w:p>
    <w:p w14:paraId="529C1729" w14:textId="77777777" w:rsidR="0023707F" w:rsidRPr="00CD179D" w:rsidRDefault="0023707F" w:rsidP="0023707F">
      <w:pPr>
        <w:spacing w:line="276" w:lineRule="auto"/>
        <w:jc w:val="both"/>
        <w:rPr>
          <w:rFonts w:cs="CMR12"/>
          <w:lang w:val="en-US"/>
        </w:rPr>
      </w:pPr>
      <w:r w:rsidRPr="00576FA5">
        <w:rPr>
          <w:rFonts w:cs="CMR12"/>
          <w:lang w:val="en-US"/>
        </w:rPr>
        <w:t xml:space="preserve">By 2001, it was apparent to Dutch employers that </w:t>
      </w:r>
      <w:r>
        <w:rPr>
          <w:rFonts w:cs="CMR12"/>
          <w:lang w:val="en-US"/>
        </w:rPr>
        <w:t>wage inflation was</w:t>
      </w:r>
      <w:r w:rsidRPr="00576FA5">
        <w:rPr>
          <w:rFonts w:cs="CMR12"/>
          <w:lang w:val="en-US"/>
        </w:rPr>
        <w:t xml:space="preserve"> leading the country to competitive decline.  Abva</w:t>
      </w:r>
      <w:r>
        <w:rPr>
          <w:rFonts w:cs="CMR12"/>
          <w:lang w:val="en-US"/>
        </w:rPr>
        <w:t xml:space="preserve">-Kabo, and its counter-part in the Federation of Christian Trade Unions (CNV), </w:t>
      </w:r>
      <w:r w:rsidRPr="00576FA5">
        <w:rPr>
          <w:rFonts w:cs="CMR12"/>
          <w:lang w:val="en-US"/>
        </w:rPr>
        <w:t>successfully used their</w:t>
      </w:r>
      <w:r>
        <w:rPr>
          <w:rFonts w:cs="CMR12"/>
          <w:lang w:val="en-US"/>
        </w:rPr>
        <w:t xml:space="preserve"> representative strength</w:t>
      </w:r>
      <w:r w:rsidRPr="00576FA5">
        <w:rPr>
          <w:rFonts w:cs="CMR12"/>
          <w:lang w:val="en-US"/>
        </w:rPr>
        <w:t xml:space="preserve"> to dominate </w:t>
      </w:r>
      <w:r>
        <w:rPr>
          <w:rFonts w:cs="CMR12"/>
          <w:lang w:val="en-US"/>
        </w:rPr>
        <w:t xml:space="preserve">peak-level </w:t>
      </w:r>
      <w:r w:rsidRPr="00576FA5">
        <w:rPr>
          <w:rFonts w:cs="CMR12"/>
          <w:lang w:val="en-US"/>
        </w:rPr>
        <w:t xml:space="preserve">pay setting policies.  </w:t>
      </w:r>
      <w:r w:rsidRPr="00576FA5">
        <w:rPr>
          <w:bCs/>
        </w:rPr>
        <w:t>The critical turning point in Dutch collective bargaining</w:t>
      </w:r>
      <w:r>
        <w:rPr>
          <w:bCs/>
        </w:rPr>
        <w:t xml:space="preserve"> came after the 2002 election. The election</w:t>
      </w:r>
      <w:r w:rsidRPr="00576FA5">
        <w:rPr>
          <w:bCs/>
        </w:rPr>
        <w:t xml:space="preserve"> brought the return of a business-friendly </w:t>
      </w:r>
      <w:proofErr w:type="spellStart"/>
      <w:r w:rsidRPr="00576FA5">
        <w:rPr>
          <w:bCs/>
        </w:rPr>
        <w:t>center</w:t>
      </w:r>
      <w:proofErr w:type="spellEnd"/>
      <w:r w:rsidRPr="00576FA5">
        <w:rPr>
          <w:bCs/>
        </w:rPr>
        <w:t xml:space="preserve">-right coalition, led by </w:t>
      </w:r>
      <w:r w:rsidRPr="00576FA5">
        <w:rPr>
          <w:lang w:val="en"/>
        </w:rPr>
        <w:t>Jan-Peter Balkenende’s Christian Democrats</w:t>
      </w:r>
      <w:r>
        <w:rPr>
          <w:lang w:val="en"/>
        </w:rPr>
        <w:t>, into government</w:t>
      </w:r>
      <w:r w:rsidRPr="00576FA5">
        <w:rPr>
          <w:lang w:val="en"/>
        </w:rPr>
        <w:t>.</w:t>
      </w:r>
      <w:r>
        <w:rPr>
          <w:rStyle w:val="FootnoteReference"/>
          <w:lang w:val="en"/>
        </w:rPr>
        <w:footnoteReference w:id="20"/>
      </w:r>
      <w:r w:rsidRPr="00576FA5">
        <w:rPr>
          <w:lang w:val="en"/>
        </w:rPr>
        <w:t xml:space="preserve">  Balkenende’s reformist agenda became a crucial negotiating tool, and enabled government to persuade </w:t>
      </w:r>
      <w:r>
        <w:rPr>
          <w:lang w:val="en"/>
        </w:rPr>
        <w:t xml:space="preserve">the </w:t>
      </w:r>
      <w:r w:rsidRPr="00576FA5">
        <w:rPr>
          <w:lang w:val="en"/>
        </w:rPr>
        <w:t>FNV and CNV to agree to</w:t>
      </w:r>
      <w:r>
        <w:rPr>
          <w:lang w:val="en"/>
        </w:rPr>
        <w:t xml:space="preserve"> nation-wide</w:t>
      </w:r>
      <w:r w:rsidRPr="00576FA5">
        <w:rPr>
          <w:lang w:val="en"/>
        </w:rPr>
        <w:t xml:space="preserve"> </w:t>
      </w:r>
      <w:r>
        <w:rPr>
          <w:lang w:val="en"/>
        </w:rPr>
        <w:t xml:space="preserve">wage restraint. </w:t>
      </w:r>
      <w:r w:rsidRPr="00576FA5">
        <w:rPr>
          <w:lang w:val="en"/>
        </w:rPr>
        <w:t>In November, 2002, a centrally agreed wage ceiling of 2.5% was agreed upon by both FNV and CNV</w:t>
      </w:r>
      <w:r>
        <w:rPr>
          <w:lang w:val="en"/>
        </w:rPr>
        <w:t>.</w:t>
      </w:r>
      <w:r w:rsidRPr="00576FA5">
        <w:rPr>
          <w:lang w:val="en"/>
        </w:rPr>
        <w:t xml:space="preserve">  In 2003, Government again convinced the unions to produce a second national wage pact, in return for several concessions on its </w:t>
      </w:r>
      <w:r>
        <w:rPr>
          <w:lang w:val="en"/>
        </w:rPr>
        <w:t xml:space="preserve">social policy </w:t>
      </w:r>
      <w:r w:rsidRPr="00576FA5">
        <w:rPr>
          <w:lang w:val="en"/>
        </w:rPr>
        <w:t xml:space="preserve">reform proposals.  In October, 2003, </w:t>
      </w:r>
      <w:r>
        <w:rPr>
          <w:lang w:val="en"/>
        </w:rPr>
        <w:t xml:space="preserve">the </w:t>
      </w:r>
      <w:r w:rsidRPr="00576FA5">
        <w:rPr>
          <w:lang w:val="en"/>
        </w:rPr>
        <w:t xml:space="preserve">Dutch social partners agreed to a two year </w:t>
      </w:r>
      <w:r w:rsidRPr="006850ED">
        <w:rPr>
          <w:lang w:val="en"/>
        </w:rPr>
        <w:t>wage freeze</w:t>
      </w:r>
      <w:r w:rsidRPr="00576FA5">
        <w:rPr>
          <w:lang w:val="en"/>
        </w:rPr>
        <w:t xml:space="preserve"> in 2004 and 2005.  </w:t>
      </w:r>
    </w:p>
    <w:p w14:paraId="4931650C" w14:textId="77777777" w:rsidR="0023707F" w:rsidRDefault="0023707F" w:rsidP="0023707F">
      <w:pPr>
        <w:spacing w:line="276" w:lineRule="auto"/>
        <w:jc w:val="both"/>
      </w:pPr>
    </w:p>
    <w:p w14:paraId="06FE5F72" w14:textId="77777777" w:rsidR="0023707F" w:rsidRDefault="0023707F" w:rsidP="0023707F">
      <w:pPr>
        <w:autoSpaceDE w:val="0"/>
        <w:autoSpaceDN w:val="0"/>
        <w:adjustRightInd w:val="0"/>
        <w:spacing w:line="276" w:lineRule="auto"/>
        <w:jc w:val="both"/>
      </w:pPr>
      <w:r>
        <w:t xml:space="preserve">These three incomes policies facilitated considerable downward adjustments in Dutch wage growth.  By 2001, Dutch nominal hourly wage growth was 5.3%, the highest level since 1982.  After the imposition of the 2.5% nominal wage ceiling in 2003, and wage freezes in 2004 and 2005, nominal hourly wage growth declined to 1.68% in 2005, its lowest level since 1984 (EU KLEMS, 2010).  These national wage pacts overlapped with the slowing of Dutch housing prices in the early 2000s (see Figure 5).  While the Netherlands’ generous policies towards mortgage credit accumulation did not change during the 2000s, the production of three national wage pacts led to a prominent </w:t>
      </w:r>
      <w:r>
        <w:lastRenderedPageBreak/>
        <w:t xml:space="preserve">decline in income growth, reducing the capacity of households to accumulate financial assets and to leverage housing wealth.  In resorting back to a coordinated bargaining framework, albeit temporarily, that reduced income growth in its inflationary non-tradable sectors, the Dutch were able to reduce households’ consumption on large durable assets, slowing housing prices in the early 2000s. </w:t>
      </w:r>
    </w:p>
    <w:p w14:paraId="67A042F9" w14:textId="77777777" w:rsidR="0023707F" w:rsidRDefault="0023707F" w:rsidP="0023707F">
      <w:pPr>
        <w:spacing w:line="276" w:lineRule="auto"/>
        <w:jc w:val="both"/>
        <w:rPr>
          <w:b/>
          <w:u w:val="single"/>
        </w:rPr>
      </w:pPr>
    </w:p>
    <w:p w14:paraId="0A362AE5" w14:textId="77777777" w:rsidR="0023707F" w:rsidRPr="00A26FD0" w:rsidRDefault="0023707F" w:rsidP="0023707F">
      <w:pPr>
        <w:spacing w:line="276" w:lineRule="auto"/>
        <w:jc w:val="both"/>
        <w:rPr>
          <w:i/>
        </w:rPr>
      </w:pPr>
      <w:r w:rsidRPr="00A26FD0">
        <w:rPr>
          <w:i/>
        </w:rPr>
        <w:t>Fuelling the bubble: Irish corporatism’s inability to moderate incomes</w:t>
      </w:r>
    </w:p>
    <w:p w14:paraId="5B183DE6" w14:textId="77777777" w:rsidR="0023707F" w:rsidRDefault="0023707F" w:rsidP="0023707F">
      <w:pPr>
        <w:spacing w:line="276" w:lineRule="auto"/>
        <w:jc w:val="both"/>
      </w:pPr>
    </w:p>
    <w:p w14:paraId="4C0B8EEC" w14:textId="77777777" w:rsidR="0023707F" w:rsidRDefault="0023707F" w:rsidP="0023707F">
      <w:pPr>
        <w:spacing w:line="276" w:lineRule="auto"/>
        <w:jc w:val="both"/>
      </w:pPr>
      <w:r>
        <w:t xml:space="preserve">From the late 1980s to 1990’s Ireland instituted a centralized wage bargaining regime aimed at generating national competitiveness via coordinated public and private sector wage restraint (Regan 2012).  Wage restraint, flexible labor markets and low corporate taxes generated a distinct export led growth model that became colloquially known as the “Celtic Tiger”. By 1999, in a context of rapid economic and employment growth, public sector unions in the health, administrative and educational sectors, in launched a wage push campaign.  Their wage drive gathered popular support after various teaching, nursing and police officer strikes. They also gathered broad political support from larger industrial and private-sector unions. All unions agreed that the EMU was driving up domestic inflation and needed to be compensated with wage increases. </w:t>
      </w:r>
    </w:p>
    <w:p w14:paraId="7276E2ED" w14:textId="77777777" w:rsidR="0023707F" w:rsidRDefault="0023707F" w:rsidP="0023707F">
      <w:pPr>
        <w:spacing w:line="276" w:lineRule="auto"/>
        <w:jc w:val="both"/>
      </w:pPr>
    </w:p>
    <w:p w14:paraId="55EC8D37" w14:textId="77777777" w:rsidR="0023707F" w:rsidRDefault="0023707F" w:rsidP="0023707F">
      <w:pPr>
        <w:spacing w:line="276" w:lineRule="auto"/>
        <w:jc w:val="both"/>
      </w:pPr>
      <w:r>
        <w:t xml:space="preserve">In 1999 a centre-right coalition, led by a populist Fianna Fáil (FF) government, negotiated a three-year wage pact called the Programme for Prosperity and Fairness (PPF). This was the first wage-pact negotiated in the absence of external exchange rate pressure, and based around a very generous national </w:t>
      </w:r>
      <w:r w:rsidRPr="00A910E5">
        <w:rPr>
          <w:i/>
        </w:rPr>
        <w:t>tax-based</w:t>
      </w:r>
      <w:r>
        <w:t xml:space="preserve"> incomes policy. PPF granted a 15.5% wage increase that averaged 5.5% per annum from 1999 to 2002. It also granted a once off ‘catch up’ increase of 3% to teachers and civil servants. In addition it “guaranteed” that net take-home pay of all workers would increase by 25% after cuts in income tax. But most controversially, the PPF established a “</w:t>
      </w:r>
      <w:r>
        <w:rPr>
          <w:i/>
        </w:rPr>
        <w:t>Public Service Benchmarking Body”</w:t>
      </w:r>
      <w:r>
        <w:t xml:space="preserve"> (PSBB), designed to review public sector pay and assess whether there was a growing wage differential between the public and private sector.</w:t>
      </w:r>
    </w:p>
    <w:p w14:paraId="6EF25F34" w14:textId="77777777" w:rsidR="0023707F" w:rsidRDefault="0023707F" w:rsidP="0023707F">
      <w:pPr>
        <w:spacing w:line="276" w:lineRule="auto"/>
        <w:jc w:val="both"/>
      </w:pPr>
    </w:p>
    <w:p w14:paraId="633B4121" w14:textId="77777777" w:rsidR="0023707F" w:rsidRDefault="0023707F" w:rsidP="0023707F">
      <w:pPr>
        <w:spacing w:line="276" w:lineRule="auto"/>
        <w:jc w:val="both"/>
      </w:pPr>
      <w:r>
        <w:t>PPF was widely endorsed by the affiliates to the union confederation, ICTU. But from 2000-2002</w:t>
      </w:r>
      <w:r w:rsidR="00665D03">
        <w:t>,</w:t>
      </w:r>
      <w:r>
        <w:t xml:space="preserve"> wage-drift became widespread. ICTU and Ireland’s major employers</w:t>
      </w:r>
      <w:r w:rsidR="00665D03">
        <w:t>’</w:t>
      </w:r>
      <w:r>
        <w:t xml:space="preserve"> associations, particularly in construction, were unable to discipline affiliated wage-setters at company or sectoral level. Wage inflation was at double-digit figures and public sector employees increasingly maintained that despite the generous terms of the PPF they were being left behind. In late 2002, and within this context, the PSBB reported its findings. It agreed with the professional associations in the public sector (and the FF government) that there was a growing pay differential, and recommended the government grant an average 9-11% pay increase to </w:t>
      </w:r>
      <w:r w:rsidRPr="003567D2">
        <w:rPr>
          <w:i/>
        </w:rPr>
        <w:t xml:space="preserve">all </w:t>
      </w:r>
      <w:r>
        <w:t xml:space="preserve">public sector workers in addition to the PPF. </w:t>
      </w:r>
    </w:p>
    <w:p w14:paraId="733E76E9" w14:textId="77777777" w:rsidR="0023707F" w:rsidRDefault="0023707F" w:rsidP="0023707F">
      <w:pPr>
        <w:spacing w:line="276" w:lineRule="auto"/>
        <w:jc w:val="both"/>
      </w:pPr>
    </w:p>
    <w:p w14:paraId="3E64C660" w14:textId="77777777" w:rsidR="0023707F" w:rsidRDefault="0023707F" w:rsidP="0023707F">
      <w:pPr>
        <w:spacing w:line="276" w:lineRule="auto"/>
        <w:jc w:val="both"/>
      </w:pPr>
      <w:r>
        <w:t xml:space="preserve">The PSBB covered 60% of the total public sector workforce. The first payment was sanctioned in May 2003, with the final phase paid in May 2005. The cost of PSBB was </w:t>
      </w:r>
      <w:r>
        <w:lastRenderedPageBreak/>
        <w:t xml:space="preserve">estimated at 1.1bn per annum or 3.5% of then net current government expenditure. Remarkably the findings and methodology of the report was </w:t>
      </w:r>
      <w:r w:rsidRPr="003567D2">
        <w:rPr>
          <w:i/>
        </w:rPr>
        <w:t>never</w:t>
      </w:r>
      <w:r>
        <w:t xml:space="preserve"> published (</w:t>
      </w:r>
      <w:r w:rsidRPr="00D172FD">
        <w:t>data was exempt from the provisions of the Freedom of Information Act</w:t>
      </w:r>
      <w:r>
        <w:t>), and its conclusions have since been falsified. In effect the PSBB</w:t>
      </w:r>
      <w:r w:rsidRPr="00D172FD">
        <w:t xml:space="preserve"> was a political exercise </w:t>
      </w:r>
      <w:r>
        <w:t>by the FF government and the social partners to end long</w:t>
      </w:r>
      <w:r w:rsidRPr="00D172FD">
        <w:t xml:space="preserve">standing </w:t>
      </w:r>
      <w:r>
        <w:t>wage</w:t>
      </w:r>
      <w:r w:rsidRPr="00D172FD">
        <w:t xml:space="preserve"> disputes </w:t>
      </w:r>
      <w:r>
        <w:t>within the public sector</w:t>
      </w:r>
      <w:r w:rsidRPr="00D172FD">
        <w:t xml:space="preserve">. </w:t>
      </w:r>
      <w:r>
        <w:t>T</w:t>
      </w:r>
      <w:r w:rsidRPr="00D172FD">
        <w:t>he PPF agreed to a cumulative increase of between 18% and 21% over three years</w:t>
      </w:r>
      <w:r>
        <w:t>, whilst b</w:t>
      </w:r>
      <w:r w:rsidRPr="00D172FD">
        <w:t>enchmarking added an additional 8.9%</w:t>
      </w:r>
      <w:r>
        <w:t>-25%.</w:t>
      </w:r>
    </w:p>
    <w:p w14:paraId="3B1B22EC" w14:textId="77777777" w:rsidR="0023707F" w:rsidRDefault="0023707F" w:rsidP="0023707F">
      <w:pPr>
        <w:spacing w:line="276" w:lineRule="auto"/>
        <w:jc w:val="both"/>
      </w:pPr>
    </w:p>
    <w:p w14:paraId="1B178D9B" w14:textId="77777777" w:rsidR="0023707F" w:rsidRDefault="0023707F" w:rsidP="0023707F">
      <w:pPr>
        <w:spacing w:line="276" w:lineRule="auto"/>
        <w:jc w:val="both"/>
      </w:pPr>
      <w:r>
        <w:t xml:space="preserve">In 2003 </w:t>
      </w:r>
      <w:r w:rsidRPr="00D172FD">
        <w:t>the</w:t>
      </w:r>
      <w:r>
        <w:t xml:space="preserve"> government and social partners negotiated another national wage pact called “</w:t>
      </w:r>
      <w:r>
        <w:rPr>
          <w:i/>
        </w:rPr>
        <w:t>Sustaining Progress”</w:t>
      </w:r>
      <w:r>
        <w:t xml:space="preserve"> (SP)</w:t>
      </w:r>
      <w:r w:rsidRPr="00D172FD">
        <w:t xml:space="preserve">. </w:t>
      </w:r>
      <w:r>
        <w:t>SP granted an additional 13% increase to be paid within the 2003-2005 period. In the same year, a</w:t>
      </w:r>
      <w:r w:rsidRPr="00D172FD">
        <w:t xml:space="preserve"> </w:t>
      </w:r>
      <w:r>
        <w:t xml:space="preserve">special </w:t>
      </w:r>
      <w:r w:rsidRPr="00BB2F0C">
        <w:t>review body</w:t>
      </w:r>
      <w:r>
        <w:t xml:space="preserve"> for higher-paid public sector employees</w:t>
      </w:r>
      <w:r w:rsidRPr="00D172FD">
        <w:t xml:space="preserve"> granted </w:t>
      </w:r>
      <w:r w:rsidRPr="00123964">
        <w:rPr>
          <w:i/>
        </w:rPr>
        <w:t>additional</w:t>
      </w:r>
      <w:r w:rsidRPr="00D172FD">
        <w:t xml:space="preserve"> increases to</w:t>
      </w:r>
      <w:r>
        <w:t xml:space="preserve"> senior civil servants, the judiciary, and government ministers.   </w:t>
      </w:r>
      <w:r w:rsidRPr="00D172FD">
        <w:t xml:space="preserve">The outcome </w:t>
      </w:r>
      <w:r>
        <w:t xml:space="preserve">of the two wage pacts, the PSBB, and the special review body </w:t>
      </w:r>
      <w:r w:rsidRPr="00D172FD">
        <w:t xml:space="preserve">was a </w:t>
      </w:r>
      <w:r w:rsidR="00665D03">
        <w:t>substantial</w:t>
      </w:r>
      <w:r w:rsidR="00665D03" w:rsidRPr="00D172FD">
        <w:t xml:space="preserve"> </w:t>
      </w:r>
      <w:r w:rsidRPr="00D172FD">
        <w:t>increa</w:t>
      </w:r>
      <w:r>
        <w:t xml:space="preserve">se in the public sector pay bill during the period 2001-2005, particularly at the top of the income distribution. The public sector wage premium, </w:t>
      </w:r>
      <w:r w:rsidRPr="00BE5C17">
        <w:rPr>
          <w:i/>
        </w:rPr>
        <w:t>after</w:t>
      </w:r>
      <w:r>
        <w:t xml:space="preserve"> controlling for all relevant characteristics such as age and education, grew from 7.7% in 2001 (before PSBB was paid) to 23.5% in 2006 (Kelly et al 2008). </w:t>
      </w:r>
      <w:r>
        <w:rPr>
          <w:rFonts w:cs="Garamond"/>
          <w:color w:val="000000"/>
          <w:lang w:bidi="he-IL"/>
        </w:rPr>
        <w:t xml:space="preserve">All of this increase in income conspicuously overlaps with the spike in house prices from 2003-2005 onwards. Rising household income </w:t>
      </w:r>
      <w:r w:rsidRPr="00B93E91">
        <w:rPr>
          <w:rFonts w:cs="Garamond"/>
          <w:i/>
          <w:color w:val="000000"/>
          <w:lang w:bidi="he-IL"/>
        </w:rPr>
        <w:t xml:space="preserve">preceded </w:t>
      </w:r>
      <w:r>
        <w:rPr>
          <w:rFonts w:cs="Garamond"/>
          <w:color w:val="000000"/>
          <w:lang w:bidi="he-IL"/>
        </w:rPr>
        <w:t xml:space="preserve">the peak of the credit expansion boom, which funded the property bubble. </w:t>
      </w:r>
    </w:p>
    <w:p w14:paraId="71A02CED" w14:textId="77777777" w:rsidR="0023707F" w:rsidRDefault="0023707F" w:rsidP="0023707F">
      <w:pPr>
        <w:spacing w:line="276" w:lineRule="auto"/>
        <w:jc w:val="both"/>
      </w:pPr>
    </w:p>
    <w:p w14:paraId="28E87417" w14:textId="77777777" w:rsidR="0023707F" w:rsidRDefault="0023707F" w:rsidP="0023707F">
      <w:pPr>
        <w:spacing w:line="276" w:lineRule="auto"/>
        <w:jc w:val="both"/>
      </w:pPr>
      <w:r>
        <w:t xml:space="preserve">Most analyses (see Kelly, 2009, for a definitive account) assume that bank lending alone explains the housing price bubble. Rising wage income is considered a symptom of this credit expansion. But this supply-side analysis misses the importance of where demand for credit is coming from. The rapid increase in public sector wages, particularly for high earners, </w:t>
      </w:r>
      <w:r w:rsidRPr="004D72E6">
        <w:rPr>
          <w:i/>
        </w:rPr>
        <w:t>preceded</w:t>
      </w:r>
      <w:r>
        <w:t xml:space="preserve"> the </w:t>
      </w:r>
      <w:r w:rsidR="00665D03">
        <w:t xml:space="preserve">2005 </w:t>
      </w:r>
      <w:r>
        <w:t xml:space="preserve">credit boom. If credit expansion alone explains the house price bubble it would imply that had the government intervened to restrict loan-to-value ratios it could have been avoided. But the Dutch case contradicts this possibility. From 2001-2005 private sector credit, as a ratio of GDP, was actually </w:t>
      </w:r>
      <w:r w:rsidRPr="00205A88">
        <w:rPr>
          <w:i/>
        </w:rPr>
        <w:t>higher</w:t>
      </w:r>
      <w:r>
        <w:t xml:space="preserve"> in the Netherlands than in Ireland (World Bank, 2014). The divergence in bank lending occurred after 2005. At the same time, from 2001-2005, Irish house prices increased b</w:t>
      </w:r>
      <w:r w:rsidR="004738D8">
        <w:t>y over 45% whereas they stabiliz</w:t>
      </w:r>
      <w:r>
        <w:t xml:space="preserve">ed at a 10% in the Netherlands. What differed between the two countries was not </w:t>
      </w:r>
      <w:r w:rsidRPr="00A57535">
        <w:rPr>
          <w:i/>
        </w:rPr>
        <w:t xml:space="preserve">credit </w:t>
      </w:r>
      <w:r>
        <w:rPr>
          <w:i/>
        </w:rPr>
        <w:t xml:space="preserve">supply </w:t>
      </w:r>
      <w:r>
        <w:t xml:space="preserve">but </w:t>
      </w:r>
      <w:r w:rsidRPr="00A57535">
        <w:rPr>
          <w:i/>
        </w:rPr>
        <w:t>wage</w:t>
      </w:r>
      <w:r>
        <w:t xml:space="preserve"> restraint. </w:t>
      </w:r>
      <w:r w:rsidR="00665D03">
        <w:t xml:space="preserve">  In line with our income and mortgage credit as “complements” hypothesis, the lull in Dutch incomes corresponded with a lull in Dutch housing prices during the 2000s, while Ireland’s income boom corresponded with its housing bubble.</w:t>
      </w:r>
    </w:p>
    <w:p w14:paraId="78BA50B9" w14:textId="77777777" w:rsidR="0023707F" w:rsidRDefault="0023707F" w:rsidP="0023707F">
      <w:pPr>
        <w:spacing w:line="276" w:lineRule="auto"/>
        <w:jc w:val="both"/>
      </w:pPr>
    </w:p>
    <w:p w14:paraId="1EB7B628" w14:textId="77777777" w:rsidR="0023707F" w:rsidRPr="00A57535" w:rsidRDefault="0023707F" w:rsidP="0023707F">
      <w:pPr>
        <w:spacing w:line="276" w:lineRule="auto"/>
        <w:jc w:val="both"/>
        <w:rPr>
          <w:rFonts w:ascii="Arial" w:hAnsi="Arial" w:cs="Arial"/>
          <w:color w:val="1A1A1A"/>
          <w:sz w:val="26"/>
          <w:szCs w:val="26"/>
          <w:lang w:val="en-US"/>
        </w:rPr>
      </w:pPr>
      <w:r>
        <w:t>Income restraint was made possible in the Netherlands because of coordinated wage-set</w:t>
      </w:r>
      <w:r w:rsidR="004738D8">
        <w:t>ting institutions that prioritiz</w:t>
      </w:r>
      <w:r>
        <w:t xml:space="preserve">ed the sectoral-class interests of an export-led political coalition. Social partners collectively reduced income growth and tamed the demand for credit. The </w:t>
      </w:r>
      <w:r w:rsidRPr="00A57535">
        <w:t>opposite occurred in Ireland. C</w:t>
      </w:r>
      <w:r>
        <w:t>entralized</w:t>
      </w:r>
      <w:r w:rsidRPr="00A57535">
        <w:t xml:space="preserve"> wage setting became decoupled from the export economy, which operated </w:t>
      </w:r>
      <w:r>
        <w:t>autonomously</w:t>
      </w:r>
      <w:r w:rsidRPr="00A57535">
        <w:t xml:space="preserve"> from the </w:t>
      </w:r>
      <w:r>
        <w:t>wage bargaining</w:t>
      </w:r>
      <w:r w:rsidRPr="00A57535">
        <w:t xml:space="preserve"> process. </w:t>
      </w:r>
      <w:r w:rsidRPr="00A57535">
        <w:rPr>
          <w:rFonts w:cs="Arial"/>
          <w:color w:val="1A1A1A"/>
          <w:lang w:val="en-US"/>
        </w:rPr>
        <w:t>Domestic banking interests d</w:t>
      </w:r>
      <w:r>
        <w:rPr>
          <w:rFonts w:cs="Arial"/>
          <w:color w:val="1A1A1A"/>
          <w:lang w:val="en-US"/>
        </w:rPr>
        <w:t>ominated employer associations</w:t>
      </w:r>
      <w:r w:rsidRPr="00A57535">
        <w:rPr>
          <w:rFonts w:cs="Arial"/>
          <w:color w:val="1A1A1A"/>
          <w:lang w:val="en-US"/>
        </w:rPr>
        <w:t xml:space="preserve"> </w:t>
      </w:r>
      <w:r>
        <w:rPr>
          <w:rFonts w:cs="Arial"/>
          <w:color w:val="1A1A1A"/>
          <w:lang w:val="en-US"/>
        </w:rPr>
        <w:t xml:space="preserve">whilst the </w:t>
      </w:r>
      <w:r>
        <w:rPr>
          <w:rFonts w:cs="Arial"/>
          <w:color w:val="1A1A1A"/>
          <w:lang w:val="en-US"/>
        </w:rPr>
        <w:lastRenderedPageBreak/>
        <w:t xml:space="preserve">construction industry </w:t>
      </w:r>
      <w:r w:rsidRPr="00A57535">
        <w:rPr>
          <w:rFonts w:cs="Arial"/>
          <w:color w:val="1A1A1A"/>
          <w:lang w:val="en-US"/>
        </w:rPr>
        <w:t>w</w:t>
      </w:r>
      <w:r>
        <w:rPr>
          <w:rFonts w:cs="Arial"/>
          <w:color w:val="1A1A1A"/>
          <w:lang w:val="en-US"/>
        </w:rPr>
        <w:t>as</w:t>
      </w:r>
      <w:r w:rsidRPr="00A57535">
        <w:rPr>
          <w:rFonts w:cs="Arial"/>
          <w:color w:val="1A1A1A"/>
          <w:lang w:val="en-US"/>
        </w:rPr>
        <w:t xml:space="preserve"> closely connected to the FF government. </w:t>
      </w:r>
      <w:r>
        <w:rPr>
          <w:rFonts w:cs="Arial"/>
          <w:color w:val="1A1A1A"/>
          <w:lang w:val="en-US"/>
        </w:rPr>
        <w:t xml:space="preserve">Simultaneously, the trade </w:t>
      </w:r>
      <w:r w:rsidRPr="00A57535">
        <w:rPr>
          <w:rFonts w:cs="Arial"/>
          <w:color w:val="1A1A1A"/>
          <w:lang w:val="en-US"/>
        </w:rPr>
        <w:t xml:space="preserve">union movement </w:t>
      </w:r>
      <w:r>
        <w:rPr>
          <w:rFonts w:cs="Arial"/>
          <w:color w:val="1A1A1A"/>
          <w:lang w:val="en-US"/>
        </w:rPr>
        <w:t xml:space="preserve">was </w:t>
      </w:r>
      <w:r w:rsidRPr="00A57535">
        <w:rPr>
          <w:rFonts w:cs="Arial"/>
          <w:color w:val="1A1A1A"/>
          <w:lang w:val="en-US"/>
        </w:rPr>
        <w:t>dominated by the public sector</w:t>
      </w:r>
      <w:r>
        <w:rPr>
          <w:rFonts w:cs="Arial"/>
          <w:color w:val="1A1A1A"/>
          <w:lang w:val="en-US"/>
        </w:rPr>
        <w:t>. The outcome was a</w:t>
      </w:r>
      <w:r w:rsidRPr="00A57535">
        <w:rPr>
          <w:rFonts w:cs="Arial"/>
          <w:color w:val="1A1A1A"/>
          <w:lang w:val="en-US"/>
        </w:rPr>
        <w:t xml:space="preserve"> </w:t>
      </w:r>
      <w:r>
        <w:rPr>
          <w:rFonts w:cs="Arial"/>
          <w:color w:val="1A1A1A"/>
          <w:lang w:val="en-US"/>
        </w:rPr>
        <w:t>centralized wage bargaining regime built around a political coalition in the domestic non-trad</w:t>
      </w:r>
      <w:r w:rsidRPr="00A57535">
        <w:rPr>
          <w:rFonts w:cs="Arial"/>
          <w:color w:val="1A1A1A"/>
          <w:lang w:val="en-US"/>
        </w:rPr>
        <w:t>able sectors</w:t>
      </w:r>
      <w:r>
        <w:rPr>
          <w:rFonts w:cs="Arial"/>
          <w:color w:val="1A1A1A"/>
          <w:lang w:val="en-US"/>
        </w:rPr>
        <w:t>, which failed to deliver wage moderation, thereby helping to fuel a credit boom that fed the country’s housing bubble</w:t>
      </w:r>
      <w:r w:rsidRPr="00A57535">
        <w:rPr>
          <w:rFonts w:cs="Arial"/>
          <w:color w:val="1A1A1A"/>
          <w:lang w:val="en-US"/>
        </w:rPr>
        <w:t xml:space="preserve">. </w:t>
      </w:r>
    </w:p>
    <w:p w14:paraId="08D3D435" w14:textId="77777777" w:rsidR="0023707F" w:rsidRDefault="0023707F" w:rsidP="0023707F">
      <w:pPr>
        <w:spacing w:line="276" w:lineRule="auto"/>
        <w:jc w:val="both"/>
        <w:rPr>
          <w:b/>
        </w:rPr>
      </w:pPr>
    </w:p>
    <w:p w14:paraId="4180A728" w14:textId="77777777" w:rsidR="0023707F" w:rsidRDefault="0023707F" w:rsidP="0023707F">
      <w:pPr>
        <w:spacing w:line="276" w:lineRule="auto"/>
        <w:jc w:val="both"/>
        <w:rPr>
          <w:b/>
        </w:rPr>
      </w:pPr>
      <w:r w:rsidRPr="00576FA5">
        <w:rPr>
          <w:b/>
        </w:rPr>
        <w:t>Conclusion</w:t>
      </w:r>
    </w:p>
    <w:p w14:paraId="7F998251" w14:textId="77777777" w:rsidR="0023707F" w:rsidRDefault="0023707F" w:rsidP="0023707F">
      <w:pPr>
        <w:spacing w:line="276" w:lineRule="auto"/>
        <w:jc w:val="both"/>
      </w:pPr>
    </w:p>
    <w:p w14:paraId="3F2966FF" w14:textId="4324A4E8" w:rsidR="0023707F" w:rsidRDefault="0023707F" w:rsidP="0023707F">
      <w:pPr>
        <w:spacing w:line="276" w:lineRule="auto"/>
        <w:jc w:val="both"/>
      </w:pPr>
      <w:r>
        <w:t xml:space="preserve">Our results suggest that income growth, and the wage-setting institutions that govern it, exhibit greater power in explaining housing price growth than broader financial variables.  </w:t>
      </w:r>
      <w:r w:rsidR="00E95380">
        <w:t xml:space="preserve">While our interactive model indicates that income growth’s impact on housing prices in the US minimal, lagged income growth is strongly correlated with housing price increases in other OECD economies, suggesting that income and mortgage credit </w:t>
      </w:r>
      <w:r w:rsidR="004D72E6">
        <w:t>may be comple</w:t>
      </w:r>
      <w:r w:rsidR="00E95380">
        <w:t xml:space="preserve">ments outside the US. </w:t>
      </w:r>
      <w:r>
        <w:t xml:space="preserve">This is not to suggest the credit expansion does not matter, but that </w:t>
      </w:r>
      <w:r w:rsidR="00450457">
        <w:t xml:space="preserve">mortgage demand </w:t>
      </w:r>
      <w:r>
        <w:t xml:space="preserve">is more amplified by the impact of an income shock. In the midst of international trends, which have made mortgage debt instruments more plentiful and cheaper, countries with wage setting institutions </w:t>
      </w:r>
      <w:r w:rsidR="00600B36">
        <w:t>led by the export sector or the state</w:t>
      </w:r>
      <w:r>
        <w:t xml:space="preserve">, continued to experience moderated housing price growth.  Countries with wage setting institutions that were shaped by </w:t>
      </w:r>
      <w:r w:rsidR="00B82835">
        <w:t>unions representing</w:t>
      </w:r>
      <w:r>
        <w:t xml:space="preserve"> non-tradable </w:t>
      </w:r>
      <w:r w:rsidR="00B82835">
        <w:t>sectors</w:t>
      </w:r>
      <w:r>
        <w:t>, on the other hand, were mor</w:t>
      </w:r>
      <w:r w:rsidR="008D2BC9">
        <w:t xml:space="preserve">e prone towards </w:t>
      </w:r>
      <w:r>
        <w:t xml:space="preserve">housing bubbles outlined in the IPE literature.  </w:t>
      </w:r>
    </w:p>
    <w:p w14:paraId="32610AFF" w14:textId="77777777" w:rsidR="0023707F" w:rsidRDefault="0023707F" w:rsidP="0023707F">
      <w:pPr>
        <w:spacing w:line="276" w:lineRule="auto"/>
        <w:jc w:val="both"/>
      </w:pPr>
    </w:p>
    <w:p w14:paraId="4FEFA19E" w14:textId="2F2C3272" w:rsidR="0023707F" w:rsidRDefault="0023707F" w:rsidP="0023707F">
      <w:pPr>
        <w:spacing w:line="276" w:lineRule="auto"/>
        <w:jc w:val="both"/>
      </w:pPr>
      <w:r>
        <w:t xml:space="preserve">Our results suggest that in an age of global finance, domestic </w:t>
      </w:r>
      <w:proofErr w:type="spellStart"/>
      <w:r>
        <w:t>sectoral</w:t>
      </w:r>
      <w:proofErr w:type="spellEnd"/>
      <w:r>
        <w:t xml:space="preserve">-class politics continue to exert an important influence on macroeconomic outcomes. Financial liberalization and the international mobility of capital have </w:t>
      </w:r>
      <w:r w:rsidR="008D2BC9">
        <w:t>granted</w:t>
      </w:r>
      <w:r>
        <w:t xml:space="preserve"> significant power </w:t>
      </w:r>
      <w:r w:rsidR="008D2BC9">
        <w:t>to banks in extending mortgage</w:t>
      </w:r>
      <w:r>
        <w:t xml:space="preserve"> credit. But contrary to these broader international financial trends, demand for borrowing, which revolves around income growth, remains deeply ingrained in </w:t>
      </w:r>
      <w:r w:rsidRPr="00D82050">
        <w:rPr>
          <w:i/>
        </w:rPr>
        <w:t>domestic</w:t>
      </w:r>
      <w:r>
        <w:t xml:space="preserve"> political economies.  Most policy discussion in the aftermath of the crises has focused on the role of the state in regulating credit supply. Our research suggests that state intervention in shaping and coordinating the outcomes of wage outcomes is also crucial</w:t>
      </w:r>
      <w:r w:rsidR="00E95380">
        <w:t>, especially outside of the US</w:t>
      </w:r>
      <w:r>
        <w:t>.  Though capital mobility and financial liberalization have worsened the exposure of domestic economies to financial volatility, wage coordination regimes that are led by political coalitions in the export sector</w:t>
      </w:r>
      <w:r w:rsidR="00600B36">
        <w:t xml:space="preserve"> </w:t>
      </w:r>
      <w:r>
        <w:t xml:space="preserve">may blunt some of the worst effects of these trends, thereby insulating these countries from the external risks of globalized capital.    </w:t>
      </w:r>
    </w:p>
    <w:p w14:paraId="5BAB1350" w14:textId="77777777" w:rsidR="00BF4744" w:rsidRDefault="00BF4744" w:rsidP="0023707F">
      <w:pPr>
        <w:spacing w:line="276" w:lineRule="auto"/>
        <w:jc w:val="both"/>
      </w:pPr>
    </w:p>
    <w:p w14:paraId="2CDC01DD" w14:textId="77777777" w:rsidR="00AC3DD1" w:rsidRDefault="00AC3DD1" w:rsidP="0023707F">
      <w:pPr>
        <w:spacing w:line="276" w:lineRule="auto"/>
        <w:jc w:val="both"/>
      </w:pPr>
    </w:p>
    <w:p w14:paraId="0F405846" w14:textId="77777777" w:rsidR="00AC3DD1" w:rsidRDefault="00AC3DD1" w:rsidP="0023707F">
      <w:pPr>
        <w:spacing w:line="276" w:lineRule="auto"/>
        <w:jc w:val="both"/>
      </w:pPr>
    </w:p>
    <w:p w14:paraId="7F37BA99" w14:textId="77777777" w:rsidR="00A36759" w:rsidRDefault="00A36759" w:rsidP="0023707F">
      <w:pPr>
        <w:spacing w:line="276" w:lineRule="auto"/>
        <w:jc w:val="both"/>
      </w:pPr>
    </w:p>
    <w:p w14:paraId="17FE8794" w14:textId="77777777" w:rsidR="00A36759" w:rsidRDefault="00A36759" w:rsidP="0023707F">
      <w:pPr>
        <w:spacing w:line="276" w:lineRule="auto"/>
        <w:jc w:val="both"/>
      </w:pPr>
    </w:p>
    <w:p w14:paraId="1AA40652" w14:textId="77777777" w:rsidR="00A36759" w:rsidRDefault="00A36759" w:rsidP="0023707F">
      <w:pPr>
        <w:spacing w:line="276" w:lineRule="auto"/>
        <w:jc w:val="both"/>
      </w:pPr>
    </w:p>
    <w:p w14:paraId="328738DE" w14:textId="77777777" w:rsidR="00AC3DD1" w:rsidRDefault="00AC3DD1" w:rsidP="0023707F">
      <w:pPr>
        <w:spacing w:line="276" w:lineRule="auto"/>
        <w:jc w:val="both"/>
      </w:pPr>
    </w:p>
    <w:p w14:paraId="089D6269" w14:textId="77777777" w:rsidR="00AC3DD1" w:rsidRDefault="00AC3DD1" w:rsidP="0023707F">
      <w:pPr>
        <w:spacing w:line="276" w:lineRule="auto"/>
        <w:jc w:val="both"/>
      </w:pPr>
    </w:p>
    <w:p w14:paraId="723A2F07" w14:textId="77777777" w:rsidR="0023707F" w:rsidRPr="00576FA5" w:rsidRDefault="0023707F" w:rsidP="0023707F">
      <w:pPr>
        <w:spacing w:line="276" w:lineRule="auto"/>
        <w:jc w:val="both"/>
        <w:rPr>
          <w:b/>
        </w:rPr>
      </w:pPr>
      <w:r w:rsidRPr="00576FA5">
        <w:rPr>
          <w:b/>
        </w:rPr>
        <w:lastRenderedPageBreak/>
        <w:t>References</w:t>
      </w:r>
    </w:p>
    <w:p w14:paraId="3D2B055F" w14:textId="77777777" w:rsidR="0023707F" w:rsidRDefault="0023707F" w:rsidP="0023707F">
      <w:pPr>
        <w:jc w:val="both"/>
      </w:pPr>
    </w:p>
    <w:p w14:paraId="3679E1A8" w14:textId="77777777" w:rsidR="0023707F" w:rsidRPr="00B4057C" w:rsidRDefault="0023707F" w:rsidP="0023707F">
      <w:pPr>
        <w:jc w:val="both"/>
      </w:pPr>
      <w:proofErr w:type="spellStart"/>
      <w:r w:rsidRPr="00B4057C">
        <w:t>Aizenman</w:t>
      </w:r>
      <w:proofErr w:type="spellEnd"/>
      <w:r w:rsidRPr="00B4057C">
        <w:t xml:space="preserve">, J., and </w:t>
      </w:r>
      <w:proofErr w:type="spellStart"/>
      <w:r w:rsidRPr="00B4057C">
        <w:t>Jinjarak</w:t>
      </w:r>
      <w:proofErr w:type="spellEnd"/>
      <w:r w:rsidRPr="00B4057C">
        <w:t xml:space="preserve">, Y. (2009). </w:t>
      </w:r>
      <w:r>
        <w:t>“</w:t>
      </w:r>
      <w:r w:rsidRPr="00B4057C">
        <w:t>Current account patterns and national real estate markets.</w:t>
      </w:r>
      <w:r>
        <w:t>”</w:t>
      </w:r>
      <w:r w:rsidRPr="00B4057C">
        <w:t xml:space="preserve"> </w:t>
      </w:r>
      <w:r w:rsidRPr="00B4057C">
        <w:rPr>
          <w:i/>
          <w:iCs/>
        </w:rPr>
        <w:t>Journal of Urban Economics</w:t>
      </w:r>
      <w:r w:rsidRPr="00B4057C">
        <w:t xml:space="preserve">, </w:t>
      </w:r>
      <w:r w:rsidRPr="00B4057C">
        <w:rPr>
          <w:i/>
          <w:iCs/>
        </w:rPr>
        <w:t>66</w:t>
      </w:r>
      <w:r w:rsidRPr="00B4057C">
        <w:t>(2), 75-89.</w:t>
      </w:r>
    </w:p>
    <w:p w14:paraId="7CD2C331" w14:textId="77777777" w:rsidR="0023707F" w:rsidRPr="00B4057C" w:rsidRDefault="0023707F" w:rsidP="0023707F">
      <w:pPr>
        <w:jc w:val="both"/>
      </w:pPr>
    </w:p>
    <w:p w14:paraId="3C9734D9" w14:textId="0F65347E" w:rsidR="0023707F" w:rsidRPr="00B4057C" w:rsidRDefault="0023707F" w:rsidP="0023707F">
      <w:pPr>
        <w:autoSpaceDE w:val="0"/>
        <w:autoSpaceDN w:val="0"/>
        <w:adjustRightInd w:val="0"/>
        <w:jc w:val="both"/>
        <w:rPr>
          <w:rFonts w:cs="Calibri"/>
          <w:color w:val="000000"/>
        </w:rPr>
      </w:pPr>
      <w:proofErr w:type="gramStart"/>
      <w:r w:rsidRPr="00B4057C">
        <w:rPr>
          <w:rFonts w:cs="Calibri"/>
          <w:color w:val="000000"/>
          <w:lang w:val="en-US"/>
        </w:rPr>
        <w:t xml:space="preserve">Andrews, D., Caldera Sánchez, A., and Johansson, Å. (2011), </w:t>
      </w:r>
      <w:r>
        <w:rPr>
          <w:rFonts w:cs="Calibri"/>
          <w:color w:val="000000"/>
          <w:lang w:val="en-US"/>
        </w:rPr>
        <w:t>“</w:t>
      </w:r>
      <w:r w:rsidRPr="00B4057C">
        <w:rPr>
          <w:rFonts w:cs="Calibri"/>
          <w:color w:val="000000"/>
          <w:lang w:val="en-US"/>
        </w:rPr>
        <w:t>Housing Markets and Structural Policies in OECD Countries</w:t>
      </w:r>
      <w:r>
        <w:rPr>
          <w:rFonts w:cs="Calibri"/>
          <w:color w:val="000000"/>
          <w:lang w:val="en-US"/>
        </w:rPr>
        <w:t>”</w:t>
      </w:r>
      <w:r w:rsidRPr="00B4057C">
        <w:rPr>
          <w:rFonts w:cs="Calibri"/>
          <w:color w:val="000000"/>
          <w:lang w:val="en-US"/>
        </w:rPr>
        <w:t xml:space="preserve">, </w:t>
      </w:r>
      <w:r w:rsidRPr="00B4057C">
        <w:rPr>
          <w:rFonts w:cs="Calibri"/>
          <w:i/>
          <w:iCs/>
          <w:color w:val="000000"/>
          <w:lang w:val="en-US"/>
        </w:rPr>
        <w:t>OECD Economics Department Working Papers</w:t>
      </w:r>
      <w:r w:rsidR="00A412EE">
        <w:rPr>
          <w:rFonts w:cs="Calibri"/>
          <w:color w:val="000000"/>
          <w:lang w:val="en-US"/>
        </w:rPr>
        <w:t>, No. 836, OECD.</w:t>
      </w:r>
      <w:proofErr w:type="gramEnd"/>
    </w:p>
    <w:p w14:paraId="0FD34107" w14:textId="77777777" w:rsidR="0023707F" w:rsidRPr="00B4057C" w:rsidRDefault="0023707F" w:rsidP="0023707F">
      <w:pPr>
        <w:jc w:val="both"/>
        <w:rPr>
          <w:highlight w:val="yellow"/>
        </w:rPr>
      </w:pPr>
    </w:p>
    <w:p w14:paraId="36725501" w14:textId="77777777" w:rsidR="0023707F" w:rsidRPr="00B4057C" w:rsidRDefault="0023707F" w:rsidP="0023707F">
      <w:pPr>
        <w:jc w:val="both"/>
      </w:pPr>
      <w:r w:rsidRPr="00B4057C">
        <w:t xml:space="preserve">Ansell, B. (2014). </w:t>
      </w:r>
      <w:r>
        <w:t>“</w:t>
      </w:r>
      <w:r w:rsidRPr="00B4057C">
        <w:t>The Political Economy of Ownership: Housing Markets and the Welfare State</w:t>
      </w:r>
      <w:r>
        <w:t>”,</w:t>
      </w:r>
      <w:r w:rsidRPr="00B4057C">
        <w:t xml:space="preserve"> </w:t>
      </w:r>
      <w:r w:rsidRPr="00B4057C">
        <w:rPr>
          <w:i/>
          <w:iCs/>
        </w:rPr>
        <w:t>American Political Science Review</w:t>
      </w:r>
      <w:r w:rsidRPr="00B4057C">
        <w:t>, 1-20.</w:t>
      </w:r>
    </w:p>
    <w:p w14:paraId="5B33C853" w14:textId="77777777" w:rsidR="0023707F" w:rsidRPr="00B4057C" w:rsidRDefault="0023707F" w:rsidP="0023707F">
      <w:pPr>
        <w:jc w:val="both"/>
        <w:rPr>
          <w:highlight w:val="yellow"/>
        </w:rPr>
      </w:pPr>
    </w:p>
    <w:p w14:paraId="6C99047F" w14:textId="77777777" w:rsidR="0023707F" w:rsidRPr="00B4057C" w:rsidRDefault="0023707F" w:rsidP="0023707F">
      <w:pPr>
        <w:jc w:val="both"/>
        <w:rPr>
          <w:rFonts w:eastAsia="Times New Roman" w:cs="Arial"/>
          <w:lang w:val="en-US"/>
        </w:rPr>
      </w:pPr>
      <w:proofErr w:type="gramStart"/>
      <w:r w:rsidRPr="00B4057C">
        <w:rPr>
          <w:rFonts w:eastAsia="Times New Roman" w:cs="Arial"/>
          <w:lang w:val="en-US"/>
        </w:rPr>
        <w:t>Arellano, M. and Bond.</w:t>
      </w:r>
      <w:proofErr w:type="gramEnd"/>
      <w:r w:rsidRPr="00B4057C">
        <w:rPr>
          <w:rFonts w:eastAsia="Times New Roman" w:cs="Arial"/>
          <w:lang w:val="en-US"/>
        </w:rPr>
        <w:t xml:space="preserve"> S. (1991) “Some tests of specification for panel data: Monte Carlo evidence and an application to employment equations”. </w:t>
      </w:r>
      <w:r w:rsidRPr="00B4057C">
        <w:rPr>
          <w:rFonts w:eastAsia="Times New Roman" w:cs="Arial"/>
          <w:i/>
          <w:lang w:val="en-US"/>
        </w:rPr>
        <w:t>Review of Economic Studies</w:t>
      </w:r>
      <w:r w:rsidRPr="00B4057C">
        <w:rPr>
          <w:rFonts w:eastAsia="Times New Roman" w:cs="Arial"/>
          <w:lang w:val="en-US"/>
        </w:rPr>
        <w:t xml:space="preserve"> 58: 277–29</w:t>
      </w:r>
    </w:p>
    <w:p w14:paraId="454E6F00" w14:textId="77777777" w:rsidR="0023707F" w:rsidRPr="00B4057C" w:rsidRDefault="0023707F" w:rsidP="0023707F">
      <w:pPr>
        <w:jc w:val="both"/>
        <w:rPr>
          <w:highlight w:val="yellow"/>
        </w:rPr>
      </w:pPr>
    </w:p>
    <w:p w14:paraId="6D053E5F" w14:textId="77777777" w:rsidR="0023707F" w:rsidRPr="00B4057C" w:rsidRDefault="0023707F" w:rsidP="0023707F">
      <w:pPr>
        <w:jc w:val="both"/>
      </w:pPr>
      <w:proofErr w:type="gramStart"/>
      <w:r w:rsidRPr="00B4057C">
        <w:t>Bank of International Settlements.</w:t>
      </w:r>
      <w:proofErr w:type="gramEnd"/>
      <w:r w:rsidRPr="00B4057C">
        <w:t xml:space="preserve"> </w:t>
      </w:r>
      <w:proofErr w:type="gramStart"/>
      <w:r w:rsidRPr="00B4057C">
        <w:t>(2014) “Residential Property Price Statistics”.</w:t>
      </w:r>
      <w:proofErr w:type="gramEnd"/>
      <w:r w:rsidRPr="00B4057C">
        <w:t xml:space="preserve"> </w:t>
      </w:r>
      <w:hyperlink r:id="rId16" w:history="1">
        <w:r w:rsidRPr="00B4057C">
          <w:rPr>
            <w:rStyle w:val="Hyperlink"/>
          </w:rPr>
          <w:t>http://www.bis.org/statistics/pp.htm</w:t>
        </w:r>
      </w:hyperlink>
      <w:r w:rsidRPr="00B4057C">
        <w:t xml:space="preserve"> Accessed January-July, 2014.</w:t>
      </w:r>
    </w:p>
    <w:p w14:paraId="7D36A783" w14:textId="77777777" w:rsidR="0023707F" w:rsidRPr="00B4057C" w:rsidRDefault="0023707F" w:rsidP="0023707F">
      <w:pPr>
        <w:jc w:val="both"/>
      </w:pPr>
    </w:p>
    <w:p w14:paraId="34C54719" w14:textId="77777777" w:rsidR="0023707F" w:rsidRPr="00B4057C" w:rsidRDefault="0023707F" w:rsidP="0023707F">
      <w:pPr>
        <w:jc w:val="both"/>
        <w:rPr>
          <w:rFonts w:eastAsia="Times New Roman" w:cs="Arial"/>
        </w:rPr>
      </w:pPr>
      <w:r w:rsidRPr="00B4057C">
        <w:t xml:space="preserve">Brandl, B. (2012) </w:t>
      </w:r>
      <w:r w:rsidRPr="00B4057C">
        <w:rPr>
          <w:rFonts w:eastAsia="Times New Roman" w:cs="Arial"/>
        </w:rPr>
        <w:t xml:space="preserve">"Successful Wage Concertation: The Economic Effects of Wage Pacts and their Alternatives". </w:t>
      </w:r>
      <w:proofErr w:type="gramStart"/>
      <w:r w:rsidRPr="00B4057C">
        <w:rPr>
          <w:rFonts w:eastAsia="Times New Roman" w:cs="Arial"/>
          <w:i/>
        </w:rPr>
        <w:t>British Journal of Industrial Relations</w:t>
      </w:r>
      <w:r w:rsidRPr="00B4057C">
        <w:rPr>
          <w:rFonts w:eastAsia="Times New Roman" w:cs="Arial"/>
        </w:rPr>
        <w:t>.</w:t>
      </w:r>
      <w:proofErr w:type="gramEnd"/>
      <w:r w:rsidRPr="00B4057C">
        <w:rPr>
          <w:rFonts w:eastAsia="Times New Roman" w:cs="Arial"/>
        </w:rPr>
        <w:t xml:space="preserve"> 50(3): 482-501</w:t>
      </w:r>
    </w:p>
    <w:p w14:paraId="0F456353" w14:textId="77777777" w:rsidR="0023707F" w:rsidRPr="00B4057C" w:rsidRDefault="0023707F" w:rsidP="0023707F">
      <w:pPr>
        <w:ind w:right="28"/>
        <w:jc w:val="both"/>
      </w:pPr>
    </w:p>
    <w:p w14:paraId="74002770" w14:textId="77777777" w:rsidR="0023707F" w:rsidRPr="00B4057C" w:rsidRDefault="0023707F" w:rsidP="0023707F">
      <w:pPr>
        <w:ind w:right="28"/>
        <w:jc w:val="both"/>
      </w:pPr>
      <w:r w:rsidRPr="00B4057C">
        <w:t xml:space="preserve">Chinn, M.D. and Ito, H. (2006) ”What matters for financial development? Capital controls, institutions and interactions”, </w:t>
      </w:r>
      <w:r w:rsidRPr="00B4057C">
        <w:rPr>
          <w:i/>
        </w:rPr>
        <w:t>Journal of Development Economics</w:t>
      </w:r>
      <w:r w:rsidRPr="00B4057C">
        <w:t>. 81: 163-192.</w:t>
      </w:r>
    </w:p>
    <w:p w14:paraId="44F5EE0C" w14:textId="77777777" w:rsidR="0023707F" w:rsidRPr="00B4057C" w:rsidRDefault="0023707F" w:rsidP="0023707F">
      <w:pPr>
        <w:ind w:right="28"/>
        <w:jc w:val="both"/>
      </w:pPr>
    </w:p>
    <w:p w14:paraId="29BA0DAA" w14:textId="77777777" w:rsidR="0023707F" w:rsidRPr="00B4057C" w:rsidRDefault="0023707F" w:rsidP="0023707F">
      <w:pPr>
        <w:ind w:right="28"/>
        <w:jc w:val="both"/>
      </w:pPr>
      <w:r w:rsidRPr="00B4057C">
        <w:t xml:space="preserve">Cukierman, A. (1992).  </w:t>
      </w:r>
      <w:r w:rsidRPr="00B4057C">
        <w:rPr>
          <w:i/>
          <w:iCs/>
        </w:rPr>
        <w:t>Central Bank Strategy, Credibility and Independence</w:t>
      </w:r>
      <w:r w:rsidRPr="00B4057C">
        <w:t xml:space="preserve">.  Cambridge, Massachusetts.  MIT Press. </w:t>
      </w:r>
    </w:p>
    <w:p w14:paraId="61AAFB49" w14:textId="77777777" w:rsidR="0023707F" w:rsidRPr="00B4057C" w:rsidRDefault="0023707F" w:rsidP="0023707F">
      <w:pPr>
        <w:autoSpaceDE w:val="0"/>
        <w:autoSpaceDN w:val="0"/>
        <w:adjustRightInd w:val="0"/>
        <w:jc w:val="both"/>
      </w:pPr>
    </w:p>
    <w:p w14:paraId="77771920" w14:textId="77777777" w:rsidR="0023707F" w:rsidRPr="00B4057C" w:rsidRDefault="0023707F" w:rsidP="0023707F">
      <w:pPr>
        <w:jc w:val="both"/>
      </w:pPr>
      <w:r w:rsidRPr="00B4057C">
        <w:rPr>
          <w:rFonts w:cs="CMR12"/>
          <w:lang w:val="en-US"/>
        </w:rPr>
        <w:t xml:space="preserve">Cunha, M.R., </w:t>
      </w:r>
      <w:proofErr w:type="spellStart"/>
      <w:r w:rsidRPr="00B4057C">
        <w:rPr>
          <w:rFonts w:cs="CMR12"/>
          <w:lang w:val="en-US"/>
        </w:rPr>
        <w:t>Lambrecht</w:t>
      </w:r>
      <w:proofErr w:type="spellEnd"/>
      <w:r w:rsidRPr="00B4057C">
        <w:rPr>
          <w:rFonts w:cs="CMR12"/>
          <w:lang w:val="en-US"/>
        </w:rPr>
        <w:t xml:space="preserve">, B. and </w:t>
      </w:r>
      <w:proofErr w:type="spellStart"/>
      <w:r w:rsidRPr="00B4057C">
        <w:rPr>
          <w:rFonts w:cs="CMR12"/>
          <w:lang w:val="en-US"/>
        </w:rPr>
        <w:t>Pawlina</w:t>
      </w:r>
      <w:proofErr w:type="spellEnd"/>
      <w:r w:rsidRPr="00B4057C">
        <w:rPr>
          <w:rFonts w:cs="CMR12"/>
          <w:lang w:val="en-US"/>
        </w:rPr>
        <w:t xml:space="preserve">, G. (2009) “Determinants of Outstanding Mortgage Loan to Value Ratios: Evidence from the Netherlands”. </w:t>
      </w:r>
      <w:hyperlink r:id="rId17" w:history="1">
        <w:r w:rsidRPr="00B4057C">
          <w:rPr>
            <w:rStyle w:val="Hyperlink"/>
          </w:rPr>
          <w:t>http://repositorio.ucp.pt/bitstream/10400.14/5368/1/Determinants%20of%20Outstanding%20Mortgage%202009.pdf</w:t>
        </w:r>
      </w:hyperlink>
      <w:r w:rsidRPr="00B4057C">
        <w:t xml:space="preserve"> </w:t>
      </w:r>
    </w:p>
    <w:p w14:paraId="2F0BD943" w14:textId="77777777" w:rsidR="0023707F" w:rsidRPr="00B4057C" w:rsidRDefault="0023707F" w:rsidP="0023707F">
      <w:pPr>
        <w:jc w:val="both"/>
      </w:pPr>
    </w:p>
    <w:p w14:paraId="749AA3E5" w14:textId="77777777" w:rsidR="0023707F" w:rsidRPr="00B4057C" w:rsidRDefault="0023707F" w:rsidP="0023707F">
      <w:pPr>
        <w:jc w:val="both"/>
      </w:pPr>
      <w:r w:rsidRPr="00B4057C">
        <w:t xml:space="preserve">Davidoff, T. (2006) “Labor income, housing prices and homeownership”, </w:t>
      </w:r>
      <w:r w:rsidRPr="00B4057C">
        <w:rPr>
          <w:i/>
        </w:rPr>
        <w:t>Journal of Urban Economics</w:t>
      </w:r>
      <w:r w:rsidRPr="00B4057C">
        <w:t>.  59(2): 209-235.</w:t>
      </w:r>
    </w:p>
    <w:p w14:paraId="6B8E901C" w14:textId="77777777" w:rsidR="0023707F" w:rsidRPr="00B4057C" w:rsidRDefault="0023707F" w:rsidP="0023707F">
      <w:pPr>
        <w:jc w:val="both"/>
      </w:pPr>
    </w:p>
    <w:p w14:paraId="573B6F31" w14:textId="77777777" w:rsidR="0023707F" w:rsidRPr="00B4057C" w:rsidRDefault="0023707F" w:rsidP="0023707F">
      <w:pPr>
        <w:jc w:val="both"/>
      </w:pPr>
      <w:proofErr w:type="spellStart"/>
      <w:r w:rsidRPr="00B4057C">
        <w:t>Deeg</w:t>
      </w:r>
      <w:proofErr w:type="spellEnd"/>
      <w:r w:rsidRPr="00B4057C">
        <w:t xml:space="preserve">, R., &amp; O'Sullivan, M. (2009). </w:t>
      </w:r>
      <w:proofErr w:type="gramStart"/>
      <w:r>
        <w:t>“</w:t>
      </w:r>
      <w:r w:rsidRPr="00B4057C">
        <w:t>The political ec</w:t>
      </w:r>
      <w:r>
        <w:t>onomy of global finance capital”,</w:t>
      </w:r>
      <w:r w:rsidRPr="00B4057C">
        <w:t xml:space="preserve"> </w:t>
      </w:r>
      <w:r w:rsidRPr="00B4057C">
        <w:rPr>
          <w:i/>
          <w:iCs/>
        </w:rPr>
        <w:t>World Politics</w:t>
      </w:r>
      <w:r w:rsidRPr="00B4057C">
        <w:t xml:space="preserve">, </w:t>
      </w:r>
      <w:r w:rsidRPr="00B4057C">
        <w:rPr>
          <w:i/>
          <w:iCs/>
        </w:rPr>
        <w:t>61</w:t>
      </w:r>
      <w:r w:rsidRPr="00B4057C">
        <w:t>(04), 731-763.</w:t>
      </w:r>
      <w:proofErr w:type="gramEnd"/>
    </w:p>
    <w:p w14:paraId="1E258FBB" w14:textId="77777777" w:rsidR="0023707F" w:rsidRPr="00B4057C" w:rsidRDefault="0023707F" w:rsidP="0023707F">
      <w:pPr>
        <w:jc w:val="both"/>
      </w:pPr>
    </w:p>
    <w:p w14:paraId="2207C61D" w14:textId="77777777" w:rsidR="0023707F" w:rsidRPr="00B4057C" w:rsidRDefault="0023707F" w:rsidP="0023707F">
      <w:pPr>
        <w:jc w:val="both"/>
      </w:pPr>
      <w:proofErr w:type="spellStart"/>
      <w:r w:rsidRPr="00B4057C">
        <w:t>Duca</w:t>
      </w:r>
      <w:proofErr w:type="spellEnd"/>
      <w:r w:rsidRPr="00B4057C">
        <w:t xml:space="preserve">, J., </w:t>
      </w:r>
      <w:proofErr w:type="spellStart"/>
      <w:r w:rsidRPr="00B4057C">
        <w:t>Muellbauer</w:t>
      </w:r>
      <w:proofErr w:type="spellEnd"/>
      <w:r w:rsidRPr="00B4057C">
        <w:t xml:space="preserve">, J., and Murphy, A. (2010) “Housing markets and the financial crisis of 2007-2009: Lessons for the future”, </w:t>
      </w:r>
      <w:r w:rsidRPr="00B4057C">
        <w:rPr>
          <w:i/>
        </w:rPr>
        <w:t>Journal of Financial Stability</w:t>
      </w:r>
      <w:r w:rsidRPr="00B4057C">
        <w:t>.  6(4)</w:t>
      </w:r>
      <w:r w:rsidR="00600B36">
        <w:t xml:space="preserve">: 203-217. </w:t>
      </w:r>
    </w:p>
    <w:p w14:paraId="1F47FD76" w14:textId="77777777" w:rsidR="0023707F" w:rsidRPr="00B4057C" w:rsidRDefault="0023707F" w:rsidP="0023707F">
      <w:pPr>
        <w:jc w:val="both"/>
        <w:rPr>
          <w:rFonts w:cs="TimesNewRomanPSMT"/>
        </w:rPr>
      </w:pPr>
    </w:p>
    <w:p w14:paraId="27D350D1" w14:textId="77777777" w:rsidR="0023707F" w:rsidRPr="00B4057C" w:rsidRDefault="0023707F" w:rsidP="0023707F">
      <w:pPr>
        <w:tabs>
          <w:tab w:val="left" w:pos="540"/>
          <w:tab w:val="left" w:pos="630"/>
        </w:tabs>
        <w:jc w:val="both"/>
      </w:pPr>
      <w:r w:rsidRPr="00B4057C">
        <w:t xml:space="preserve">European Commission's Directorate General for Economic and Financial Affairs, (2014). </w:t>
      </w:r>
      <w:r w:rsidRPr="00B4057C">
        <w:rPr>
          <w:i/>
        </w:rPr>
        <w:t>Annual macro-economic database (AMECO)</w:t>
      </w:r>
      <w:r w:rsidRPr="00B4057C">
        <w:t xml:space="preserve"> Available at </w:t>
      </w:r>
      <w:hyperlink r:id="rId18" w:history="1">
        <w:r w:rsidRPr="00B4057C">
          <w:rPr>
            <w:rStyle w:val="Hyperlink"/>
          </w:rPr>
          <w:t>http://ec.europa.eu/economy_finance/ameco/user/serie/SelectSerie.cfm</w:t>
        </w:r>
      </w:hyperlink>
      <w:r w:rsidRPr="00B4057C">
        <w:t xml:space="preserve">. Accessed January 2010 – February 2014. </w:t>
      </w:r>
    </w:p>
    <w:p w14:paraId="70D01732" w14:textId="77777777" w:rsidR="0023707F" w:rsidRPr="00B4057C" w:rsidRDefault="0023707F" w:rsidP="0023707F">
      <w:pPr>
        <w:jc w:val="both"/>
        <w:rPr>
          <w:rFonts w:eastAsia="Times New Roman" w:cs="Arial"/>
        </w:rPr>
      </w:pPr>
    </w:p>
    <w:p w14:paraId="7A16DEFC" w14:textId="77777777" w:rsidR="0023707F" w:rsidRPr="00B4057C" w:rsidRDefault="0023707F" w:rsidP="0023707F">
      <w:pPr>
        <w:jc w:val="both"/>
        <w:rPr>
          <w:rFonts w:eastAsia="Times New Roman" w:cs="Arial"/>
        </w:rPr>
      </w:pPr>
      <w:r w:rsidRPr="00B4057C">
        <w:rPr>
          <w:rFonts w:eastAsia="Times New Roman" w:cs="Arial"/>
        </w:rPr>
        <w:t xml:space="preserve">EU KLEMS Database (2010). http://www.euklems.net. Groningen Growth and Development Centre. Accessed December 2009-April 2010. </w:t>
      </w:r>
    </w:p>
    <w:p w14:paraId="5A755345" w14:textId="77777777" w:rsidR="0023707F" w:rsidRPr="00B4057C" w:rsidRDefault="0023707F" w:rsidP="0023707F">
      <w:pPr>
        <w:jc w:val="both"/>
        <w:rPr>
          <w:rFonts w:cs="CMR12"/>
        </w:rPr>
      </w:pPr>
    </w:p>
    <w:p w14:paraId="6208634B" w14:textId="77777777" w:rsidR="0023707F" w:rsidRPr="0019329E" w:rsidRDefault="0023707F" w:rsidP="0023707F">
      <w:pPr>
        <w:jc w:val="both"/>
        <w:rPr>
          <w:rFonts w:cs="CMR12"/>
          <w:lang w:val="en-US"/>
        </w:rPr>
      </w:pPr>
      <w:r w:rsidRPr="00B4057C">
        <w:rPr>
          <w:rFonts w:cs="CMR12"/>
        </w:rPr>
        <w:t xml:space="preserve">European Industrial Relations Review (EIRR) </w:t>
      </w:r>
      <w:r w:rsidRPr="00B4057C">
        <w:rPr>
          <w:rFonts w:cs="CMR12"/>
          <w:lang w:val="en-US"/>
        </w:rPr>
        <w:t>(2001) “New report shows increase in wage inflation”, Issue 330, p</w:t>
      </w:r>
      <w:r w:rsidRPr="00B4057C">
        <w:rPr>
          <w:rFonts w:cs="CMR12"/>
        </w:rPr>
        <w:t>g. 9</w:t>
      </w:r>
    </w:p>
    <w:p w14:paraId="76D61D4B" w14:textId="77777777" w:rsidR="0023707F" w:rsidRPr="00B4057C" w:rsidRDefault="0023707F" w:rsidP="0023707F">
      <w:pPr>
        <w:jc w:val="both"/>
      </w:pPr>
    </w:p>
    <w:p w14:paraId="0F2EB96A" w14:textId="77777777" w:rsidR="0023707F" w:rsidRPr="009D30D2" w:rsidRDefault="0023707F" w:rsidP="0023707F">
      <w:pPr>
        <w:tabs>
          <w:tab w:val="left" w:pos="540"/>
          <w:tab w:val="left" w:pos="630"/>
        </w:tabs>
        <w:ind w:right="29"/>
        <w:jc w:val="both"/>
        <w:rPr>
          <w:rFonts w:cs="Arial"/>
          <w:i/>
          <w:lang w:val="en-US"/>
        </w:rPr>
      </w:pPr>
      <w:r w:rsidRPr="008B0FF1">
        <w:rPr>
          <w:rFonts w:cs="Arial"/>
          <w:lang w:val="en-US"/>
        </w:rPr>
        <w:t>Fuller, G. (2015). “Who’s Borrowing</w:t>
      </w:r>
      <w:proofErr w:type="gramStart"/>
      <w:r w:rsidRPr="008B0FF1">
        <w:rPr>
          <w:rFonts w:cs="Arial"/>
          <w:lang w:val="en-US"/>
        </w:rPr>
        <w:t>?:</w:t>
      </w:r>
      <w:proofErr w:type="gramEnd"/>
      <w:r w:rsidRPr="008B0FF1">
        <w:rPr>
          <w:rFonts w:cs="Arial"/>
          <w:lang w:val="en-US"/>
        </w:rPr>
        <w:t xml:space="preserve"> Credit Encouragement vs Credit Mitigation in National Financial Systems” Forthcoming in </w:t>
      </w:r>
      <w:r w:rsidRPr="008B0FF1">
        <w:rPr>
          <w:rFonts w:cs="Arial"/>
          <w:i/>
          <w:lang w:val="en-US"/>
        </w:rPr>
        <w:t>Politics &amp; Society.</w:t>
      </w:r>
    </w:p>
    <w:p w14:paraId="0E8BD208" w14:textId="77777777" w:rsidR="0023707F" w:rsidRPr="008B0FF1" w:rsidRDefault="0023707F" w:rsidP="0023707F">
      <w:pPr>
        <w:jc w:val="both"/>
        <w:rPr>
          <w:rFonts w:eastAsia="Times New Roman" w:cs="Arial"/>
        </w:rPr>
      </w:pPr>
    </w:p>
    <w:p w14:paraId="25052B10" w14:textId="77777777" w:rsidR="0023707F" w:rsidRPr="002F1920" w:rsidRDefault="0023707F" w:rsidP="0023707F">
      <w:pPr>
        <w:jc w:val="both"/>
        <w:rPr>
          <w:rFonts w:eastAsia="Cambria" w:cs="CMR12"/>
        </w:rPr>
      </w:pPr>
      <w:r w:rsidRPr="008B0FF1">
        <w:rPr>
          <w:rFonts w:cs="CMR12"/>
          <w:lang w:val="en-US"/>
        </w:rPr>
        <w:t xml:space="preserve">Grünell, M. (2001) “Controversy over wage moderation”. </w:t>
      </w:r>
      <w:proofErr w:type="gramStart"/>
      <w:r w:rsidRPr="008B0FF1">
        <w:t>European Industrial Relations Observatory Online.</w:t>
      </w:r>
      <w:proofErr w:type="gramEnd"/>
      <w:r w:rsidRPr="008B0FF1">
        <w:t xml:space="preserve"> </w:t>
      </w:r>
      <w:r w:rsidRPr="008B0FF1">
        <w:rPr>
          <w:rFonts w:cs="CMR12"/>
          <w:lang w:val="en-US"/>
        </w:rPr>
        <w:t xml:space="preserve"> July 28th</w:t>
      </w:r>
      <w:r w:rsidRPr="008B0FF1">
        <w:rPr>
          <w:rFonts w:cs="CMR12"/>
        </w:rPr>
        <w:t>, 2001</w:t>
      </w:r>
    </w:p>
    <w:p w14:paraId="5251DA74" w14:textId="77777777" w:rsidR="0023707F" w:rsidRPr="00B4057C" w:rsidRDefault="0023707F" w:rsidP="0023707F">
      <w:pPr>
        <w:jc w:val="both"/>
        <w:rPr>
          <w:rFonts w:eastAsia="Times New Roman" w:cs="Arial"/>
        </w:rPr>
      </w:pPr>
    </w:p>
    <w:p w14:paraId="29368595" w14:textId="77777777" w:rsidR="0023707F" w:rsidRPr="00B4057C" w:rsidRDefault="0023707F" w:rsidP="0023707F">
      <w:pPr>
        <w:jc w:val="both"/>
        <w:rPr>
          <w:rFonts w:eastAsia="Times New Roman" w:cs="Arial"/>
        </w:rPr>
      </w:pPr>
      <w:r w:rsidRPr="00B4057C">
        <w:rPr>
          <w:rFonts w:eastAsia="Times New Roman" w:cs="Arial"/>
        </w:rPr>
        <w:t xml:space="preserve">Hall, P. and Soskice, D. (2001) “An introduction to the Varieties of Capitalism” in Hall and Soskice eds. </w:t>
      </w:r>
      <w:r w:rsidRPr="00B4057C">
        <w:rPr>
          <w:rFonts w:eastAsia="Times New Roman" w:cs="Arial"/>
          <w:i/>
        </w:rPr>
        <w:t>Varieties of Capitalism: The Institutional Foundations of Comparative Advantage</w:t>
      </w:r>
      <w:r w:rsidRPr="00B4057C">
        <w:rPr>
          <w:rFonts w:eastAsia="Times New Roman" w:cs="Arial"/>
        </w:rPr>
        <w:t>. Oxford University Press, Oxford</w:t>
      </w:r>
    </w:p>
    <w:p w14:paraId="2BAF7F1F" w14:textId="77777777" w:rsidR="0023707F" w:rsidRPr="00B4057C" w:rsidRDefault="0023707F" w:rsidP="0023707F">
      <w:pPr>
        <w:tabs>
          <w:tab w:val="left" w:pos="540"/>
          <w:tab w:val="left" w:pos="630"/>
        </w:tabs>
        <w:ind w:right="29"/>
        <w:jc w:val="both"/>
        <w:rPr>
          <w:lang w:bidi="gu-IN"/>
        </w:rPr>
      </w:pPr>
    </w:p>
    <w:p w14:paraId="06AC8183" w14:textId="77777777" w:rsidR="006649E5" w:rsidRDefault="006649E5" w:rsidP="0023707F">
      <w:pPr>
        <w:jc w:val="both"/>
        <w:rPr>
          <w:rFonts w:eastAsia="Cambria"/>
          <w:lang w:val="en-US"/>
        </w:rPr>
      </w:pPr>
      <w:proofErr w:type="spellStart"/>
      <w:r>
        <w:rPr>
          <w:rFonts w:eastAsia="Cambria"/>
          <w:lang w:val="en-US"/>
        </w:rPr>
        <w:t>Halton</w:t>
      </w:r>
      <w:proofErr w:type="spellEnd"/>
      <w:r>
        <w:rPr>
          <w:rFonts w:eastAsia="Cambria"/>
          <w:lang w:val="en-US"/>
        </w:rPr>
        <w:t xml:space="preserve">, R. (2013) “Why was Canada exempt from the Financial Crisis?”  </w:t>
      </w:r>
      <w:r w:rsidRPr="006649E5">
        <w:rPr>
          <w:rFonts w:eastAsia="Cambria"/>
          <w:i/>
          <w:lang w:val="en-US"/>
        </w:rPr>
        <w:t>Econ Focus</w:t>
      </w:r>
      <w:r>
        <w:rPr>
          <w:rFonts w:eastAsia="Cambria"/>
          <w:lang w:val="en-US"/>
        </w:rPr>
        <w:t xml:space="preserve"> (fourth quarter), The Federal Reserve of Richmond: 22-25. </w:t>
      </w:r>
      <w:hyperlink r:id="rId19" w:history="1">
        <w:r w:rsidRPr="00103547">
          <w:rPr>
            <w:rStyle w:val="Hyperlink"/>
            <w:rFonts w:eastAsia="Cambria"/>
            <w:lang w:val="en-US"/>
          </w:rPr>
          <w:t>https://www.richmondfed.org/publications/research/econ_focus/2013/q4/pdf/feature2.pdf</w:t>
        </w:r>
      </w:hyperlink>
      <w:r>
        <w:rPr>
          <w:rFonts w:eastAsia="Cambria"/>
          <w:lang w:val="en-US"/>
        </w:rPr>
        <w:t xml:space="preserve">   </w:t>
      </w:r>
    </w:p>
    <w:p w14:paraId="620F7F49" w14:textId="77777777" w:rsidR="00BF4744" w:rsidRDefault="00BF4744" w:rsidP="0023707F">
      <w:pPr>
        <w:jc w:val="both"/>
        <w:rPr>
          <w:rFonts w:eastAsia="Cambria"/>
          <w:lang w:val="en-US"/>
        </w:rPr>
      </w:pPr>
    </w:p>
    <w:p w14:paraId="0792FAD9" w14:textId="0874EE6F" w:rsidR="00BF4744" w:rsidRPr="004D72E6" w:rsidRDefault="00BF4744" w:rsidP="0023707F">
      <w:pPr>
        <w:jc w:val="both"/>
        <w:rPr>
          <w:rFonts w:asciiTheme="majorHAnsi" w:eastAsia="Cambria" w:hAnsiTheme="majorHAnsi"/>
          <w:lang w:val="en-US"/>
        </w:rPr>
      </w:pPr>
      <w:r w:rsidRPr="004D72E6">
        <w:rPr>
          <w:rFonts w:asciiTheme="majorHAnsi" w:eastAsiaTheme="minorHAnsi" w:hAnsiTheme="majorHAnsi" w:cs="Arial"/>
          <w:lang w:val="en-US"/>
        </w:rPr>
        <w:t xml:space="preserve">Hay, C. (2009), </w:t>
      </w:r>
      <w:r w:rsidR="00A412EE">
        <w:rPr>
          <w:rFonts w:asciiTheme="majorHAnsi" w:eastAsiaTheme="minorHAnsi" w:hAnsiTheme="majorHAnsi" w:cs="Arial"/>
          <w:lang w:val="en-US"/>
        </w:rPr>
        <w:t>“</w:t>
      </w:r>
      <w:r w:rsidRPr="004D72E6">
        <w:rPr>
          <w:rFonts w:asciiTheme="majorHAnsi" w:eastAsiaTheme="minorHAnsi" w:hAnsiTheme="majorHAnsi" w:cs="Arial"/>
          <w:lang w:val="en-US"/>
        </w:rPr>
        <w:t>Good Inflation, Bad Inflation: The Housing Boom, Economic Growth and the Disaggregation of Inflationary Preferences in the UK and Ireland</w:t>
      </w:r>
      <w:r w:rsidR="00A412EE">
        <w:rPr>
          <w:rFonts w:asciiTheme="majorHAnsi" w:eastAsiaTheme="minorHAnsi" w:hAnsiTheme="majorHAnsi" w:cs="Arial"/>
          <w:lang w:val="en-US"/>
        </w:rPr>
        <w:t>”</w:t>
      </w:r>
      <w:r w:rsidRPr="004D72E6">
        <w:rPr>
          <w:rFonts w:asciiTheme="majorHAnsi" w:eastAsiaTheme="minorHAnsi" w:hAnsiTheme="majorHAnsi" w:cs="Arial"/>
          <w:lang w:val="en-US"/>
        </w:rPr>
        <w:t xml:space="preserve">. </w:t>
      </w:r>
      <w:proofErr w:type="gramStart"/>
      <w:r w:rsidRPr="00A412EE">
        <w:rPr>
          <w:rFonts w:asciiTheme="majorHAnsi" w:eastAsiaTheme="minorHAnsi" w:hAnsiTheme="majorHAnsi" w:cs="Arial"/>
          <w:i/>
          <w:lang w:val="en-US"/>
        </w:rPr>
        <w:t>The British Journal of Politics &amp; International Relations</w:t>
      </w:r>
      <w:r w:rsidR="00A412EE">
        <w:rPr>
          <w:rFonts w:asciiTheme="majorHAnsi" w:eastAsiaTheme="minorHAnsi" w:hAnsiTheme="majorHAnsi" w:cs="Arial"/>
          <w:lang w:val="en-US"/>
        </w:rPr>
        <w:t>.</w:t>
      </w:r>
      <w:proofErr w:type="gramEnd"/>
      <w:r w:rsidRPr="004D72E6">
        <w:rPr>
          <w:rFonts w:asciiTheme="majorHAnsi" w:eastAsiaTheme="minorHAnsi" w:hAnsiTheme="majorHAnsi" w:cs="Arial"/>
          <w:lang w:val="en-US"/>
        </w:rPr>
        <w:t xml:space="preserve"> 11: 461–478.</w:t>
      </w:r>
    </w:p>
    <w:p w14:paraId="22F12960" w14:textId="77777777" w:rsidR="006649E5" w:rsidRDefault="006649E5" w:rsidP="0023707F">
      <w:pPr>
        <w:jc w:val="both"/>
        <w:rPr>
          <w:rFonts w:eastAsia="Cambria"/>
          <w:lang w:val="en-US"/>
        </w:rPr>
      </w:pPr>
    </w:p>
    <w:p w14:paraId="18CD16DA" w14:textId="77777777" w:rsidR="0023707F" w:rsidRPr="00B4057C" w:rsidRDefault="0023707F" w:rsidP="0023707F">
      <w:pPr>
        <w:jc w:val="both"/>
        <w:rPr>
          <w:lang w:val="en-US"/>
        </w:rPr>
      </w:pPr>
      <w:r w:rsidRPr="002F1920">
        <w:rPr>
          <w:rFonts w:eastAsia="Cambria"/>
          <w:lang w:val="en-US"/>
        </w:rPr>
        <w:t xml:space="preserve">Hancké, B, </w:t>
      </w:r>
      <w:r w:rsidRPr="00B4057C">
        <w:t>(</w:t>
      </w:r>
      <w:r w:rsidRPr="002F1920">
        <w:rPr>
          <w:rFonts w:eastAsia="Cambria"/>
          <w:lang w:val="en-US"/>
        </w:rPr>
        <w:t>2002</w:t>
      </w:r>
      <w:r w:rsidRPr="00B4057C">
        <w:t>)</w:t>
      </w:r>
      <w:r w:rsidRPr="002F1920">
        <w:rPr>
          <w:rFonts w:eastAsia="Cambria"/>
          <w:lang w:val="en-US"/>
        </w:rPr>
        <w:t xml:space="preserve"> </w:t>
      </w:r>
      <w:proofErr w:type="gramStart"/>
      <w:r w:rsidRPr="00B4057C">
        <w:rPr>
          <w:bCs/>
          <w:i/>
        </w:rPr>
        <w:t>Large</w:t>
      </w:r>
      <w:proofErr w:type="gramEnd"/>
      <w:r w:rsidRPr="00B4057C">
        <w:rPr>
          <w:bCs/>
          <w:i/>
        </w:rPr>
        <w:t xml:space="preserve"> firms and institutional change: Industrial renewal and economic restructuring in France</w:t>
      </w:r>
      <w:r w:rsidRPr="00B4057C">
        <w:rPr>
          <w:lang w:val="en-US"/>
        </w:rPr>
        <w:t xml:space="preserve">, Oxford University Press, Oxford. </w:t>
      </w:r>
    </w:p>
    <w:p w14:paraId="0EF26DE8" w14:textId="77777777" w:rsidR="0023707F" w:rsidRPr="00B4057C" w:rsidRDefault="0023707F" w:rsidP="0023707F">
      <w:pPr>
        <w:jc w:val="both"/>
        <w:rPr>
          <w:lang w:val="en-US"/>
        </w:rPr>
      </w:pPr>
    </w:p>
    <w:p w14:paraId="056F266A" w14:textId="77777777" w:rsidR="0023707F" w:rsidRPr="00B4057C" w:rsidRDefault="0023707F" w:rsidP="0023707F">
      <w:pPr>
        <w:jc w:val="both"/>
      </w:pPr>
      <w:r w:rsidRPr="00B4057C">
        <w:t xml:space="preserve">Helleiner, E. (2011). “Understanding the 2007-2008 global financial </w:t>
      </w:r>
      <w:proofErr w:type="gramStart"/>
      <w:r w:rsidRPr="00B4057C">
        <w:t>crisis</w:t>
      </w:r>
      <w:proofErr w:type="gramEnd"/>
      <w:r w:rsidRPr="00B4057C">
        <w:t>: Lessons for scholars of international political economy”</w:t>
      </w:r>
      <w:r>
        <w:t>,</w:t>
      </w:r>
      <w:r w:rsidRPr="00B4057C">
        <w:t xml:space="preserve"> </w:t>
      </w:r>
      <w:r w:rsidRPr="00B4057C">
        <w:rPr>
          <w:i/>
          <w:iCs/>
        </w:rPr>
        <w:t>Annual Review of Political Science</w:t>
      </w:r>
      <w:r w:rsidRPr="00B4057C">
        <w:t xml:space="preserve">, </w:t>
      </w:r>
      <w:r>
        <w:t>(</w:t>
      </w:r>
      <w:r w:rsidRPr="00B4057C">
        <w:rPr>
          <w:i/>
          <w:iCs/>
        </w:rPr>
        <w:t>14</w:t>
      </w:r>
      <w:r>
        <w:t>):</w:t>
      </w:r>
      <w:r w:rsidRPr="00B4057C">
        <w:t>67-87.</w:t>
      </w:r>
    </w:p>
    <w:p w14:paraId="14216EC7" w14:textId="77777777" w:rsidR="0023707F" w:rsidRPr="00B4057C" w:rsidRDefault="0023707F" w:rsidP="0023707F">
      <w:pPr>
        <w:tabs>
          <w:tab w:val="left" w:pos="540"/>
          <w:tab w:val="left" w:pos="630"/>
        </w:tabs>
        <w:ind w:right="29"/>
        <w:jc w:val="both"/>
        <w:rPr>
          <w:lang w:bidi="gu-IN"/>
        </w:rPr>
      </w:pPr>
    </w:p>
    <w:p w14:paraId="61A37998" w14:textId="77777777" w:rsidR="006649E5" w:rsidRDefault="006649E5" w:rsidP="0023707F">
      <w:pPr>
        <w:tabs>
          <w:tab w:val="left" w:pos="540"/>
          <w:tab w:val="left" w:pos="630"/>
        </w:tabs>
        <w:ind w:right="29"/>
        <w:jc w:val="both"/>
      </w:pPr>
      <w:r>
        <w:t>Hill, J. (2012) “Why Did Australia Fare So Well in the Global Financial Crisis?</w:t>
      </w:r>
      <w:proofErr w:type="gramStart"/>
      <w:r>
        <w:t>”,</w:t>
      </w:r>
      <w:proofErr w:type="gramEnd"/>
      <w:r>
        <w:t xml:space="preserve"> in </w:t>
      </w:r>
      <w:proofErr w:type="spellStart"/>
      <w:r>
        <w:t>Ferran</w:t>
      </w:r>
      <w:proofErr w:type="spellEnd"/>
      <w:r>
        <w:t xml:space="preserve">, </w:t>
      </w:r>
      <w:proofErr w:type="spellStart"/>
      <w:r>
        <w:t>Moloney</w:t>
      </w:r>
      <w:proofErr w:type="spellEnd"/>
      <w:r>
        <w:t xml:space="preserve">, Hill and Coffee eds. </w:t>
      </w:r>
      <w:proofErr w:type="gramStart"/>
      <w:r w:rsidRPr="006649E5">
        <w:rPr>
          <w:i/>
        </w:rPr>
        <w:t>The Regulatory Aftermath of the Global Financial Crisis</w:t>
      </w:r>
      <w:r>
        <w:t>.</w:t>
      </w:r>
      <w:proofErr w:type="gramEnd"/>
      <w:r>
        <w:t xml:space="preserve"> Cambridge University Press: </w:t>
      </w:r>
      <w:proofErr w:type="spellStart"/>
      <w:r>
        <w:t>pg</w:t>
      </w:r>
      <w:proofErr w:type="spellEnd"/>
      <w:r>
        <w:t xml:space="preserve"> 203-300</w:t>
      </w:r>
    </w:p>
    <w:p w14:paraId="577CA9FD" w14:textId="77777777" w:rsidR="006649E5" w:rsidRDefault="006649E5" w:rsidP="0023707F">
      <w:pPr>
        <w:tabs>
          <w:tab w:val="left" w:pos="540"/>
          <w:tab w:val="left" w:pos="630"/>
        </w:tabs>
        <w:ind w:right="29"/>
        <w:jc w:val="both"/>
      </w:pPr>
    </w:p>
    <w:p w14:paraId="64922CB8" w14:textId="77777777" w:rsidR="0023707F" w:rsidRPr="00B4057C" w:rsidRDefault="0023707F" w:rsidP="0023707F">
      <w:pPr>
        <w:tabs>
          <w:tab w:val="left" w:pos="540"/>
          <w:tab w:val="left" w:pos="630"/>
        </w:tabs>
        <w:ind w:right="29"/>
        <w:jc w:val="both"/>
      </w:pPr>
      <w:proofErr w:type="gramStart"/>
      <w:r w:rsidRPr="00B4057C">
        <w:t>Iversen, T., &amp; Soskice, D. (2010).</w:t>
      </w:r>
      <w:proofErr w:type="gramEnd"/>
      <w:r w:rsidRPr="00B4057C">
        <w:t xml:space="preserve"> “Real exchange rates and competitiveness: the political economy of skill formation, wage compression, and electoral systems”, </w:t>
      </w:r>
      <w:r w:rsidRPr="00B4057C">
        <w:rPr>
          <w:i/>
          <w:iCs/>
        </w:rPr>
        <w:t>American Political Science Review</w:t>
      </w:r>
      <w:r w:rsidRPr="00B4057C">
        <w:t xml:space="preserve">, </w:t>
      </w:r>
      <w:r w:rsidRPr="00B4057C">
        <w:rPr>
          <w:i/>
          <w:iCs/>
        </w:rPr>
        <w:t>104</w:t>
      </w:r>
      <w:r w:rsidRPr="00B4057C">
        <w:t>(03), 601-623.</w:t>
      </w:r>
    </w:p>
    <w:p w14:paraId="56CA7891" w14:textId="77777777" w:rsidR="0023707F" w:rsidRPr="00B4057C" w:rsidRDefault="0023707F" w:rsidP="0023707F">
      <w:pPr>
        <w:tabs>
          <w:tab w:val="left" w:pos="540"/>
          <w:tab w:val="left" w:pos="630"/>
        </w:tabs>
        <w:ind w:right="29"/>
        <w:jc w:val="both"/>
        <w:rPr>
          <w:lang w:bidi="gu-IN"/>
        </w:rPr>
      </w:pPr>
    </w:p>
    <w:p w14:paraId="308037D5" w14:textId="77777777" w:rsidR="0023707F" w:rsidRPr="00B4057C" w:rsidRDefault="0023707F" w:rsidP="0023707F">
      <w:pPr>
        <w:tabs>
          <w:tab w:val="left" w:pos="540"/>
          <w:tab w:val="left" w:pos="630"/>
        </w:tabs>
        <w:ind w:right="29"/>
        <w:jc w:val="both"/>
        <w:rPr>
          <w:lang w:bidi="gu-IN"/>
        </w:rPr>
      </w:pPr>
      <w:r w:rsidRPr="00B4057C">
        <w:rPr>
          <w:lang w:bidi="gu-IN"/>
        </w:rPr>
        <w:t>Johnston, A. (2012) "</w:t>
      </w:r>
      <w:r w:rsidRPr="00B4057C">
        <w:t>European Economic and Monetary Union's Perverse Effects on Sectoral Wage Inflation: Negative Feedback Effects from Institutional Change?</w:t>
      </w:r>
      <w:r w:rsidRPr="00B4057C">
        <w:rPr>
          <w:lang w:bidi="gu-IN"/>
        </w:rPr>
        <w:t xml:space="preserve">" </w:t>
      </w:r>
      <w:proofErr w:type="gramStart"/>
      <w:r w:rsidRPr="00B4057C">
        <w:rPr>
          <w:i/>
          <w:lang w:bidi="gu-IN"/>
        </w:rPr>
        <w:t>European Union Politics.</w:t>
      </w:r>
      <w:proofErr w:type="gramEnd"/>
      <w:r w:rsidRPr="00B4057C">
        <w:rPr>
          <w:lang w:bidi="gu-IN"/>
        </w:rPr>
        <w:t xml:space="preserve"> 13(3): 345-366</w:t>
      </w:r>
    </w:p>
    <w:p w14:paraId="41EAA219" w14:textId="77777777" w:rsidR="0023707F" w:rsidRPr="00B4057C" w:rsidRDefault="0023707F" w:rsidP="0023707F">
      <w:pPr>
        <w:jc w:val="both"/>
        <w:rPr>
          <w:rFonts w:eastAsia="Times New Roman"/>
        </w:rPr>
      </w:pPr>
    </w:p>
    <w:p w14:paraId="61596A01" w14:textId="77777777" w:rsidR="0023707F" w:rsidRPr="00B4057C" w:rsidRDefault="0023707F" w:rsidP="0023707F">
      <w:pPr>
        <w:jc w:val="both"/>
        <w:rPr>
          <w:rFonts w:eastAsia="Times New Roman" w:cs="Arial"/>
        </w:rPr>
      </w:pPr>
      <w:r w:rsidRPr="00B4057C">
        <w:rPr>
          <w:rFonts w:eastAsia="Times New Roman" w:cs="Arial"/>
        </w:rPr>
        <w:t>Johnston, A., Hancké, B., and Pant, S. (201</w:t>
      </w:r>
      <w:r w:rsidR="006649E5">
        <w:rPr>
          <w:rFonts w:eastAsia="Times New Roman" w:cs="Arial"/>
        </w:rPr>
        <w:t>4</w:t>
      </w:r>
      <w:r w:rsidRPr="00B4057C">
        <w:rPr>
          <w:rFonts w:eastAsia="Times New Roman" w:cs="Arial"/>
        </w:rPr>
        <w:t xml:space="preserve">). “Comparative Institutional Advantage in Europe’s Sovereign Debt Crisis”. </w:t>
      </w:r>
      <w:proofErr w:type="gramStart"/>
      <w:r w:rsidRPr="00B4057C">
        <w:rPr>
          <w:rFonts w:eastAsia="Times New Roman" w:cs="Arial"/>
          <w:i/>
        </w:rPr>
        <w:t>Comparative Political Studies</w:t>
      </w:r>
      <w:r w:rsidRPr="00B4057C">
        <w:rPr>
          <w:rFonts w:eastAsia="Times New Roman" w:cs="Arial"/>
        </w:rPr>
        <w:t>.</w:t>
      </w:r>
      <w:proofErr w:type="gramEnd"/>
      <w:r w:rsidRPr="00B4057C">
        <w:rPr>
          <w:rFonts w:eastAsia="Times New Roman" w:cs="Arial"/>
        </w:rPr>
        <w:t xml:space="preserve"> 47(13): 1771-1800</w:t>
      </w:r>
    </w:p>
    <w:p w14:paraId="3E4488CC" w14:textId="77777777" w:rsidR="0023707F" w:rsidRPr="00B4057C" w:rsidRDefault="0023707F" w:rsidP="0023707F">
      <w:pPr>
        <w:jc w:val="both"/>
        <w:rPr>
          <w:rFonts w:eastAsia="Times New Roman"/>
        </w:rPr>
      </w:pPr>
    </w:p>
    <w:p w14:paraId="6640CB2E" w14:textId="77777777" w:rsidR="0023707F" w:rsidRPr="00B4057C" w:rsidRDefault="0023707F" w:rsidP="0023707F">
      <w:pPr>
        <w:jc w:val="both"/>
        <w:rPr>
          <w:rFonts w:eastAsia="Times New Roman"/>
        </w:rPr>
      </w:pPr>
      <w:r w:rsidRPr="00B4057C">
        <w:rPr>
          <w:rFonts w:eastAsia="Times New Roman"/>
        </w:rPr>
        <w:t xml:space="preserve">Johnston, A., and Regan, A. (2014) “European Integration and the Incompatibility of Different Varieties of Capitalism: Problems with Institutional Divergence in a Monetary Union” MPIfG </w:t>
      </w:r>
      <w:proofErr w:type="gramStart"/>
      <w:r w:rsidRPr="00B4057C">
        <w:rPr>
          <w:rFonts w:eastAsia="Times New Roman"/>
        </w:rPr>
        <w:t>Discussion  Paper</w:t>
      </w:r>
      <w:proofErr w:type="gramEnd"/>
      <w:r w:rsidRPr="00B4057C">
        <w:rPr>
          <w:rFonts w:eastAsia="Times New Roman"/>
        </w:rPr>
        <w:t xml:space="preserve">. Cologne: Max Planck Institute for the Study of Societies. </w:t>
      </w:r>
      <w:hyperlink r:id="rId20" w:history="1">
        <w:r w:rsidRPr="00B4057C">
          <w:rPr>
            <w:rStyle w:val="Hyperlink"/>
            <w:rFonts w:eastAsia="Times New Roman"/>
          </w:rPr>
          <w:t>http://www.mpifg.de/pu/mpifg_dp/dp14-15.pdf</w:t>
        </w:r>
      </w:hyperlink>
      <w:r w:rsidRPr="00B4057C">
        <w:rPr>
          <w:rFonts w:eastAsia="Times New Roman"/>
        </w:rPr>
        <w:t xml:space="preserve">  </w:t>
      </w:r>
    </w:p>
    <w:p w14:paraId="5EBF9214" w14:textId="77777777" w:rsidR="0023707F" w:rsidRPr="00B4057C" w:rsidRDefault="0023707F" w:rsidP="0023707F">
      <w:pPr>
        <w:jc w:val="both"/>
      </w:pPr>
    </w:p>
    <w:p w14:paraId="7653F875" w14:textId="77777777" w:rsidR="0023707F" w:rsidRPr="00B4057C" w:rsidRDefault="0023707F" w:rsidP="0023707F">
      <w:pPr>
        <w:jc w:val="both"/>
      </w:pPr>
      <w:r w:rsidRPr="00B4057C">
        <w:t>Jones, E. (2014) “Forgotten Financial Union”, Conference paper presented at the 21st Conference of Europeanists, Washington DC, March 14-16, 2014.</w:t>
      </w:r>
    </w:p>
    <w:p w14:paraId="0E6F8FA0" w14:textId="77777777" w:rsidR="0023707F" w:rsidRPr="00B4057C" w:rsidRDefault="0023707F" w:rsidP="0023707F">
      <w:pPr>
        <w:autoSpaceDE w:val="0"/>
        <w:autoSpaceDN w:val="0"/>
        <w:adjustRightInd w:val="0"/>
        <w:jc w:val="both"/>
        <w:rPr>
          <w:rFonts w:cs="Cambria"/>
        </w:rPr>
      </w:pPr>
    </w:p>
    <w:p w14:paraId="68E5AEFC" w14:textId="77777777" w:rsidR="0023707F" w:rsidRPr="00B4057C" w:rsidRDefault="0023707F" w:rsidP="0023707F">
      <w:pPr>
        <w:autoSpaceDE w:val="0"/>
        <w:autoSpaceDN w:val="0"/>
        <w:adjustRightInd w:val="0"/>
        <w:jc w:val="both"/>
      </w:pPr>
      <w:proofErr w:type="spellStart"/>
      <w:r w:rsidRPr="00B4057C">
        <w:t>Karcher</w:t>
      </w:r>
      <w:proofErr w:type="spellEnd"/>
      <w:r w:rsidRPr="00B4057C">
        <w:t xml:space="preserve">, Sebastian and David A. Steinberg (2012) “Assessing the Causes of Capital Account Liberalization: How Measurement Matters”, </w:t>
      </w:r>
      <w:r w:rsidRPr="00B4057C">
        <w:rPr>
          <w:i/>
        </w:rPr>
        <w:t>International Studies Quarterly</w:t>
      </w:r>
      <w:r w:rsidRPr="00B4057C">
        <w:t>.  57(1): 128-137.</w:t>
      </w:r>
    </w:p>
    <w:p w14:paraId="4E76ECC9" w14:textId="77777777" w:rsidR="0023707F" w:rsidRPr="00B4057C" w:rsidRDefault="0023707F" w:rsidP="0023707F">
      <w:pPr>
        <w:autoSpaceDE w:val="0"/>
        <w:autoSpaceDN w:val="0"/>
        <w:adjustRightInd w:val="0"/>
        <w:jc w:val="both"/>
      </w:pPr>
    </w:p>
    <w:p w14:paraId="4366C2CC" w14:textId="77777777" w:rsidR="0023707F" w:rsidRPr="00B4057C" w:rsidRDefault="0023707F" w:rsidP="0023707F">
      <w:pPr>
        <w:autoSpaceDE w:val="0"/>
        <w:autoSpaceDN w:val="0"/>
        <w:adjustRightInd w:val="0"/>
        <w:jc w:val="both"/>
        <w:rPr>
          <w:rFonts w:cs="Arial"/>
          <w:lang w:val="en-US"/>
        </w:rPr>
      </w:pPr>
      <w:proofErr w:type="gramStart"/>
      <w:r w:rsidRPr="00B4057C">
        <w:rPr>
          <w:rFonts w:cs="Arial"/>
          <w:lang w:val="en-US"/>
        </w:rPr>
        <w:t>Kelly, E., McGuinness, S., &amp; O'Connell, P. (2008).</w:t>
      </w:r>
      <w:proofErr w:type="gramEnd"/>
      <w:r w:rsidRPr="00B4057C">
        <w:rPr>
          <w:rFonts w:cs="Arial"/>
          <w:lang w:val="en-US"/>
        </w:rPr>
        <w:t xml:space="preserve"> </w:t>
      </w:r>
      <w:r w:rsidRPr="00B4057C">
        <w:rPr>
          <w:rFonts w:cs="Arial"/>
          <w:i/>
          <w:iCs/>
          <w:lang w:val="en-US"/>
        </w:rPr>
        <w:t>Benchmarking, social partnership and higher remuneration: Wage settling institutions and the public-private sector wage gap in Ireland</w:t>
      </w:r>
      <w:r w:rsidRPr="00B4057C">
        <w:rPr>
          <w:rFonts w:cs="Arial"/>
          <w:lang w:val="en-US"/>
        </w:rPr>
        <w:t xml:space="preserve"> (No. 270). </w:t>
      </w:r>
      <w:proofErr w:type="gramStart"/>
      <w:r w:rsidRPr="00B4057C">
        <w:rPr>
          <w:rFonts w:cs="Arial"/>
          <w:lang w:val="en-US"/>
        </w:rPr>
        <w:t>ESRI working paper.</w:t>
      </w:r>
      <w:proofErr w:type="gramEnd"/>
    </w:p>
    <w:p w14:paraId="584BD58A" w14:textId="77777777" w:rsidR="0023707F" w:rsidRPr="00B4057C" w:rsidRDefault="0023707F" w:rsidP="0023707F">
      <w:pPr>
        <w:autoSpaceDE w:val="0"/>
        <w:autoSpaceDN w:val="0"/>
        <w:adjustRightInd w:val="0"/>
        <w:jc w:val="both"/>
        <w:rPr>
          <w:highlight w:val="yellow"/>
        </w:rPr>
      </w:pPr>
    </w:p>
    <w:p w14:paraId="704BE945" w14:textId="77777777" w:rsidR="0023707F" w:rsidRPr="00B4057C" w:rsidRDefault="0023707F" w:rsidP="0023707F">
      <w:pPr>
        <w:autoSpaceDE w:val="0"/>
        <w:autoSpaceDN w:val="0"/>
        <w:adjustRightInd w:val="0"/>
        <w:jc w:val="both"/>
        <w:rPr>
          <w:rFonts w:cs="Arial"/>
          <w:lang w:val="en-US"/>
        </w:rPr>
      </w:pPr>
      <w:r w:rsidRPr="00B4057C">
        <w:rPr>
          <w:rFonts w:cs="Arial"/>
          <w:lang w:val="en-US"/>
        </w:rPr>
        <w:t xml:space="preserve">Kelly, M. (2009). </w:t>
      </w:r>
      <w:r w:rsidRPr="00B4057C">
        <w:rPr>
          <w:rFonts w:cs="Arial"/>
          <w:i/>
          <w:iCs/>
          <w:lang w:val="en-US"/>
        </w:rPr>
        <w:t>The Irish credit bubble</w:t>
      </w:r>
      <w:r w:rsidRPr="00B4057C">
        <w:rPr>
          <w:rFonts w:cs="Arial"/>
          <w:lang w:val="en-US"/>
        </w:rPr>
        <w:t xml:space="preserve">. </w:t>
      </w:r>
      <w:proofErr w:type="gramStart"/>
      <w:r w:rsidRPr="00B4057C">
        <w:rPr>
          <w:rFonts w:cs="Arial"/>
          <w:lang w:val="en-US"/>
        </w:rPr>
        <w:t>University College Dublin, School of Economics.</w:t>
      </w:r>
      <w:proofErr w:type="gramEnd"/>
    </w:p>
    <w:p w14:paraId="2B40E99D" w14:textId="77777777" w:rsidR="0023707F" w:rsidRPr="00B4057C" w:rsidRDefault="0023707F" w:rsidP="0023707F">
      <w:pPr>
        <w:autoSpaceDE w:val="0"/>
        <w:autoSpaceDN w:val="0"/>
        <w:adjustRightInd w:val="0"/>
        <w:jc w:val="both"/>
      </w:pPr>
    </w:p>
    <w:p w14:paraId="744EF516" w14:textId="77777777" w:rsidR="0023707F" w:rsidRPr="00B4057C" w:rsidRDefault="0023707F" w:rsidP="0023707F">
      <w:pPr>
        <w:autoSpaceDE w:val="0"/>
        <w:autoSpaceDN w:val="0"/>
        <w:adjustRightInd w:val="0"/>
        <w:jc w:val="both"/>
      </w:pPr>
      <w:r>
        <w:t>Kindleberger, C. (2008)</w:t>
      </w:r>
      <w:r w:rsidRPr="00B4057C">
        <w:t xml:space="preserve"> "Bubbles in history." </w:t>
      </w:r>
      <w:r w:rsidRPr="00B4057C">
        <w:rPr>
          <w:i/>
          <w:iCs/>
        </w:rPr>
        <w:t>The New Palgrave Dictionary of Economics</w:t>
      </w:r>
      <w:r w:rsidRPr="00B4057C">
        <w:t>: 583-584.</w:t>
      </w:r>
    </w:p>
    <w:p w14:paraId="141D5105" w14:textId="77777777" w:rsidR="0023707F" w:rsidRPr="00B4057C" w:rsidRDefault="0023707F" w:rsidP="0023707F">
      <w:pPr>
        <w:autoSpaceDE w:val="0"/>
        <w:autoSpaceDN w:val="0"/>
        <w:adjustRightInd w:val="0"/>
        <w:jc w:val="both"/>
        <w:rPr>
          <w:rFonts w:cs="Cambria"/>
        </w:rPr>
      </w:pPr>
    </w:p>
    <w:p w14:paraId="43B9E264" w14:textId="77777777" w:rsidR="0023707F" w:rsidRPr="00B4057C" w:rsidRDefault="0023707F" w:rsidP="0023707F">
      <w:pPr>
        <w:autoSpaceDE w:val="0"/>
        <w:autoSpaceDN w:val="0"/>
        <w:adjustRightInd w:val="0"/>
        <w:jc w:val="both"/>
        <w:rPr>
          <w:rFonts w:cs="Cambria,Italic"/>
          <w:i/>
          <w:iCs/>
        </w:rPr>
      </w:pPr>
      <w:r w:rsidRPr="00B4057C">
        <w:rPr>
          <w:rFonts w:cs="Cambria"/>
        </w:rPr>
        <w:t xml:space="preserve">Kindleberger, C., and Aliber, R. (2011) </w:t>
      </w:r>
      <w:r w:rsidRPr="00B4057C">
        <w:rPr>
          <w:rFonts w:cs="Cambria,Italic"/>
          <w:i/>
          <w:iCs/>
        </w:rPr>
        <w:t>Manias, Panics and Crashes: A History of Financial Crises</w:t>
      </w:r>
      <w:r w:rsidRPr="00B4057C">
        <w:rPr>
          <w:rFonts w:cs="Cambria"/>
        </w:rPr>
        <w:t>, Palgrave Macmillan. Basingstoke, UK.</w:t>
      </w:r>
    </w:p>
    <w:p w14:paraId="4D2EEB4C" w14:textId="77777777" w:rsidR="0023707F" w:rsidRPr="00B4057C" w:rsidRDefault="0023707F" w:rsidP="0023707F">
      <w:pPr>
        <w:autoSpaceDE w:val="0"/>
        <w:autoSpaceDN w:val="0"/>
        <w:adjustRightInd w:val="0"/>
        <w:jc w:val="both"/>
        <w:rPr>
          <w:rFonts w:cs="Cambria"/>
        </w:rPr>
      </w:pPr>
    </w:p>
    <w:p w14:paraId="1C059BB4" w14:textId="77777777" w:rsidR="0023707F" w:rsidRDefault="0023707F" w:rsidP="0023707F">
      <w:pPr>
        <w:autoSpaceDE w:val="0"/>
        <w:autoSpaceDN w:val="0"/>
        <w:adjustRightInd w:val="0"/>
        <w:jc w:val="both"/>
        <w:rPr>
          <w:rFonts w:cs="Cambria,Italic"/>
          <w:i/>
          <w:iCs/>
        </w:rPr>
      </w:pPr>
      <w:proofErr w:type="spellStart"/>
      <w:r w:rsidRPr="00B4057C">
        <w:rPr>
          <w:rFonts w:cs="Cambria"/>
        </w:rPr>
        <w:t>Mian</w:t>
      </w:r>
      <w:proofErr w:type="spellEnd"/>
      <w:r w:rsidRPr="00B4057C">
        <w:rPr>
          <w:rFonts w:cs="Cambria"/>
        </w:rPr>
        <w:t xml:space="preserve">, A. and Sufi, A. (2014) </w:t>
      </w:r>
      <w:r w:rsidRPr="00B4057C">
        <w:rPr>
          <w:rFonts w:cs="Cambria,Italic"/>
          <w:i/>
          <w:iCs/>
        </w:rPr>
        <w:t xml:space="preserve">House of Debt: How They (and You) Caused the Great Recession, and How We Can Prevent it From Happening Again, </w:t>
      </w:r>
      <w:r w:rsidRPr="00B4057C">
        <w:rPr>
          <w:rFonts w:cs="Cambria"/>
        </w:rPr>
        <w:t>The University of</w:t>
      </w:r>
      <w:r w:rsidRPr="00B4057C">
        <w:rPr>
          <w:rFonts w:cs="Cambria,Italic"/>
          <w:i/>
          <w:iCs/>
        </w:rPr>
        <w:t xml:space="preserve"> </w:t>
      </w:r>
      <w:r w:rsidRPr="00B4057C">
        <w:rPr>
          <w:rFonts w:cs="Cambria"/>
        </w:rPr>
        <w:t>Chicago Press. Chicago.</w:t>
      </w:r>
    </w:p>
    <w:p w14:paraId="1E32FABF" w14:textId="77777777" w:rsidR="0023707F" w:rsidRDefault="0023707F" w:rsidP="0023707F">
      <w:pPr>
        <w:jc w:val="both"/>
        <w:rPr>
          <w:rFonts w:cs="Cambria,Italic"/>
          <w:i/>
          <w:iCs/>
        </w:rPr>
      </w:pPr>
    </w:p>
    <w:p w14:paraId="24CA2743" w14:textId="77777777" w:rsidR="0023707F" w:rsidRPr="00B4057C" w:rsidRDefault="0023707F" w:rsidP="0023707F">
      <w:pPr>
        <w:jc w:val="both"/>
      </w:pPr>
      <w:r w:rsidRPr="00B4057C">
        <w:t xml:space="preserve">Mosley, L., and Singer, D. (2009) “The Global Financial Crisis: Lessons and Opportunities for International Political Economy”, </w:t>
      </w:r>
      <w:r w:rsidRPr="00B4057C">
        <w:rPr>
          <w:i/>
        </w:rPr>
        <w:t>International Interactions</w:t>
      </w:r>
      <w:r w:rsidRPr="00B4057C">
        <w:t xml:space="preserve"> 35(4): 420-429</w:t>
      </w:r>
    </w:p>
    <w:p w14:paraId="7A50FFD1" w14:textId="77777777" w:rsidR="0023707F" w:rsidRPr="00B4057C" w:rsidRDefault="0023707F" w:rsidP="0023707F">
      <w:pPr>
        <w:jc w:val="both"/>
      </w:pPr>
    </w:p>
    <w:p w14:paraId="1072E3E6" w14:textId="77777777" w:rsidR="0023707F" w:rsidRPr="00B4057C" w:rsidRDefault="0023707F" w:rsidP="0023707F">
      <w:pPr>
        <w:jc w:val="both"/>
      </w:pPr>
      <w:r w:rsidRPr="00B4057C">
        <w:t xml:space="preserve">OECD (2011) “Housing and the Economy: Policies for Renovation”, in OECD eds. </w:t>
      </w:r>
      <w:r w:rsidRPr="00B4057C">
        <w:rPr>
          <w:i/>
        </w:rPr>
        <w:t>Economic Policy Reforms 2011: Going for Growth</w:t>
      </w:r>
      <w:r w:rsidRPr="00B4057C">
        <w:t>.  Paris, OECD.</w:t>
      </w:r>
    </w:p>
    <w:p w14:paraId="229DA27B" w14:textId="77777777" w:rsidR="0023707F" w:rsidRPr="00B4057C" w:rsidRDefault="0023707F" w:rsidP="0023707F">
      <w:pPr>
        <w:jc w:val="both"/>
      </w:pPr>
    </w:p>
    <w:p w14:paraId="146F1DCE" w14:textId="77777777" w:rsidR="0023707F" w:rsidRPr="00B4057C" w:rsidRDefault="0023707F" w:rsidP="0023707F">
      <w:pPr>
        <w:jc w:val="both"/>
      </w:pPr>
      <w:r w:rsidRPr="00B4057C">
        <w:t>OECD (2012</w:t>
      </w:r>
      <w:r>
        <w:t>a</w:t>
      </w:r>
      <w:r w:rsidRPr="00B4057C">
        <w:t xml:space="preserve">) “Housing Price Indices”, OECD.  Data accessed from </w:t>
      </w:r>
      <w:hyperlink r:id="rId21" w:history="1">
        <w:r w:rsidRPr="00B4057C">
          <w:rPr>
            <w:rStyle w:val="Hyperlink"/>
          </w:rPr>
          <w:t>http://www.google.com/url?sa=t&amp;rct=j&amp;q=&amp;esrc=s&amp;frm=1&amp;source=web&amp;cd=3&amp;ved=0CDoQFjAC&amp;url=http%3A%2F%2Fwww.econ.queensu.ca%2Ffiles%2Fother%2FHouse_Price_indices%2520(OECD).xls&amp;ei=R2JyU8zhFtL4oATr5YDoBg&amp;usg=AFQjCNH3-kLXRE9dAPIlrqiL4X5kbnwq7Q&amp;sig2=d11pmjtXW0iiwSuk0957_A&amp;bvm=bv.66330100,d.cGU</w:t>
        </w:r>
      </w:hyperlink>
      <w:r w:rsidRPr="00B4057C">
        <w:t xml:space="preserve"> </w:t>
      </w:r>
    </w:p>
    <w:p w14:paraId="05D72881" w14:textId="77777777" w:rsidR="0023707F" w:rsidRPr="00B4057C" w:rsidRDefault="0023707F" w:rsidP="0023707F">
      <w:pPr>
        <w:autoSpaceDE w:val="0"/>
        <w:autoSpaceDN w:val="0"/>
        <w:adjustRightInd w:val="0"/>
        <w:jc w:val="both"/>
        <w:rPr>
          <w:rFonts w:cs="Cambria"/>
        </w:rPr>
      </w:pPr>
    </w:p>
    <w:p w14:paraId="2A3986FA" w14:textId="77777777" w:rsidR="0023707F" w:rsidRPr="00B4057C" w:rsidRDefault="0023707F" w:rsidP="0023707F">
      <w:pPr>
        <w:jc w:val="both"/>
      </w:pPr>
      <w:r w:rsidRPr="00B4057C">
        <w:t xml:space="preserve">OECD (2012b) “Household Debt”, OECD </w:t>
      </w:r>
      <w:proofErr w:type="spellStart"/>
      <w:r w:rsidRPr="00B4057C">
        <w:t>Factbook</w:t>
      </w:r>
      <w:proofErr w:type="spellEnd"/>
      <w:r w:rsidRPr="00B4057C">
        <w:t>.</w:t>
      </w:r>
    </w:p>
    <w:p w14:paraId="7BFBDB71" w14:textId="77777777" w:rsidR="0023707F" w:rsidRPr="00B4057C" w:rsidRDefault="0023707F" w:rsidP="0023707F">
      <w:pPr>
        <w:jc w:val="both"/>
        <w:rPr>
          <w:rFonts w:cs="CMR12"/>
          <w:lang w:val="en-US"/>
        </w:rPr>
      </w:pPr>
    </w:p>
    <w:p w14:paraId="081E67DA" w14:textId="77777777" w:rsidR="0023707F" w:rsidRPr="00B4057C" w:rsidRDefault="0023707F" w:rsidP="0023707F">
      <w:pPr>
        <w:jc w:val="both"/>
      </w:pPr>
      <w:proofErr w:type="gramStart"/>
      <w:r w:rsidRPr="00B4057C">
        <w:rPr>
          <w:rFonts w:cs="CMR12"/>
          <w:lang w:val="en-US"/>
        </w:rPr>
        <w:t xml:space="preserve">OECD (2014) </w:t>
      </w:r>
      <w:r w:rsidRPr="00B4057C">
        <w:t>Main Economic Indicators, OECD.</w:t>
      </w:r>
      <w:proofErr w:type="gramEnd"/>
      <w:r w:rsidRPr="00B4057C">
        <w:t xml:space="preserve"> </w:t>
      </w:r>
      <w:hyperlink r:id="rId22" w:history="1">
        <w:r w:rsidRPr="00B4057C">
          <w:rPr>
            <w:rStyle w:val="Hyperlink"/>
          </w:rPr>
          <w:t>http://stats.oecd.org/mei/</w:t>
        </w:r>
      </w:hyperlink>
    </w:p>
    <w:p w14:paraId="1182DBF5" w14:textId="77777777" w:rsidR="0023707F" w:rsidRPr="00B4057C" w:rsidRDefault="0023707F" w:rsidP="0023707F">
      <w:pPr>
        <w:jc w:val="both"/>
      </w:pPr>
    </w:p>
    <w:p w14:paraId="643CFD99" w14:textId="77777777" w:rsidR="0023707F" w:rsidRPr="00B4057C" w:rsidRDefault="0023707F" w:rsidP="0023707F">
      <w:pPr>
        <w:jc w:val="both"/>
      </w:pPr>
      <w:r w:rsidRPr="00B4057C">
        <w:t xml:space="preserve">Ortalo-Magné, F. and Rady, S. (2006) “Housing Market Dynamic: On the contribution of income shocks and credit constraints”, </w:t>
      </w:r>
      <w:r w:rsidRPr="00B4057C">
        <w:rPr>
          <w:i/>
        </w:rPr>
        <w:t>Review of Economic Studies</w:t>
      </w:r>
      <w:r w:rsidRPr="00B4057C">
        <w:t>. 73(2): 459-485.</w:t>
      </w:r>
    </w:p>
    <w:p w14:paraId="12D9CE3F" w14:textId="77777777" w:rsidR="0023707F" w:rsidRPr="00B4057C" w:rsidRDefault="0023707F" w:rsidP="0023707F">
      <w:pPr>
        <w:jc w:val="both"/>
      </w:pPr>
    </w:p>
    <w:p w14:paraId="48C9FD6F" w14:textId="77777777" w:rsidR="0023707F" w:rsidRPr="00B4057C" w:rsidRDefault="0023707F" w:rsidP="0023707F">
      <w:pPr>
        <w:shd w:val="clear" w:color="auto" w:fill="FFFFFF"/>
        <w:tabs>
          <w:tab w:val="left" w:pos="540"/>
          <w:tab w:val="left" w:pos="630"/>
        </w:tabs>
        <w:jc w:val="both"/>
      </w:pPr>
      <w:proofErr w:type="spellStart"/>
      <w:r w:rsidRPr="00B4057C">
        <w:t>Plümper</w:t>
      </w:r>
      <w:proofErr w:type="spellEnd"/>
      <w:r w:rsidRPr="00B4057C">
        <w:t xml:space="preserve">, T., </w:t>
      </w:r>
      <w:proofErr w:type="spellStart"/>
      <w:r w:rsidRPr="00B4057C">
        <w:t>Troeger</w:t>
      </w:r>
      <w:proofErr w:type="spellEnd"/>
      <w:r w:rsidRPr="00B4057C">
        <w:t xml:space="preserve">, V., and </w:t>
      </w:r>
      <w:proofErr w:type="spellStart"/>
      <w:r w:rsidRPr="00B4057C">
        <w:t>Manow</w:t>
      </w:r>
      <w:proofErr w:type="spellEnd"/>
      <w:r w:rsidRPr="00B4057C">
        <w:t xml:space="preserve">, P. (2005) "Panel data analysis in comparative politics: Linking method to theory", </w:t>
      </w:r>
      <w:r w:rsidRPr="00B4057C">
        <w:rPr>
          <w:i/>
          <w:iCs/>
        </w:rPr>
        <w:t>European Journal of Political Research</w:t>
      </w:r>
      <w:r w:rsidRPr="00B4057C">
        <w:t xml:space="preserve">. </w:t>
      </w:r>
      <w:r w:rsidRPr="00B4057C">
        <w:rPr>
          <w:bCs/>
        </w:rPr>
        <w:t>44(2)</w:t>
      </w:r>
      <w:r w:rsidRPr="00B4057C">
        <w:t>: 327-354.</w:t>
      </w:r>
    </w:p>
    <w:p w14:paraId="080C6E29" w14:textId="77777777" w:rsidR="0023707F" w:rsidRPr="00B4057C" w:rsidRDefault="0023707F" w:rsidP="0023707F">
      <w:pPr>
        <w:jc w:val="both"/>
      </w:pPr>
    </w:p>
    <w:p w14:paraId="5FEABE69" w14:textId="77777777" w:rsidR="0023707F" w:rsidRPr="00B4057C" w:rsidRDefault="0023707F" w:rsidP="0023707F">
      <w:pPr>
        <w:shd w:val="clear" w:color="auto" w:fill="FFFFFF"/>
        <w:spacing w:after="45"/>
        <w:jc w:val="both"/>
      </w:pPr>
      <w:proofErr w:type="spellStart"/>
      <w:r w:rsidRPr="00B4057C">
        <w:lastRenderedPageBreak/>
        <w:t>Polillo</w:t>
      </w:r>
      <w:proofErr w:type="spellEnd"/>
      <w:r w:rsidRPr="00B4057C">
        <w:t xml:space="preserve">, S and </w:t>
      </w:r>
      <w:proofErr w:type="spellStart"/>
      <w:r w:rsidRPr="00B4057C">
        <w:t>Guillén</w:t>
      </w:r>
      <w:proofErr w:type="spellEnd"/>
      <w:r w:rsidRPr="00B4057C">
        <w:t xml:space="preserve">, M. “Globalization Pressures and the State: The Global Spread of Central Bank Independence.” </w:t>
      </w:r>
      <w:r w:rsidRPr="00B4057C">
        <w:rPr>
          <w:i/>
          <w:iCs/>
        </w:rPr>
        <w:t>American Journal of Sociology</w:t>
      </w:r>
      <w:r w:rsidRPr="00B4057C">
        <w:t xml:space="preserve"> 110(6):1764-1802.</w:t>
      </w:r>
    </w:p>
    <w:p w14:paraId="4B979FBB" w14:textId="77777777" w:rsidR="0023707F" w:rsidRPr="00B4057C" w:rsidRDefault="0023707F" w:rsidP="0023707F">
      <w:pPr>
        <w:shd w:val="clear" w:color="auto" w:fill="FFFFFF"/>
        <w:spacing w:after="45"/>
        <w:jc w:val="both"/>
      </w:pPr>
    </w:p>
    <w:p w14:paraId="12D79DC1" w14:textId="77777777" w:rsidR="0023707F" w:rsidRPr="00B4057C" w:rsidRDefault="0023707F" w:rsidP="0023707F">
      <w:pPr>
        <w:shd w:val="clear" w:color="auto" w:fill="FFFFFF"/>
        <w:spacing w:after="45"/>
        <w:jc w:val="both"/>
      </w:pPr>
      <w:proofErr w:type="gramStart"/>
      <w:r w:rsidRPr="00B4057C">
        <w:rPr>
          <w:rFonts w:cs="Arial"/>
          <w:lang w:val="en-US"/>
        </w:rPr>
        <w:t>Rajan, R. (2011).</w:t>
      </w:r>
      <w:proofErr w:type="gramEnd"/>
      <w:r w:rsidRPr="00B4057C">
        <w:rPr>
          <w:rFonts w:cs="Arial"/>
          <w:lang w:val="en-US"/>
        </w:rPr>
        <w:t xml:space="preserve"> </w:t>
      </w:r>
      <w:r w:rsidRPr="00B4057C">
        <w:rPr>
          <w:rFonts w:cs="Arial"/>
          <w:i/>
          <w:iCs/>
          <w:lang w:val="en-US"/>
        </w:rPr>
        <w:t>Fault lines: How hidden fractures still threaten the world economy</w:t>
      </w:r>
      <w:r w:rsidRPr="00B4057C">
        <w:rPr>
          <w:rFonts w:cs="Arial"/>
          <w:lang w:val="en-US"/>
        </w:rPr>
        <w:t xml:space="preserve">. </w:t>
      </w:r>
      <w:proofErr w:type="gramStart"/>
      <w:r w:rsidRPr="00B4057C">
        <w:rPr>
          <w:rFonts w:cs="Arial"/>
          <w:lang w:val="en-US"/>
        </w:rPr>
        <w:t>Princeton University Press.</w:t>
      </w:r>
      <w:proofErr w:type="gramEnd"/>
    </w:p>
    <w:p w14:paraId="74CBC043" w14:textId="77777777" w:rsidR="0023707F" w:rsidRPr="00B4057C" w:rsidRDefault="0023707F" w:rsidP="0023707F">
      <w:pPr>
        <w:shd w:val="clear" w:color="auto" w:fill="FFFFFF"/>
        <w:spacing w:after="45"/>
        <w:jc w:val="both"/>
      </w:pPr>
    </w:p>
    <w:p w14:paraId="479BD1A9" w14:textId="77777777" w:rsidR="0023707F" w:rsidRPr="00B4057C" w:rsidRDefault="0023707F" w:rsidP="0023707F">
      <w:pPr>
        <w:shd w:val="clear" w:color="auto" w:fill="FFFFFF"/>
        <w:spacing w:after="45"/>
        <w:jc w:val="both"/>
        <w:rPr>
          <w:i/>
        </w:rPr>
      </w:pPr>
      <w:r w:rsidRPr="00B4057C">
        <w:t xml:space="preserve">Regan, A (2012). The Rise and </w:t>
      </w:r>
      <w:proofErr w:type="gramStart"/>
      <w:r w:rsidRPr="00B4057C">
        <w:t>Fall</w:t>
      </w:r>
      <w:proofErr w:type="gramEnd"/>
      <w:r w:rsidRPr="00B4057C">
        <w:t xml:space="preserve"> of Social Partnership: The Political Economy of Institutional Change in European Varieties of Capitalism. </w:t>
      </w:r>
      <w:proofErr w:type="gramStart"/>
      <w:r w:rsidRPr="00B4057C">
        <w:rPr>
          <w:i/>
        </w:rPr>
        <w:t>Thesis, PhD in Public Policy, University College Dublin (UCD).</w:t>
      </w:r>
      <w:proofErr w:type="gramEnd"/>
      <w:r w:rsidRPr="00B4057C">
        <w:rPr>
          <w:i/>
        </w:rPr>
        <w:t xml:space="preserve"> </w:t>
      </w:r>
    </w:p>
    <w:p w14:paraId="3FC71C08" w14:textId="77777777" w:rsidR="0023707F" w:rsidRPr="00B4057C" w:rsidRDefault="0023707F" w:rsidP="0023707F">
      <w:pPr>
        <w:jc w:val="both"/>
        <w:rPr>
          <w:rFonts w:cs="Helvetica Neue"/>
          <w:color w:val="10131B"/>
          <w:lang w:val="en-US"/>
        </w:rPr>
      </w:pPr>
    </w:p>
    <w:p w14:paraId="548B3E5D" w14:textId="77777777" w:rsidR="0023707F" w:rsidRDefault="0023707F" w:rsidP="0023707F">
      <w:pPr>
        <w:jc w:val="both"/>
      </w:pPr>
      <w:r>
        <w:t xml:space="preserve">Rehm. </w:t>
      </w:r>
      <w:proofErr w:type="gramStart"/>
      <w:r>
        <w:t>P. and Wren, A. (2014) "The end of the consensus?</w:t>
      </w:r>
      <w:proofErr w:type="gramEnd"/>
      <w:r>
        <w:t xml:space="preserve"> Labour market developments and the politics of retrenchment." </w:t>
      </w:r>
      <w:r>
        <w:rPr>
          <w:i/>
          <w:iCs/>
        </w:rPr>
        <w:t>Socio-Economic Review</w:t>
      </w:r>
      <w:r>
        <w:t xml:space="preserve"> 12(2): 409-435.</w:t>
      </w:r>
    </w:p>
    <w:p w14:paraId="7CE45F5B" w14:textId="77777777" w:rsidR="0023707F" w:rsidRDefault="0023707F" w:rsidP="0023707F">
      <w:pPr>
        <w:jc w:val="both"/>
      </w:pPr>
    </w:p>
    <w:p w14:paraId="602B23A3" w14:textId="77777777" w:rsidR="0023707F" w:rsidRPr="00B4057C" w:rsidRDefault="0023707F" w:rsidP="0023707F">
      <w:pPr>
        <w:jc w:val="both"/>
      </w:pPr>
      <w:r w:rsidRPr="00B4057C">
        <w:t xml:space="preserve">Reinhart, C. and Reinhart, V. (2008) “Capital Flow Bonanzas: An Encompassing View of the Past and Present”.  </w:t>
      </w:r>
      <w:r w:rsidRPr="00B4057C">
        <w:rPr>
          <w:i/>
        </w:rPr>
        <w:t>NBER Working Paper</w:t>
      </w:r>
      <w:r w:rsidRPr="00B4057C">
        <w:t xml:space="preserve"> No. 14321. </w:t>
      </w:r>
      <w:hyperlink r:id="rId23" w:history="1">
        <w:r w:rsidRPr="00B4057C">
          <w:rPr>
            <w:rStyle w:val="Hyperlink"/>
          </w:rPr>
          <w:t>http://www.nber.org/papers/w14321</w:t>
        </w:r>
      </w:hyperlink>
    </w:p>
    <w:p w14:paraId="72030E89" w14:textId="77777777" w:rsidR="0023707F" w:rsidRDefault="0023707F" w:rsidP="0023707F">
      <w:pPr>
        <w:autoSpaceDE w:val="0"/>
        <w:autoSpaceDN w:val="0"/>
        <w:adjustRightInd w:val="0"/>
        <w:jc w:val="both"/>
        <w:rPr>
          <w:rFonts w:cs="AdvTimes"/>
          <w:lang w:val="en-US"/>
        </w:rPr>
      </w:pPr>
    </w:p>
    <w:p w14:paraId="7A51944E" w14:textId="77777777" w:rsidR="0023707F" w:rsidRPr="002F1920" w:rsidRDefault="0023707F" w:rsidP="0023707F">
      <w:pPr>
        <w:autoSpaceDE w:val="0"/>
        <w:autoSpaceDN w:val="0"/>
        <w:adjustRightInd w:val="0"/>
        <w:jc w:val="both"/>
        <w:rPr>
          <w:rFonts w:eastAsia="Cambria" w:cs="AdvTimes"/>
        </w:rPr>
      </w:pPr>
      <w:r w:rsidRPr="00B4057C">
        <w:rPr>
          <w:rFonts w:cs="AdvTimes"/>
          <w:lang w:val="en-US"/>
        </w:rPr>
        <w:t>Salverda, W. (2005) ‘The Dutch Model: Magic in a Flat Landscape?</w:t>
      </w:r>
      <w:proofErr w:type="gramStart"/>
      <w:r w:rsidRPr="00B4057C">
        <w:rPr>
          <w:rFonts w:cs="AdvTimes"/>
          <w:lang w:val="en-US"/>
        </w:rPr>
        <w:t>’,</w:t>
      </w:r>
      <w:proofErr w:type="gramEnd"/>
      <w:r w:rsidRPr="00B4057C">
        <w:rPr>
          <w:rFonts w:cs="AdvTimes"/>
          <w:lang w:val="en-US"/>
        </w:rPr>
        <w:t xml:space="preserve"> in U. Becker and H. M. Schwartz (eds.) </w:t>
      </w:r>
      <w:r w:rsidRPr="00B4057C">
        <w:rPr>
          <w:rFonts w:cs="AdvTimes-i"/>
          <w:i/>
          <w:lang w:val="en-US"/>
        </w:rPr>
        <w:t>Employment ‘Miracles’</w:t>
      </w:r>
      <w:r w:rsidRPr="00B4057C">
        <w:rPr>
          <w:rFonts w:cs="AdvTimes"/>
          <w:lang w:val="en-US"/>
        </w:rPr>
        <w:t>, Amsterdam: Amsterdam University Press, pp. 39–64.</w:t>
      </w:r>
    </w:p>
    <w:p w14:paraId="26B35BF7" w14:textId="77777777" w:rsidR="0023707F" w:rsidRPr="00B4057C" w:rsidRDefault="0023707F" w:rsidP="0023707F">
      <w:pPr>
        <w:jc w:val="both"/>
        <w:rPr>
          <w:rFonts w:eastAsia="Times New Roman" w:cs="Arial"/>
        </w:rPr>
      </w:pPr>
    </w:p>
    <w:p w14:paraId="49DBCE4C" w14:textId="77777777" w:rsidR="0023707F" w:rsidRPr="008B0FF1" w:rsidRDefault="0023707F" w:rsidP="0023707F">
      <w:pPr>
        <w:jc w:val="both"/>
      </w:pPr>
      <w:r w:rsidRPr="008B0FF1">
        <w:t xml:space="preserve">Schelkle, W. (2012). “A crisis of what? </w:t>
      </w:r>
      <w:proofErr w:type="gramStart"/>
      <w:r w:rsidRPr="008B0FF1">
        <w:t xml:space="preserve">Mortgage credit markets and the social policy of promoting homeownership in the United States and in Europe”, </w:t>
      </w:r>
      <w:r w:rsidRPr="008B0FF1">
        <w:rPr>
          <w:i/>
          <w:iCs/>
        </w:rPr>
        <w:t>Politics &amp; society</w:t>
      </w:r>
      <w:r w:rsidRPr="008B0FF1">
        <w:t xml:space="preserve">, </w:t>
      </w:r>
      <w:r w:rsidRPr="008B0FF1">
        <w:rPr>
          <w:i/>
          <w:iCs/>
        </w:rPr>
        <w:t>40</w:t>
      </w:r>
      <w:r w:rsidRPr="008B0FF1">
        <w:t>(1), 59-80.</w:t>
      </w:r>
      <w:proofErr w:type="gramEnd"/>
    </w:p>
    <w:p w14:paraId="108622F6" w14:textId="77777777" w:rsidR="0023707F" w:rsidRPr="008B0FF1" w:rsidRDefault="0023707F" w:rsidP="0023707F">
      <w:pPr>
        <w:jc w:val="both"/>
        <w:rPr>
          <w:rFonts w:eastAsia="Times New Roman" w:cs="Arial"/>
        </w:rPr>
      </w:pPr>
    </w:p>
    <w:p w14:paraId="04F7F9AF" w14:textId="77777777" w:rsidR="0023707F" w:rsidRPr="008B0FF1" w:rsidRDefault="0023707F" w:rsidP="0023707F">
      <w:pPr>
        <w:jc w:val="both"/>
        <w:rPr>
          <w:rFonts w:eastAsia="Times New Roman" w:cs="Arial"/>
        </w:rPr>
      </w:pPr>
      <w:r w:rsidRPr="008B0FF1">
        <w:rPr>
          <w:rFonts w:cs="Arial"/>
          <w:lang w:val="en-US"/>
        </w:rPr>
        <w:t xml:space="preserve">Schwartz, H. (2009). Subprime nation. </w:t>
      </w:r>
      <w:proofErr w:type="gramStart"/>
      <w:r w:rsidRPr="008B0FF1">
        <w:rPr>
          <w:rFonts w:cs="Arial"/>
          <w:i/>
          <w:iCs/>
          <w:lang w:val="en-US"/>
        </w:rPr>
        <w:t>Cornell UP, Ithaca, NY</w:t>
      </w:r>
      <w:r w:rsidRPr="008B0FF1">
        <w:rPr>
          <w:rFonts w:cs="Arial"/>
          <w:lang w:val="en-US"/>
        </w:rPr>
        <w:t>.</w:t>
      </w:r>
      <w:proofErr w:type="gramEnd"/>
      <w:r w:rsidRPr="008B0FF1">
        <w:rPr>
          <w:rFonts w:cs="Arial"/>
          <w:lang w:val="en-US"/>
        </w:rPr>
        <w:t xml:space="preserve"> </w:t>
      </w:r>
    </w:p>
    <w:p w14:paraId="38325889" w14:textId="77777777" w:rsidR="0023707F" w:rsidRPr="008B0FF1" w:rsidRDefault="0023707F" w:rsidP="0023707F">
      <w:pPr>
        <w:jc w:val="both"/>
      </w:pPr>
    </w:p>
    <w:p w14:paraId="7E7B4ED1" w14:textId="77777777" w:rsidR="0023707F" w:rsidRPr="008B0FF1" w:rsidRDefault="0023707F" w:rsidP="0023707F">
      <w:pPr>
        <w:jc w:val="both"/>
      </w:pPr>
      <w:r w:rsidRPr="008B0FF1">
        <w:t>Schwartz, H. (2012). “Housing, the Welfare State, and the Global Financial Crisis What is the Connection?”</w:t>
      </w:r>
      <w:proofErr w:type="gramStart"/>
      <w:r w:rsidRPr="008B0FF1">
        <w:t xml:space="preserve">,  </w:t>
      </w:r>
      <w:r w:rsidRPr="008B0FF1">
        <w:rPr>
          <w:i/>
          <w:iCs/>
        </w:rPr>
        <w:t>Politics</w:t>
      </w:r>
      <w:proofErr w:type="gramEnd"/>
      <w:r w:rsidRPr="008B0FF1">
        <w:rPr>
          <w:i/>
          <w:iCs/>
        </w:rPr>
        <w:t xml:space="preserve"> &amp; Society</w:t>
      </w:r>
      <w:r w:rsidRPr="008B0FF1">
        <w:t xml:space="preserve">, </w:t>
      </w:r>
      <w:r w:rsidRPr="008B0FF1">
        <w:rPr>
          <w:i/>
          <w:iCs/>
        </w:rPr>
        <w:t>40</w:t>
      </w:r>
      <w:r w:rsidRPr="008B0FF1">
        <w:t>(1), 35-58.</w:t>
      </w:r>
    </w:p>
    <w:p w14:paraId="5B8B99F7" w14:textId="77777777" w:rsidR="0023707F" w:rsidRPr="008B0FF1" w:rsidRDefault="0023707F" w:rsidP="0023707F">
      <w:pPr>
        <w:jc w:val="both"/>
      </w:pPr>
    </w:p>
    <w:p w14:paraId="159E8441" w14:textId="77777777" w:rsidR="0023707F" w:rsidRPr="008B0FF1" w:rsidRDefault="0023707F" w:rsidP="0023707F">
      <w:pPr>
        <w:jc w:val="both"/>
      </w:pPr>
      <w:r w:rsidRPr="008B0FF1">
        <w:t xml:space="preserve">Schwartz, H. and Seabrooke, L. (2008) “Varieties of Residential Capitalism in the International Political Economy: Old Welfare States and the New Politics of Housing”, </w:t>
      </w:r>
      <w:r w:rsidRPr="008B0FF1">
        <w:rPr>
          <w:i/>
        </w:rPr>
        <w:t>Comparative European Politics</w:t>
      </w:r>
      <w:r w:rsidRPr="008B0FF1">
        <w:t xml:space="preserve">.  6: 237-261.     </w:t>
      </w:r>
    </w:p>
    <w:p w14:paraId="7D447E30" w14:textId="77777777" w:rsidR="0023707F" w:rsidRPr="00B4057C" w:rsidRDefault="0023707F" w:rsidP="0023707F">
      <w:pPr>
        <w:jc w:val="both"/>
      </w:pPr>
    </w:p>
    <w:p w14:paraId="47A9E9B4" w14:textId="77777777" w:rsidR="0023707F" w:rsidRPr="00B4057C" w:rsidRDefault="0023707F" w:rsidP="0023707F">
      <w:pPr>
        <w:jc w:val="both"/>
      </w:pPr>
      <w:r w:rsidRPr="00B4057C">
        <w:t xml:space="preserve">Soskice, D. (1990). "Wage Determination: The Changing Role of Institutions in Advanced Industrialized Countries." </w:t>
      </w:r>
      <w:r w:rsidRPr="00B4057C">
        <w:rPr>
          <w:i/>
          <w:iCs/>
        </w:rPr>
        <w:t>Oxford Review of Economic Policy</w:t>
      </w:r>
      <w:r w:rsidRPr="00B4057C">
        <w:t xml:space="preserve"> 6(4): 36-61.</w:t>
      </w:r>
    </w:p>
    <w:p w14:paraId="5C777861" w14:textId="77777777" w:rsidR="0023707F" w:rsidRPr="00B4057C" w:rsidRDefault="0023707F" w:rsidP="0023707F">
      <w:pPr>
        <w:autoSpaceDE w:val="0"/>
        <w:autoSpaceDN w:val="0"/>
        <w:adjustRightInd w:val="0"/>
        <w:jc w:val="both"/>
        <w:rPr>
          <w:rFonts w:cs="Cambria"/>
        </w:rPr>
      </w:pPr>
    </w:p>
    <w:p w14:paraId="6E5200D8" w14:textId="77777777" w:rsidR="0023707F" w:rsidRPr="00621E96" w:rsidRDefault="0023707F" w:rsidP="0023707F">
      <w:pPr>
        <w:jc w:val="both"/>
        <w:rPr>
          <w:rFonts w:eastAsia="Times New Roman"/>
          <w:lang w:val="en-US"/>
        </w:rPr>
      </w:pPr>
      <w:proofErr w:type="gramStart"/>
      <w:r w:rsidRPr="00621E96">
        <w:rPr>
          <w:rFonts w:eastAsia="Times New Roman"/>
          <w:lang w:val="en-US"/>
        </w:rPr>
        <w:t xml:space="preserve">Stock, J. H., &amp; </w:t>
      </w:r>
      <w:proofErr w:type="spellStart"/>
      <w:r w:rsidRPr="00621E96">
        <w:rPr>
          <w:rFonts w:eastAsia="Times New Roman"/>
          <w:lang w:val="en-US"/>
        </w:rPr>
        <w:t>Yogo</w:t>
      </w:r>
      <w:proofErr w:type="spellEnd"/>
      <w:r w:rsidRPr="00621E96">
        <w:rPr>
          <w:rFonts w:eastAsia="Times New Roman"/>
          <w:lang w:val="en-US"/>
        </w:rPr>
        <w:t>, M. (2005).</w:t>
      </w:r>
      <w:proofErr w:type="gramEnd"/>
      <w:r w:rsidRPr="00621E96">
        <w:rPr>
          <w:rFonts w:eastAsia="Times New Roman"/>
          <w:lang w:val="en-US"/>
        </w:rPr>
        <w:t xml:space="preserve"> </w:t>
      </w:r>
      <w:r>
        <w:rPr>
          <w:rFonts w:eastAsia="Times New Roman"/>
          <w:lang w:val="en-US"/>
        </w:rPr>
        <w:t>“</w:t>
      </w:r>
      <w:r w:rsidRPr="00621E96">
        <w:rPr>
          <w:rFonts w:eastAsia="Times New Roman"/>
          <w:lang w:val="en-US"/>
        </w:rPr>
        <w:t>Testing for weak inst</w:t>
      </w:r>
      <w:r>
        <w:rPr>
          <w:rFonts w:eastAsia="Times New Roman"/>
          <w:lang w:val="en-US"/>
        </w:rPr>
        <w:t>ruments in linear IV regression”</w:t>
      </w:r>
      <w:r w:rsidRPr="00621E96">
        <w:rPr>
          <w:rFonts w:eastAsia="Times New Roman"/>
          <w:lang w:val="en-US"/>
        </w:rPr>
        <w:t xml:space="preserve"> </w:t>
      </w:r>
      <w:r w:rsidRPr="00621E96">
        <w:rPr>
          <w:rFonts w:eastAsia="Times New Roman"/>
          <w:i/>
          <w:iCs/>
          <w:lang w:val="en-US"/>
        </w:rPr>
        <w:t>Identification and inference for econometric models: Essays in honor of Thomas Rothenberg</w:t>
      </w:r>
      <w:r w:rsidRPr="00621E96">
        <w:rPr>
          <w:rFonts w:eastAsia="Times New Roman"/>
          <w:lang w:val="en-US"/>
        </w:rPr>
        <w:t xml:space="preserve">, </w:t>
      </w:r>
      <w:r w:rsidRPr="00621E96">
        <w:rPr>
          <w:rFonts w:eastAsia="Times New Roman"/>
          <w:i/>
          <w:iCs/>
          <w:lang w:val="en-US"/>
        </w:rPr>
        <w:t>1</w:t>
      </w:r>
      <w:r w:rsidRPr="00621E96">
        <w:rPr>
          <w:rFonts w:eastAsia="Times New Roman"/>
          <w:lang w:val="en-US"/>
        </w:rPr>
        <w:t>.</w:t>
      </w:r>
    </w:p>
    <w:p w14:paraId="5AF755FA" w14:textId="77777777" w:rsidR="0023707F" w:rsidRDefault="0023707F" w:rsidP="0023707F">
      <w:pPr>
        <w:jc w:val="both"/>
      </w:pPr>
    </w:p>
    <w:p w14:paraId="5DAA4D3B" w14:textId="77777777" w:rsidR="0023707F" w:rsidRPr="00B4057C" w:rsidRDefault="0023707F" w:rsidP="0023707F">
      <w:pPr>
        <w:jc w:val="both"/>
      </w:pPr>
      <w:proofErr w:type="gramStart"/>
      <w:r w:rsidRPr="00B4057C">
        <w:t>Swank, D. (2006).</w:t>
      </w:r>
      <w:proofErr w:type="gramEnd"/>
      <w:r w:rsidRPr="00B4057C">
        <w:t xml:space="preserve">  “Electoral, Legislative, and Government Strength of Political Parties by Ideological Group in Capitalist Democracies, 1950-2006: A Dataset”.  </w:t>
      </w:r>
      <w:hyperlink r:id="rId24" w:history="1">
        <w:r w:rsidRPr="00B4057C">
          <w:rPr>
            <w:rStyle w:val="Hyperlink"/>
          </w:rPr>
          <w:t>http://www.marquette.edu/polisci/documents/part19502006.xls</w:t>
        </w:r>
      </w:hyperlink>
      <w:r w:rsidRPr="00B4057C">
        <w:t xml:space="preserve"> </w:t>
      </w:r>
    </w:p>
    <w:p w14:paraId="6961C279" w14:textId="77777777" w:rsidR="0023707F" w:rsidRPr="00B4057C" w:rsidRDefault="0023707F" w:rsidP="0023707F">
      <w:pPr>
        <w:autoSpaceDE w:val="0"/>
        <w:autoSpaceDN w:val="0"/>
        <w:adjustRightInd w:val="0"/>
        <w:jc w:val="both"/>
        <w:rPr>
          <w:rFonts w:cs="Cambria"/>
        </w:rPr>
      </w:pPr>
    </w:p>
    <w:p w14:paraId="666E8754" w14:textId="77777777" w:rsidR="0023707F" w:rsidRPr="00B4057C" w:rsidRDefault="0023707F" w:rsidP="0023707F">
      <w:pPr>
        <w:jc w:val="both"/>
        <w:rPr>
          <w:rFonts w:eastAsia="Times New Roman" w:cs="Arial"/>
        </w:rPr>
      </w:pPr>
      <w:r w:rsidRPr="00B4057C">
        <w:rPr>
          <w:rFonts w:eastAsia="Times New Roman" w:cs="Arial"/>
        </w:rPr>
        <w:t xml:space="preserve">Traxler, F. and Brandl, B. (2010). "Collective Bargaining, Macroeconomic Performance, and the Sectoral Composition of Trade Unions".  </w:t>
      </w:r>
      <w:r w:rsidRPr="00B4057C">
        <w:rPr>
          <w:rFonts w:eastAsia="Times New Roman" w:cs="Arial"/>
          <w:i/>
        </w:rPr>
        <w:t>Industrial Relations</w:t>
      </w:r>
      <w:r w:rsidRPr="00B4057C">
        <w:rPr>
          <w:rFonts w:eastAsia="Times New Roman" w:cs="Arial"/>
        </w:rPr>
        <w:t xml:space="preserve">. 49(1): 91-115 </w:t>
      </w:r>
    </w:p>
    <w:p w14:paraId="394A8685" w14:textId="77777777" w:rsidR="0023707F" w:rsidRPr="00B4057C" w:rsidRDefault="0023707F" w:rsidP="0023707F">
      <w:pPr>
        <w:autoSpaceDE w:val="0"/>
        <w:autoSpaceDN w:val="0"/>
        <w:adjustRightInd w:val="0"/>
        <w:jc w:val="both"/>
        <w:rPr>
          <w:rFonts w:cs="Cambria"/>
        </w:rPr>
      </w:pPr>
    </w:p>
    <w:p w14:paraId="7B177075" w14:textId="77777777" w:rsidR="0023707F" w:rsidRPr="00B4057C" w:rsidRDefault="0023707F" w:rsidP="0023707F">
      <w:pPr>
        <w:jc w:val="both"/>
        <w:rPr>
          <w:rFonts w:eastAsia="Times New Roman"/>
          <w:lang w:val="en-US"/>
        </w:rPr>
      </w:pPr>
      <w:r w:rsidRPr="00B4057C">
        <w:rPr>
          <w:rFonts w:eastAsia="Times New Roman"/>
          <w:lang w:val="en-US"/>
        </w:rPr>
        <w:lastRenderedPageBreak/>
        <w:t>Trumbull, G. (2012). “Credit Access and Social Welfare The Rise of Consumer Lending in the United States and France”</w:t>
      </w:r>
      <w:proofErr w:type="gramStart"/>
      <w:r w:rsidRPr="00B4057C">
        <w:rPr>
          <w:rFonts w:eastAsia="Times New Roman"/>
          <w:lang w:val="en-US"/>
        </w:rPr>
        <w:t xml:space="preserve">,  </w:t>
      </w:r>
      <w:r w:rsidRPr="00B4057C">
        <w:rPr>
          <w:rFonts w:eastAsia="Times New Roman"/>
          <w:i/>
          <w:iCs/>
          <w:lang w:val="en-US"/>
        </w:rPr>
        <w:t>Politics</w:t>
      </w:r>
      <w:proofErr w:type="gramEnd"/>
      <w:r w:rsidRPr="00B4057C">
        <w:rPr>
          <w:rFonts w:eastAsia="Times New Roman"/>
          <w:i/>
          <w:iCs/>
          <w:lang w:val="en-US"/>
        </w:rPr>
        <w:t xml:space="preserve"> &amp; Society</w:t>
      </w:r>
      <w:r w:rsidRPr="00B4057C">
        <w:rPr>
          <w:rFonts w:eastAsia="Times New Roman"/>
          <w:lang w:val="en-US"/>
        </w:rPr>
        <w:t xml:space="preserve">, </w:t>
      </w:r>
      <w:r w:rsidRPr="00B4057C">
        <w:rPr>
          <w:rFonts w:eastAsia="Times New Roman"/>
          <w:i/>
          <w:iCs/>
          <w:lang w:val="en-US"/>
        </w:rPr>
        <w:t>40</w:t>
      </w:r>
      <w:r w:rsidRPr="00B4057C">
        <w:rPr>
          <w:rFonts w:eastAsia="Times New Roman"/>
          <w:lang w:val="en-US"/>
        </w:rPr>
        <w:t>(1), 9-34.</w:t>
      </w:r>
    </w:p>
    <w:p w14:paraId="4D423808" w14:textId="77777777" w:rsidR="0023707F" w:rsidRPr="00B4057C" w:rsidRDefault="0023707F" w:rsidP="0023707F">
      <w:pPr>
        <w:jc w:val="both"/>
      </w:pPr>
    </w:p>
    <w:p w14:paraId="006C6ABE" w14:textId="77777777" w:rsidR="0023707F" w:rsidRPr="00B4057C" w:rsidRDefault="0023707F" w:rsidP="0023707F">
      <w:pPr>
        <w:jc w:val="both"/>
      </w:pPr>
      <w:proofErr w:type="gramStart"/>
      <w:r w:rsidRPr="00B4057C">
        <w:t xml:space="preserve">Van de Meer, M., Visser, J., and </w:t>
      </w:r>
      <w:proofErr w:type="spellStart"/>
      <w:r w:rsidRPr="00B4057C">
        <w:t>Wilthagen</w:t>
      </w:r>
      <w:proofErr w:type="spellEnd"/>
      <w:r w:rsidRPr="00B4057C">
        <w:t>, T. (2005).</w:t>
      </w:r>
      <w:proofErr w:type="gramEnd"/>
      <w:r w:rsidRPr="00B4057C">
        <w:t xml:space="preserve">  “Adaptive and Reflexive Governance: The Limits of Organized Decentralization”.  </w:t>
      </w:r>
      <w:proofErr w:type="gramStart"/>
      <w:r w:rsidRPr="00B4057C">
        <w:rPr>
          <w:i/>
          <w:iCs/>
        </w:rPr>
        <w:t>European Journal of Industrial Relations</w:t>
      </w:r>
      <w:r w:rsidRPr="00B4057C">
        <w:t>.</w:t>
      </w:r>
      <w:proofErr w:type="gramEnd"/>
      <w:r w:rsidRPr="00B4057C">
        <w:t xml:space="preserve">  </w:t>
      </w:r>
      <w:r w:rsidRPr="00B4057C">
        <w:rPr>
          <w:bCs/>
        </w:rPr>
        <w:t>11</w:t>
      </w:r>
      <w:r w:rsidRPr="00B4057C">
        <w:t xml:space="preserve">(3): 347-365.  </w:t>
      </w:r>
    </w:p>
    <w:p w14:paraId="5A47BAB6" w14:textId="77777777" w:rsidR="0023707F" w:rsidRPr="00B4057C" w:rsidRDefault="0023707F" w:rsidP="0023707F">
      <w:pPr>
        <w:jc w:val="both"/>
      </w:pPr>
    </w:p>
    <w:p w14:paraId="0CD2C119" w14:textId="77777777" w:rsidR="0023707F" w:rsidRPr="00B4057C" w:rsidRDefault="0023707F" w:rsidP="0023707F">
      <w:pPr>
        <w:jc w:val="both"/>
        <w:rPr>
          <w:rFonts w:cs="CMR12"/>
        </w:rPr>
      </w:pPr>
      <w:r w:rsidRPr="00B4057C">
        <w:rPr>
          <w:rFonts w:cs="CMR12"/>
        </w:rPr>
        <w:t>V</w:t>
      </w:r>
      <w:r w:rsidRPr="00B4057C">
        <w:rPr>
          <w:rFonts w:cs="CMR12"/>
          <w:lang w:val="en-US"/>
        </w:rPr>
        <w:t>an het Kaar, R. (2001) “Tight Labour Market and inflation drive collective bargaining outcomes” EIRO April 28th</w:t>
      </w:r>
      <w:r w:rsidRPr="00B4057C">
        <w:rPr>
          <w:rFonts w:cs="CMR12"/>
        </w:rPr>
        <w:t>, 2001.</w:t>
      </w:r>
    </w:p>
    <w:p w14:paraId="0C468705" w14:textId="77777777" w:rsidR="0023707F" w:rsidRPr="00B4057C" w:rsidRDefault="0023707F" w:rsidP="0023707F">
      <w:pPr>
        <w:jc w:val="both"/>
        <w:rPr>
          <w:rFonts w:cs="CMR12"/>
        </w:rPr>
      </w:pPr>
    </w:p>
    <w:p w14:paraId="08B6815E" w14:textId="77777777" w:rsidR="0023707F" w:rsidRPr="00B4057C" w:rsidRDefault="0023707F" w:rsidP="0023707F">
      <w:pPr>
        <w:jc w:val="both"/>
      </w:pPr>
      <w:r w:rsidRPr="00B4057C">
        <w:t>Van het Kaar, R. (2003) “Pay freeze agreed for 2004-05” European Industrial Relations Observatory Online. October 29th, 2003</w:t>
      </w:r>
    </w:p>
    <w:p w14:paraId="5C8DAF9D" w14:textId="77777777" w:rsidR="0023707F" w:rsidRPr="00B4057C" w:rsidRDefault="0023707F" w:rsidP="0023707F">
      <w:pPr>
        <w:jc w:val="both"/>
      </w:pPr>
    </w:p>
    <w:p w14:paraId="42970A47" w14:textId="77777777" w:rsidR="0023707F" w:rsidRPr="00B4057C" w:rsidRDefault="0023707F" w:rsidP="0023707F">
      <w:pPr>
        <w:jc w:val="both"/>
      </w:pPr>
      <w:proofErr w:type="gramStart"/>
      <w:r w:rsidRPr="00B4057C">
        <w:t>Vandevyvere, W and Zenthӧfer, A. (2012) “The housing market in the Netherlands”, European Economy Economic Papers Series, Working Paper No. 457.</w:t>
      </w:r>
      <w:proofErr w:type="gramEnd"/>
    </w:p>
    <w:p w14:paraId="37722361" w14:textId="77777777" w:rsidR="0023707F" w:rsidRPr="00B4057C" w:rsidRDefault="0023707F" w:rsidP="0023707F">
      <w:pPr>
        <w:ind w:right="28"/>
        <w:jc w:val="both"/>
      </w:pPr>
    </w:p>
    <w:p w14:paraId="30C4150F" w14:textId="77777777" w:rsidR="0023707F" w:rsidRPr="00B4057C" w:rsidRDefault="0023707F" w:rsidP="0023707F">
      <w:pPr>
        <w:ind w:right="28"/>
        <w:jc w:val="both"/>
      </w:pPr>
      <w:r w:rsidRPr="00B4057C">
        <w:t xml:space="preserve">Visser, J (2000) "The Netherlands" in </w:t>
      </w:r>
      <w:proofErr w:type="spellStart"/>
      <w:r w:rsidRPr="00B4057C">
        <w:t>Visser</w:t>
      </w:r>
      <w:proofErr w:type="spellEnd"/>
      <w:r w:rsidRPr="00B4057C">
        <w:t xml:space="preserve"> and </w:t>
      </w:r>
      <w:proofErr w:type="spellStart"/>
      <w:r w:rsidRPr="00B4057C">
        <w:t>Ebbinghaus</w:t>
      </w:r>
      <w:proofErr w:type="spellEnd"/>
      <w:r w:rsidRPr="00B4057C">
        <w:t xml:space="preserve"> </w:t>
      </w:r>
      <w:proofErr w:type="spellStart"/>
      <w:proofErr w:type="gramStart"/>
      <w:r w:rsidRPr="00B4057C">
        <w:t>eds</w:t>
      </w:r>
      <w:proofErr w:type="spellEnd"/>
      <w:proofErr w:type="gramEnd"/>
      <w:r w:rsidRPr="00B4057C">
        <w:t xml:space="preserve"> </w:t>
      </w:r>
      <w:r w:rsidRPr="00B4057C">
        <w:rPr>
          <w:i/>
        </w:rPr>
        <w:t>Trade Unions in Western Europe Since 1945</w:t>
      </w:r>
      <w:r w:rsidRPr="00B4057C">
        <w:t xml:space="preserve">.  Palgrave Macmillan </w:t>
      </w:r>
    </w:p>
    <w:p w14:paraId="6D68AB9A" w14:textId="77777777" w:rsidR="0023707F" w:rsidRPr="00B4057C" w:rsidRDefault="0023707F" w:rsidP="0023707F">
      <w:pPr>
        <w:autoSpaceDE w:val="0"/>
        <w:autoSpaceDN w:val="0"/>
        <w:adjustRightInd w:val="0"/>
        <w:jc w:val="both"/>
        <w:rPr>
          <w:highlight w:val="yellow"/>
        </w:rPr>
      </w:pPr>
    </w:p>
    <w:p w14:paraId="638C13E7" w14:textId="77777777" w:rsidR="0023707F" w:rsidRPr="00B4057C" w:rsidRDefault="0023707F" w:rsidP="0023707F">
      <w:pPr>
        <w:autoSpaceDE w:val="0"/>
        <w:autoSpaceDN w:val="0"/>
        <w:adjustRightInd w:val="0"/>
        <w:jc w:val="both"/>
        <w:rPr>
          <w:rFonts w:cs="Cambria"/>
        </w:rPr>
      </w:pPr>
      <w:r w:rsidRPr="00B4057C">
        <w:t xml:space="preserve">World Bank (2014) World Bank Open Data Database: Domestic Credit to Private Sector </w:t>
      </w:r>
      <w:hyperlink r:id="rId25" w:history="1">
        <w:r w:rsidRPr="00B4057C">
          <w:rPr>
            <w:rStyle w:val="Hyperlink"/>
          </w:rPr>
          <w:t>http://data.worldbank.org/indicator/FS.AST.PRVT.GD.ZS</w:t>
        </w:r>
      </w:hyperlink>
      <w:r w:rsidRPr="00B4057C">
        <w:t>. Accessed January-June, 2014.</w:t>
      </w:r>
    </w:p>
    <w:p w14:paraId="448B2C0D" w14:textId="77777777" w:rsidR="00A00230" w:rsidRDefault="00A00230" w:rsidP="00A00230">
      <w:pPr>
        <w:rPr>
          <w:rFonts w:asciiTheme="majorHAnsi" w:hAnsiTheme="majorHAnsi"/>
          <w:b/>
        </w:rPr>
        <w:sectPr w:rsidR="00A00230" w:rsidSect="007B611C">
          <w:pgSz w:w="11900" w:h="16840"/>
          <w:pgMar w:top="1440" w:right="1440" w:bottom="1440" w:left="1440" w:header="708" w:footer="708" w:gutter="0"/>
          <w:cols w:space="708"/>
          <w:docGrid w:linePitch="360"/>
        </w:sectPr>
      </w:pPr>
    </w:p>
    <w:p w14:paraId="485D292A" w14:textId="19AAB269" w:rsidR="00A00230" w:rsidRPr="003C6597" w:rsidRDefault="00A00230" w:rsidP="00A00230">
      <w:pPr>
        <w:rPr>
          <w:rFonts w:asciiTheme="majorHAnsi" w:hAnsiTheme="majorHAnsi"/>
          <w:b/>
        </w:rPr>
      </w:pPr>
      <w:r w:rsidRPr="003C6597">
        <w:rPr>
          <w:rFonts w:asciiTheme="majorHAnsi" w:hAnsiTheme="majorHAnsi"/>
          <w:b/>
        </w:rPr>
        <w:lastRenderedPageBreak/>
        <w:t xml:space="preserve">Appendix A: </w:t>
      </w:r>
      <w:proofErr w:type="spellStart"/>
      <w:r w:rsidRPr="003C6597">
        <w:rPr>
          <w:rFonts w:asciiTheme="majorHAnsi" w:hAnsiTheme="majorHAnsi"/>
          <w:b/>
        </w:rPr>
        <w:t>Sectoral</w:t>
      </w:r>
      <w:proofErr w:type="spellEnd"/>
      <w:r w:rsidRPr="003C6597">
        <w:rPr>
          <w:rFonts w:asciiTheme="majorHAnsi" w:hAnsiTheme="majorHAnsi"/>
          <w:b/>
        </w:rPr>
        <w:t xml:space="preserve"> Wage Coordination Regimes for 17 OECD Countries (1980-2007)</w:t>
      </w:r>
    </w:p>
    <w:tbl>
      <w:tblPr>
        <w:tblW w:w="14620" w:type="dxa"/>
        <w:tblLook w:val="04A0" w:firstRow="1" w:lastRow="0" w:firstColumn="1" w:lastColumn="0" w:noHBand="0" w:noVBand="1"/>
      </w:tblPr>
      <w:tblGrid>
        <w:gridCol w:w="1960"/>
        <w:gridCol w:w="2018"/>
        <w:gridCol w:w="1980"/>
        <w:gridCol w:w="2160"/>
        <w:gridCol w:w="2340"/>
        <w:gridCol w:w="2160"/>
        <w:gridCol w:w="2002"/>
      </w:tblGrid>
      <w:tr w:rsidR="00A00230" w:rsidRPr="00C54144" w14:paraId="1B4E5B9B" w14:textId="77777777" w:rsidTr="008E5A85">
        <w:trPr>
          <w:trHeight w:val="315"/>
        </w:trPr>
        <w:tc>
          <w:tcPr>
            <w:tcW w:w="1960" w:type="dxa"/>
            <w:tcBorders>
              <w:top w:val="nil"/>
              <w:left w:val="nil"/>
              <w:bottom w:val="nil"/>
              <w:right w:val="nil"/>
            </w:tcBorders>
            <w:shd w:val="clear" w:color="auto" w:fill="auto"/>
            <w:noWrap/>
            <w:vAlign w:val="bottom"/>
            <w:hideMark/>
          </w:tcPr>
          <w:p w14:paraId="39010561" w14:textId="77777777" w:rsidR="00A00230" w:rsidRPr="00C54144" w:rsidRDefault="00A00230" w:rsidP="008E5A85">
            <w:pPr>
              <w:jc w:val="center"/>
              <w:rPr>
                <w:rFonts w:eastAsia="Times New Roman"/>
                <w:color w:val="000000"/>
              </w:rPr>
            </w:pPr>
          </w:p>
        </w:tc>
        <w:tc>
          <w:tcPr>
            <w:tcW w:w="6158"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77381AE6" w14:textId="77777777" w:rsidR="00A00230" w:rsidRPr="00C54144" w:rsidRDefault="00A00230" w:rsidP="008E5A85">
            <w:pPr>
              <w:jc w:val="center"/>
              <w:rPr>
                <w:rFonts w:eastAsia="Times New Roman"/>
                <w:b/>
                <w:bCs/>
                <w:color w:val="000000"/>
              </w:rPr>
            </w:pPr>
            <w:r w:rsidRPr="00C54144">
              <w:rPr>
                <w:rFonts w:eastAsia="Times New Roman"/>
                <w:b/>
                <w:bCs/>
                <w:color w:val="000000"/>
              </w:rPr>
              <w:t xml:space="preserve">Export-Sector </w:t>
            </w:r>
            <w:proofErr w:type="spellStart"/>
            <w:r w:rsidRPr="00C54144">
              <w:rPr>
                <w:rFonts w:eastAsia="Times New Roman"/>
                <w:b/>
                <w:bCs/>
                <w:color w:val="000000"/>
              </w:rPr>
              <w:t>Favoring</w:t>
            </w:r>
            <w:proofErr w:type="spellEnd"/>
          </w:p>
        </w:tc>
        <w:tc>
          <w:tcPr>
            <w:tcW w:w="4500" w:type="dxa"/>
            <w:gridSpan w:val="2"/>
            <w:tcBorders>
              <w:top w:val="single" w:sz="4" w:space="0" w:color="auto"/>
              <w:left w:val="nil"/>
              <w:bottom w:val="nil"/>
              <w:right w:val="single" w:sz="4" w:space="0" w:color="000000"/>
            </w:tcBorders>
            <w:shd w:val="clear" w:color="auto" w:fill="auto"/>
            <w:noWrap/>
            <w:vAlign w:val="bottom"/>
            <w:hideMark/>
          </w:tcPr>
          <w:p w14:paraId="3E6CE064" w14:textId="77777777" w:rsidR="00A00230" w:rsidRPr="00C54144" w:rsidRDefault="00A00230" w:rsidP="008E5A85">
            <w:pPr>
              <w:jc w:val="center"/>
              <w:rPr>
                <w:rFonts w:eastAsia="Times New Roman"/>
                <w:b/>
                <w:bCs/>
                <w:color w:val="000000"/>
              </w:rPr>
            </w:pPr>
            <w:r w:rsidRPr="00C54144">
              <w:rPr>
                <w:rFonts w:eastAsia="Times New Roman"/>
                <w:b/>
                <w:bCs/>
                <w:color w:val="000000"/>
              </w:rPr>
              <w:t xml:space="preserve">Sheltered-Sector </w:t>
            </w:r>
            <w:proofErr w:type="spellStart"/>
            <w:r w:rsidRPr="00C54144">
              <w:rPr>
                <w:rFonts w:eastAsia="Times New Roman"/>
                <w:b/>
                <w:bCs/>
                <w:color w:val="000000"/>
              </w:rPr>
              <w:t>Favoring</w:t>
            </w:r>
            <w:proofErr w:type="spellEnd"/>
          </w:p>
        </w:tc>
        <w:tc>
          <w:tcPr>
            <w:tcW w:w="2002" w:type="dxa"/>
            <w:tcBorders>
              <w:top w:val="single" w:sz="4" w:space="0" w:color="auto"/>
              <w:left w:val="nil"/>
              <w:bottom w:val="nil"/>
              <w:right w:val="single" w:sz="4" w:space="0" w:color="000000"/>
            </w:tcBorders>
            <w:shd w:val="clear" w:color="auto" w:fill="auto"/>
            <w:vAlign w:val="bottom"/>
          </w:tcPr>
          <w:p w14:paraId="71E93976" w14:textId="77777777" w:rsidR="00A00230" w:rsidRPr="00C54144" w:rsidRDefault="00A00230" w:rsidP="008E5A85">
            <w:pPr>
              <w:jc w:val="center"/>
              <w:rPr>
                <w:rFonts w:eastAsia="Times New Roman"/>
                <w:b/>
                <w:bCs/>
                <w:color w:val="000000"/>
              </w:rPr>
            </w:pPr>
            <w:r>
              <w:rPr>
                <w:rFonts w:eastAsia="Times New Roman"/>
                <w:b/>
                <w:bCs/>
                <w:color w:val="000000"/>
              </w:rPr>
              <w:t>Sector Neutral</w:t>
            </w:r>
          </w:p>
        </w:tc>
      </w:tr>
      <w:tr w:rsidR="00A00230" w:rsidRPr="00C54144" w14:paraId="12C7A5CF" w14:textId="77777777" w:rsidTr="008E5A85">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D06FA" w14:textId="77777777" w:rsidR="00A00230" w:rsidRPr="00C54144" w:rsidRDefault="00A00230" w:rsidP="008E5A85">
            <w:pPr>
              <w:jc w:val="center"/>
              <w:rPr>
                <w:rFonts w:eastAsia="Times New Roman"/>
                <w:i/>
                <w:iCs/>
                <w:color w:val="000000"/>
              </w:rPr>
            </w:pPr>
            <w:r w:rsidRPr="00C54144">
              <w:rPr>
                <w:rFonts w:eastAsia="Times New Roman"/>
                <w:i/>
                <w:iCs/>
                <w:color w:val="000000"/>
              </w:rPr>
              <w:t>Country</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7CA16B1A" w14:textId="77777777" w:rsidR="00A00230" w:rsidRPr="00C54144" w:rsidRDefault="00A00230" w:rsidP="008E5A85">
            <w:pPr>
              <w:jc w:val="center"/>
              <w:rPr>
                <w:rFonts w:eastAsia="Times New Roman"/>
                <w:i/>
                <w:iCs/>
                <w:color w:val="000000"/>
              </w:rPr>
            </w:pPr>
            <w:r>
              <w:rPr>
                <w:rFonts w:eastAsia="Times New Roman"/>
                <w:i/>
                <w:iCs/>
                <w:color w:val="000000"/>
              </w:rPr>
              <w:t>Pattern b</w:t>
            </w:r>
            <w:r w:rsidRPr="00C54144">
              <w:rPr>
                <w:rFonts w:eastAsia="Times New Roman"/>
                <w:i/>
                <w:iCs/>
                <w:color w:val="000000"/>
              </w:rPr>
              <w:t>argaining</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5796ACD2" w14:textId="77777777" w:rsidR="00A00230" w:rsidRPr="00C54144" w:rsidRDefault="00A00230" w:rsidP="008E5A85">
            <w:pPr>
              <w:jc w:val="center"/>
              <w:rPr>
                <w:rFonts w:eastAsia="Times New Roman"/>
                <w:i/>
                <w:iCs/>
                <w:color w:val="000000"/>
              </w:rPr>
            </w:pPr>
            <w:r>
              <w:rPr>
                <w:rFonts w:eastAsia="Times New Roman"/>
                <w:i/>
                <w:iCs/>
                <w:color w:val="000000"/>
              </w:rPr>
              <w:t>State-i</w:t>
            </w:r>
            <w:r w:rsidRPr="00C54144">
              <w:rPr>
                <w:rFonts w:eastAsia="Times New Roman"/>
                <w:i/>
                <w:iCs/>
                <w:color w:val="000000"/>
              </w:rPr>
              <w:t>mposed</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A70CF2D" w14:textId="77777777" w:rsidR="00A00230" w:rsidRPr="00C54144" w:rsidRDefault="00A00230" w:rsidP="008E5A85">
            <w:pPr>
              <w:jc w:val="center"/>
              <w:rPr>
                <w:rFonts w:eastAsia="Times New Roman"/>
                <w:i/>
                <w:iCs/>
                <w:color w:val="000000"/>
              </w:rPr>
            </w:pPr>
            <w:r>
              <w:rPr>
                <w:rFonts w:eastAsia="Times New Roman"/>
                <w:i/>
                <w:iCs/>
                <w:color w:val="000000"/>
              </w:rPr>
              <w:t>State-led wage p</w:t>
            </w:r>
            <w:r w:rsidRPr="00C54144">
              <w:rPr>
                <w:rFonts w:eastAsia="Times New Roman"/>
                <w:i/>
                <w:iCs/>
                <w:color w:val="000000"/>
              </w:rPr>
              <w:t>acts</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4C8D7D9" w14:textId="77777777" w:rsidR="00A00230" w:rsidRPr="00C54144" w:rsidRDefault="00A00230" w:rsidP="008E5A85">
            <w:pPr>
              <w:jc w:val="center"/>
              <w:rPr>
                <w:rFonts w:eastAsia="Times New Roman"/>
                <w:i/>
                <w:iCs/>
                <w:color w:val="000000"/>
              </w:rPr>
            </w:pPr>
            <w:r>
              <w:rPr>
                <w:rFonts w:eastAsia="Times New Roman"/>
                <w:i/>
                <w:iCs/>
                <w:color w:val="000000"/>
              </w:rPr>
              <w:t>Peak b</w:t>
            </w:r>
            <w:r w:rsidRPr="00C54144">
              <w:rPr>
                <w:rFonts w:eastAsia="Times New Roman"/>
                <w:i/>
                <w:iCs/>
                <w:color w:val="000000"/>
              </w:rPr>
              <w:t>argaining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80D8C42" w14:textId="77777777" w:rsidR="00A00230" w:rsidRPr="00C54144" w:rsidRDefault="00A00230" w:rsidP="008E5A85">
            <w:pPr>
              <w:jc w:val="center"/>
              <w:rPr>
                <w:rFonts w:eastAsia="Times New Roman"/>
                <w:i/>
                <w:iCs/>
                <w:color w:val="000000"/>
              </w:rPr>
            </w:pPr>
            <w:r>
              <w:rPr>
                <w:rFonts w:eastAsia="Times New Roman"/>
                <w:i/>
                <w:iCs/>
                <w:color w:val="000000"/>
              </w:rPr>
              <w:t>Non-state-led wage p</w:t>
            </w:r>
            <w:r w:rsidRPr="00C54144">
              <w:rPr>
                <w:rFonts w:eastAsia="Times New Roman"/>
                <w:i/>
                <w:iCs/>
                <w:color w:val="000000"/>
              </w:rPr>
              <w:t>acts</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0ACA6D16" w14:textId="77777777" w:rsidR="00A00230" w:rsidRPr="00C54144" w:rsidRDefault="00A00230" w:rsidP="008E5A85">
            <w:pPr>
              <w:jc w:val="center"/>
              <w:rPr>
                <w:rFonts w:eastAsia="Times New Roman"/>
                <w:i/>
                <w:iCs/>
                <w:color w:val="000000"/>
              </w:rPr>
            </w:pPr>
            <w:r w:rsidRPr="00C54144">
              <w:rPr>
                <w:rFonts w:eastAsia="Times New Roman"/>
                <w:i/>
                <w:iCs/>
                <w:color w:val="000000"/>
              </w:rPr>
              <w:t>Uncoordinated</w:t>
            </w:r>
          </w:p>
        </w:tc>
      </w:tr>
      <w:tr w:rsidR="00A00230" w:rsidRPr="00C54144" w14:paraId="2086AFE9" w14:textId="77777777" w:rsidTr="008E5A85">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0AE40" w14:textId="77777777" w:rsidR="00A00230" w:rsidRPr="00C54144" w:rsidRDefault="00A00230" w:rsidP="008E5A85">
            <w:pPr>
              <w:jc w:val="center"/>
              <w:rPr>
                <w:rFonts w:eastAsia="Times New Roman"/>
                <w:i/>
                <w:iCs/>
                <w:color w:val="000000"/>
              </w:rPr>
            </w:pPr>
            <w:r w:rsidRPr="00C54144">
              <w:rPr>
                <w:rFonts w:eastAsia="Times New Roman"/>
                <w:i/>
                <w:iCs/>
                <w:color w:val="000000"/>
              </w:rPr>
              <w:t>Australia</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36997BA2"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1981-1982</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928BA09"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1980</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A75D058"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1983-1992</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44C6C172" w14:textId="77777777" w:rsidR="00A00230" w:rsidRPr="00C54144" w:rsidRDefault="00A00230" w:rsidP="008E5A85">
            <w:pPr>
              <w:jc w:val="center"/>
              <w:rPr>
                <w:rFonts w:eastAsia="Times New Roman"/>
                <w:color w:val="000000"/>
                <w:sz w:val="18"/>
                <w:szCs w:val="18"/>
              </w:rPr>
            </w:pPr>
            <w:r>
              <w:rPr>
                <w:rFonts w:eastAsia="Times New Roman"/>
                <w:color w:val="000000"/>
                <w:sz w:val="18"/>
                <w:szCs w:val="18"/>
              </w:rPr>
              <w:t>1993-1996 (E</w:t>
            </w:r>
            <w:r w:rsidRPr="00C54144">
              <w:rPr>
                <w:rFonts w:eastAsia="Times New Roman"/>
                <w:color w:val="000000"/>
                <w:sz w:val="18"/>
                <w:szCs w:val="18"/>
              </w:rPr>
              <w: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7F80776"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2142F390"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1997-2007</w:t>
            </w:r>
          </w:p>
        </w:tc>
      </w:tr>
      <w:tr w:rsidR="00A00230" w:rsidRPr="00C54144" w14:paraId="07567E33" w14:textId="77777777" w:rsidTr="008E5A85">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733E4" w14:textId="77777777" w:rsidR="00A00230" w:rsidRPr="00C54144" w:rsidRDefault="00A00230" w:rsidP="008E5A85">
            <w:pPr>
              <w:jc w:val="center"/>
              <w:rPr>
                <w:rFonts w:eastAsia="Times New Roman"/>
                <w:i/>
                <w:iCs/>
                <w:color w:val="000000"/>
              </w:rPr>
            </w:pPr>
            <w:r w:rsidRPr="00C54144">
              <w:rPr>
                <w:rFonts w:eastAsia="Times New Roman"/>
                <w:i/>
                <w:iCs/>
                <w:color w:val="000000"/>
              </w:rPr>
              <w:t>Austria</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172E9F27"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1984-2007</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29C4F2A"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19600B5"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2A602BC" w14:textId="77777777" w:rsidR="00A00230" w:rsidRPr="00C54144" w:rsidRDefault="00A00230" w:rsidP="008E5A85">
            <w:pPr>
              <w:jc w:val="center"/>
              <w:rPr>
                <w:rFonts w:eastAsia="Times New Roman"/>
                <w:color w:val="000000"/>
                <w:sz w:val="18"/>
                <w:szCs w:val="18"/>
              </w:rPr>
            </w:pPr>
            <w:r>
              <w:rPr>
                <w:rFonts w:eastAsia="Times New Roman"/>
                <w:color w:val="000000"/>
                <w:sz w:val="18"/>
                <w:szCs w:val="18"/>
              </w:rPr>
              <w:t>1980-1983 (E</w:t>
            </w:r>
            <w:r w:rsidRPr="00C54144">
              <w:rPr>
                <w:rFonts w:eastAsia="Times New Roman"/>
                <w:color w:val="000000"/>
                <w:sz w:val="18"/>
                <w:szCs w:val="18"/>
              </w:rPr>
              <w: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5C3BE30"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516413C0"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r>
      <w:tr w:rsidR="00A00230" w:rsidRPr="00C54144" w14:paraId="77DF4807" w14:textId="77777777" w:rsidTr="008E5A85">
        <w:trPr>
          <w:trHeight w:val="34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42F04" w14:textId="77777777" w:rsidR="00A00230" w:rsidRPr="00C54144" w:rsidRDefault="00A00230" w:rsidP="008E5A85">
            <w:pPr>
              <w:jc w:val="center"/>
              <w:rPr>
                <w:rFonts w:eastAsia="Times New Roman"/>
                <w:i/>
                <w:iCs/>
                <w:color w:val="000000"/>
              </w:rPr>
            </w:pPr>
            <w:r w:rsidRPr="00C54144">
              <w:rPr>
                <w:rFonts w:eastAsia="Times New Roman"/>
                <w:i/>
                <w:iCs/>
                <w:color w:val="000000"/>
              </w:rPr>
              <w:t>Belgium</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18FC60AE"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2515BDD7"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1982-1985</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E20B7A6"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1994-2007</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14:paraId="58322D46" w14:textId="77777777" w:rsidR="00A00230" w:rsidRPr="00C54144" w:rsidRDefault="00A00230" w:rsidP="008E5A85">
            <w:pPr>
              <w:jc w:val="center"/>
              <w:rPr>
                <w:rFonts w:eastAsia="Times New Roman"/>
                <w:color w:val="000000"/>
                <w:sz w:val="18"/>
                <w:szCs w:val="18"/>
              </w:rPr>
            </w:pPr>
            <w:r>
              <w:rPr>
                <w:rFonts w:eastAsia="Times New Roman"/>
                <w:color w:val="000000"/>
                <w:sz w:val="18"/>
                <w:szCs w:val="18"/>
              </w:rPr>
              <w:t>1980 (S), 1986-1993 (S</w:t>
            </w:r>
            <w:r w:rsidRPr="00C54144">
              <w:rPr>
                <w:rFonts w:eastAsia="Times New Roman"/>
                <w:color w:val="000000"/>
                <w:sz w:val="18"/>
                <w:szCs w:val="18"/>
              </w:rPr>
              <w: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7FFCBB2"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1981</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4B362968"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r>
      <w:tr w:rsidR="00A00230" w:rsidRPr="00C54144" w14:paraId="665ED6B1" w14:textId="77777777" w:rsidTr="008E5A85">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B3F29" w14:textId="77777777" w:rsidR="00A00230" w:rsidRPr="00C54144" w:rsidRDefault="00A00230" w:rsidP="008E5A85">
            <w:pPr>
              <w:jc w:val="center"/>
              <w:rPr>
                <w:rFonts w:eastAsia="Times New Roman"/>
                <w:i/>
                <w:iCs/>
                <w:color w:val="000000"/>
              </w:rPr>
            </w:pPr>
            <w:r w:rsidRPr="00C54144">
              <w:rPr>
                <w:rFonts w:eastAsia="Times New Roman"/>
                <w:i/>
                <w:iCs/>
                <w:color w:val="000000"/>
              </w:rPr>
              <w:t>Canada</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3512E33C"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0A43862"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713DB4C"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3FD0C854"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7A21090"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2F623A2F"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1980-2007</w:t>
            </w:r>
          </w:p>
        </w:tc>
      </w:tr>
      <w:tr w:rsidR="00A00230" w:rsidRPr="00C54144" w14:paraId="34B5E7BB" w14:textId="77777777" w:rsidTr="008E5A85">
        <w:trPr>
          <w:trHeight w:val="73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F384A" w14:textId="77777777" w:rsidR="00A00230" w:rsidRPr="00C54144" w:rsidRDefault="00A00230" w:rsidP="008E5A85">
            <w:pPr>
              <w:jc w:val="center"/>
              <w:rPr>
                <w:rFonts w:eastAsia="Times New Roman"/>
                <w:i/>
                <w:iCs/>
                <w:color w:val="000000"/>
              </w:rPr>
            </w:pPr>
            <w:r w:rsidRPr="00C54144">
              <w:rPr>
                <w:rFonts w:eastAsia="Times New Roman"/>
                <w:i/>
                <w:iCs/>
                <w:color w:val="000000"/>
              </w:rPr>
              <w:t>Denmark</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62FF4F9D"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1981-1982</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779E26FA"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1980, 1985-1987, 1998</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94A4913"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2000</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14:paraId="01E201F2" w14:textId="77777777" w:rsidR="00A00230" w:rsidRPr="00C54144" w:rsidRDefault="00A00230" w:rsidP="008E5A85">
            <w:pPr>
              <w:jc w:val="center"/>
              <w:rPr>
                <w:rFonts w:eastAsia="Times New Roman"/>
                <w:color w:val="000000"/>
                <w:sz w:val="18"/>
                <w:szCs w:val="18"/>
              </w:rPr>
            </w:pPr>
            <w:r>
              <w:rPr>
                <w:rFonts w:eastAsia="Times New Roman"/>
                <w:color w:val="000000"/>
                <w:sz w:val="18"/>
                <w:szCs w:val="18"/>
              </w:rPr>
              <w:t>1983-1984 (E), 1988-1997 (E</w:t>
            </w:r>
            <w:r w:rsidRPr="00C54144">
              <w:rPr>
                <w:rFonts w:eastAsia="Times New Roman"/>
                <w:color w:val="000000"/>
                <w:sz w:val="18"/>
                <w:szCs w:val="18"/>
              </w:rPr>
              <w:t xml:space="preserve">), </w:t>
            </w:r>
            <w:r>
              <w:rPr>
                <w:rFonts w:eastAsia="Times New Roman"/>
                <w:color w:val="000000"/>
                <w:sz w:val="18"/>
                <w:szCs w:val="18"/>
              </w:rPr>
              <w:t>1999 (E), 2001-2007 (E</w:t>
            </w:r>
            <w:r w:rsidRPr="00C54144">
              <w:rPr>
                <w:rFonts w:eastAsia="Times New Roman"/>
                <w:color w:val="000000"/>
                <w:sz w:val="18"/>
                <w:szCs w:val="18"/>
              </w:rPr>
              <w: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671628D"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56DE998F"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r>
      <w:tr w:rsidR="00A00230" w:rsidRPr="00C54144" w14:paraId="23EA1E19" w14:textId="77777777" w:rsidTr="008E5A85">
        <w:trPr>
          <w:trHeight w:val="55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7B02C" w14:textId="77777777" w:rsidR="00A00230" w:rsidRPr="00C54144" w:rsidRDefault="00A00230" w:rsidP="008E5A85">
            <w:pPr>
              <w:jc w:val="center"/>
              <w:rPr>
                <w:rFonts w:eastAsia="Times New Roman"/>
                <w:i/>
                <w:iCs/>
                <w:color w:val="000000"/>
              </w:rPr>
            </w:pPr>
            <w:r w:rsidRPr="00C54144">
              <w:rPr>
                <w:rFonts w:eastAsia="Times New Roman"/>
                <w:i/>
                <w:iCs/>
                <w:color w:val="000000"/>
              </w:rPr>
              <w:t>Finland</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0D7E6D84"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63C1926"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14:paraId="0A9DA97D"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1981-1982, 1988-1993, 1995-2000, 2002-2006</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14:paraId="5D7BDC5A" w14:textId="77777777" w:rsidR="00A00230" w:rsidRPr="00C54144" w:rsidRDefault="00A00230" w:rsidP="008E5A85">
            <w:pPr>
              <w:jc w:val="center"/>
              <w:rPr>
                <w:rFonts w:eastAsia="Times New Roman"/>
                <w:color w:val="000000"/>
                <w:sz w:val="18"/>
                <w:szCs w:val="18"/>
              </w:rPr>
            </w:pPr>
            <w:r>
              <w:rPr>
                <w:rFonts w:eastAsia="Times New Roman"/>
                <w:color w:val="000000"/>
                <w:sz w:val="18"/>
                <w:szCs w:val="18"/>
              </w:rPr>
              <w:t>1983-1988 (E), 2001 (E) 2007 (E</w:t>
            </w:r>
            <w:r w:rsidRPr="00C54144">
              <w:rPr>
                <w:rFonts w:eastAsia="Times New Roman"/>
                <w:color w:val="000000"/>
                <w:sz w:val="18"/>
                <w:szCs w:val="18"/>
              </w:rPr>
              <w: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3C14E85"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59EE3EBF"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1980, 1994</w:t>
            </w:r>
          </w:p>
        </w:tc>
      </w:tr>
      <w:tr w:rsidR="00A00230" w:rsidRPr="00C54144" w14:paraId="6A390C9B" w14:textId="77777777" w:rsidTr="008E5A85">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17075" w14:textId="77777777" w:rsidR="00A00230" w:rsidRPr="00C54144" w:rsidRDefault="00A00230" w:rsidP="008E5A85">
            <w:pPr>
              <w:jc w:val="center"/>
              <w:rPr>
                <w:rFonts w:eastAsia="Times New Roman"/>
                <w:i/>
                <w:iCs/>
                <w:color w:val="000000"/>
              </w:rPr>
            </w:pPr>
            <w:r w:rsidRPr="00C54144">
              <w:rPr>
                <w:rFonts w:eastAsia="Times New Roman"/>
                <w:i/>
                <w:iCs/>
                <w:color w:val="000000"/>
              </w:rPr>
              <w:t>France</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51942E5E"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1980-2007</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CC39B46"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7289F14"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C6B8328"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393548C"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361F4F7C"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r>
      <w:tr w:rsidR="00A00230" w:rsidRPr="00C54144" w14:paraId="1FFF7EC7" w14:textId="77777777" w:rsidTr="008E5A85">
        <w:trPr>
          <w:trHeight w:val="49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577DE" w14:textId="77777777" w:rsidR="00A00230" w:rsidRPr="00C54144" w:rsidRDefault="00A00230" w:rsidP="008E5A85">
            <w:pPr>
              <w:jc w:val="center"/>
              <w:rPr>
                <w:rFonts w:eastAsia="Times New Roman"/>
                <w:i/>
                <w:iCs/>
                <w:color w:val="000000"/>
              </w:rPr>
            </w:pPr>
            <w:r w:rsidRPr="00C54144">
              <w:rPr>
                <w:rFonts w:eastAsia="Times New Roman"/>
                <w:i/>
                <w:iCs/>
                <w:color w:val="000000"/>
              </w:rPr>
              <w:t>Germany</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4BF44628"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1980-1985, 1987-1999, 2001-2007</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5344372"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10C6139"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02FACECF" w14:textId="77777777" w:rsidR="00A00230" w:rsidRPr="00C54144" w:rsidRDefault="00A00230" w:rsidP="008E5A85">
            <w:pPr>
              <w:jc w:val="center"/>
              <w:rPr>
                <w:rFonts w:eastAsia="Times New Roman"/>
                <w:color w:val="000000"/>
                <w:sz w:val="18"/>
                <w:szCs w:val="18"/>
              </w:rPr>
            </w:pPr>
            <w:r>
              <w:rPr>
                <w:rFonts w:eastAsia="Times New Roman"/>
                <w:color w:val="000000"/>
                <w:sz w:val="18"/>
                <w:szCs w:val="18"/>
              </w:rPr>
              <w:t>1986 (E), 2000 (E</w:t>
            </w:r>
            <w:r w:rsidRPr="00C54144">
              <w:rPr>
                <w:rFonts w:eastAsia="Times New Roman"/>
                <w:color w:val="000000"/>
                <w:sz w:val="18"/>
                <w:szCs w:val="18"/>
              </w:rPr>
              <w: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ADC7B7E"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277A75A2"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r>
      <w:tr w:rsidR="00A00230" w:rsidRPr="00C54144" w14:paraId="0AAB7EF5" w14:textId="77777777" w:rsidTr="008E5A85">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F513E" w14:textId="77777777" w:rsidR="00A00230" w:rsidRPr="00C54144" w:rsidRDefault="00A00230" w:rsidP="008E5A85">
            <w:pPr>
              <w:jc w:val="center"/>
              <w:rPr>
                <w:rFonts w:eastAsia="Times New Roman"/>
                <w:i/>
                <w:iCs/>
                <w:color w:val="000000"/>
              </w:rPr>
            </w:pPr>
            <w:r w:rsidRPr="00C54144">
              <w:rPr>
                <w:rFonts w:eastAsia="Times New Roman"/>
                <w:i/>
                <w:iCs/>
                <w:color w:val="000000"/>
              </w:rPr>
              <w:t>Ireland</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0BCC6CCD"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C76AD92"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FED7D40"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44EAD777" w14:textId="77777777" w:rsidR="00A00230" w:rsidRPr="00C54144" w:rsidRDefault="00A00230" w:rsidP="008E5A85">
            <w:pPr>
              <w:jc w:val="center"/>
              <w:rPr>
                <w:rFonts w:eastAsia="Times New Roman"/>
                <w:color w:val="000000"/>
                <w:sz w:val="18"/>
                <w:szCs w:val="18"/>
              </w:rPr>
            </w:pPr>
            <w:r>
              <w:rPr>
                <w:rFonts w:eastAsia="Times New Roman"/>
                <w:color w:val="000000"/>
                <w:sz w:val="18"/>
                <w:szCs w:val="18"/>
              </w:rPr>
              <w:t>1981-1986 (S</w:t>
            </w:r>
            <w:r w:rsidRPr="00C54144">
              <w:rPr>
                <w:rFonts w:eastAsia="Times New Roman"/>
                <w:color w:val="000000"/>
                <w:sz w:val="18"/>
                <w:szCs w:val="18"/>
              </w:rPr>
              <w: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058DA8F"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1980, 1987-2007</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6BC549C2"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r>
      <w:tr w:rsidR="00A00230" w:rsidRPr="00C54144" w14:paraId="56C5879E" w14:textId="77777777" w:rsidTr="008E5A85">
        <w:trPr>
          <w:trHeight w:val="73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23905" w14:textId="77777777" w:rsidR="00A00230" w:rsidRPr="00C54144" w:rsidRDefault="00A00230" w:rsidP="008E5A85">
            <w:pPr>
              <w:jc w:val="center"/>
              <w:rPr>
                <w:rFonts w:eastAsia="Times New Roman"/>
                <w:i/>
                <w:iCs/>
                <w:color w:val="000000"/>
              </w:rPr>
            </w:pPr>
            <w:r w:rsidRPr="00C54144">
              <w:rPr>
                <w:rFonts w:eastAsia="Times New Roman"/>
                <w:i/>
                <w:iCs/>
                <w:color w:val="000000"/>
              </w:rPr>
              <w:t>Italy</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51C2619D"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292793FC"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1985</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E64FD1E"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14:paraId="334F482F" w14:textId="77777777" w:rsidR="00A00230" w:rsidRPr="00C54144" w:rsidRDefault="00A00230" w:rsidP="008E5A85">
            <w:pPr>
              <w:jc w:val="center"/>
              <w:rPr>
                <w:rFonts w:eastAsia="Times New Roman"/>
                <w:color w:val="000000"/>
                <w:sz w:val="18"/>
                <w:szCs w:val="18"/>
              </w:rPr>
            </w:pPr>
            <w:r>
              <w:rPr>
                <w:rFonts w:eastAsia="Times New Roman"/>
                <w:color w:val="000000"/>
                <w:sz w:val="18"/>
                <w:szCs w:val="18"/>
              </w:rPr>
              <w:t>1980-1982 (S), 1986-1988 (S), 1990-1991 (S), 1994-2007 (S</w:t>
            </w:r>
            <w:r w:rsidRPr="00C54144">
              <w:rPr>
                <w:rFonts w:eastAsia="Times New Roman"/>
                <w:color w:val="000000"/>
                <w:sz w:val="18"/>
                <w:szCs w:val="18"/>
              </w:rPr>
              <w:t>)</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14:paraId="0390F64A"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1983-1984, 1989, 1992-1993</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6B4525BC"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r>
      <w:tr w:rsidR="00A00230" w:rsidRPr="00C54144" w14:paraId="109CE7C6" w14:textId="77777777" w:rsidTr="008E5A85">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0AF02" w14:textId="77777777" w:rsidR="00A00230" w:rsidRPr="00C54144" w:rsidRDefault="00A00230" w:rsidP="008E5A85">
            <w:pPr>
              <w:jc w:val="center"/>
              <w:rPr>
                <w:rFonts w:eastAsia="Times New Roman"/>
                <w:i/>
                <w:iCs/>
                <w:color w:val="000000"/>
              </w:rPr>
            </w:pPr>
            <w:r w:rsidRPr="00C54144">
              <w:rPr>
                <w:rFonts w:eastAsia="Times New Roman"/>
                <w:i/>
                <w:iCs/>
                <w:color w:val="000000"/>
              </w:rPr>
              <w:t>Japan</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1676CE2C"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1980-2007</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66D03DEE"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DE4CC65"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D821EFA"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3EB1FF4"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1E35CA41"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r>
      <w:tr w:rsidR="00A00230" w:rsidRPr="00C54144" w14:paraId="71F4C85D" w14:textId="77777777" w:rsidTr="008E5A85">
        <w:trPr>
          <w:trHeight w:val="494"/>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44755" w14:textId="77777777" w:rsidR="00A00230" w:rsidRPr="00C54144" w:rsidRDefault="00A00230" w:rsidP="008E5A85">
            <w:pPr>
              <w:jc w:val="center"/>
              <w:rPr>
                <w:rFonts w:eastAsia="Times New Roman"/>
                <w:i/>
                <w:iCs/>
                <w:color w:val="000000"/>
              </w:rPr>
            </w:pPr>
            <w:r w:rsidRPr="00C54144">
              <w:rPr>
                <w:rFonts w:eastAsia="Times New Roman"/>
                <w:i/>
                <w:iCs/>
                <w:color w:val="000000"/>
              </w:rPr>
              <w:t>The Netherlands</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7DE16EC1"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C62CB16"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1980-1981</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14:paraId="0515F744"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1982-1984, 1993-1995, 2002-2004</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14:paraId="36BBB13D" w14:textId="77777777" w:rsidR="00A00230" w:rsidRPr="00C54144" w:rsidRDefault="00A00230" w:rsidP="008E5A85">
            <w:pPr>
              <w:jc w:val="center"/>
              <w:rPr>
                <w:rFonts w:eastAsia="Times New Roman"/>
                <w:color w:val="000000"/>
                <w:sz w:val="18"/>
                <w:szCs w:val="18"/>
              </w:rPr>
            </w:pPr>
            <w:r>
              <w:rPr>
                <w:rFonts w:eastAsia="Times New Roman"/>
                <w:color w:val="000000"/>
                <w:sz w:val="18"/>
                <w:szCs w:val="18"/>
              </w:rPr>
              <w:t>1985-1992 (E</w:t>
            </w:r>
            <w:r w:rsidRPr="00C54144">
              <w:rPr>
                <w:rFonts w:eastAsia="Times New Roman"/>
                <w:color w:val="000000"/>
                <w:sz w:val="18"/>
                <w:szCs w:val="18"/>
              </w:rPr>
              <w:t xml:space="preserve">), 1996-2001 </w:t>
            </w:r>
            <w:r>
              <w:rPr>
                <w:rFonts w:eastAsia="Times New Roman"/>
                <w:color w:val="000000"/>
                <w:sz w:val="18"/>
                <w:szCs w:val="18"/>
              </w:rPr>
              <w:t>(E), 2005-2007 (E</w:t>
            </w:r>
            <w:r w:rsidRPr="00C54144">
              <w:rPr>
                <w:rFonts w:eastAsia="Times New Roman"/>
                <w:color w:val="000000"/>
                <w:sz w:val="18"/>
                <w:szCs w:val="18"/>
              </w:rPr>
              <w: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98B3A37"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4D452DA4"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r>
      <w:tr w:rsidR="00A00230" w:rsidRPr="00C54144" w14:paraId="0A0837F7" w14:textId="77777777" w:rsidTr="008E5A85">
        <w:trPr>
          <w:trHeight w:val="719"/>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7852E" w14:textId="77777777" w:rsidR="00A00230" w:rsidRPr="00C54144" w:rsidRDefault="00A00230" w:rsidP="008E5A85">
            <w:pPr>
              <w:jc w:val="center"/>
              <w:rPr>
                <w:rFonts w:eastAsia="Times New Roman"/>
                <w:i/>
                <w:iCs/>
                <w:color w:val="000000"/>
              </w:rPr>
            </w:pPr>
            <w:r w:rsidRPr="00C54144">
              <w:rPr>
                <w:rFonts w:eastAsia="Times New Roman"/>
                <w:i/>
                <w:iCs/>
                <w:color w:val="000000"/>
              </w:rPr>
              <w:t>Portugal</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597D170B"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2EE9D8F7"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1980-1981</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C3538A5"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14:paraId="00CB05A3" w14:textId="77777777" w:rsidR="00A00230" w:rsidRPr="00C54144" w:rsidRDefault="00A00230" w:rsidP="008E5A85">
            <w:pPr>
              <w:jc w:val="center"/>
              <w:rPr>
                <w:rFonts w:eastAsia="Times New Roman"/>
                <w:color w:val="000000"/>
                <w:sz w:val="18"/>
                <w:szCs w:val="18"/>
              </w:rPr>
            </w:pPr>
            <w:r>
              <w:rPr>
                <w:rFonts w:eastAsia="Times New Roman"/>
                <w:color w:val="000000"/>
                <w:sz w:val="18"/>
                <w:szCs w:val="18"/>
              </w:rPr>
              <w:t>1982-1985 (S), 1989 (S), 1991 (S), 1993-1995 (S), 1998-2005 (S), 2007 (S</w:t>
            </w:r>
            <w:r w:rsidRPr="00C54144">
              <w:rPr>
                <w:rFonts w:eastAsia="Times New Roman"/>
                <w:color w:val="000000"/>
                <w:sz w:val="18"/>
                <w:szCs w:val="18"/>
              </w:rPr>
              <w:t>)</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14:paraId="07A3DCB7"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1986-1988, 1990, 1992, 1996-1997, 2006</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34570930"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r>
      <w:tr w:rsidR="00A00230" w:rsidRPr="00C54144" w14:paraId="4D88441E" w14:textId="77777777" w:rsidTr="008E5A85">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7BF6E" w14:textId="77777777" w:rsidR="00A00230" w:rsidRPr="00C54144" w:rsidRDefault="00A00230" w:rsidP="008E5A85">
            <w:pPr>
              <w:jc w:val="center"/>
              <w:rPr>
                <w:rFonts w:eastAsia="Times New Roman"/>
                <w:i/>
                <w:iCs/>
                <w:color w:val="000000"/>
              </w:rPr>
            </w:pPr>
            <w:r w:rsidRPr="00C54144">
              <w:rPr>
                <w:rFonts w:eastAsia="Times New Roman"/>
                <w:i/>
                <w:iCs/>
                <w:color w:val="000000"/>
              </w:rPr>
              <w:t>Spain</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5957C619"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7579B4E"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6EDBA3B"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390E3A6F"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r>
              <w:rPr>
                <w:rFonts w:eastAsia="Times New Roman"/>
                <w:color w:val="000000"/>
                <w:sz w:val="18"/>
                <w:szCs w:val="18"/>
              </w:rPr>
              <w:t>1980-1981 (S), 1986-2007 (S)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1E4755C"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1982-1985</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64773DBC"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r>
      <w:tr w:rsidR="00A00230" w:rsidRPr="00C54144" w14:paraId="26A28BBD" w14:textId="77777777" w:rsidTr="008E5A85">
        <w:trPr>
          <w:trHeight w:val="49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9FF2C" w14:textId="77777777" w:rsidR="00A00230" w:rsidRPr="00C54144" w:rsidRDefault="00A00230" w:rsidP="008E5A85">
            <w:pPr>
              <w:jc w:val="center"/>
              <w:rPr>
                <w:rFonts w:eastAsia="Times New Roman"/>
                <w:i/>
                <w:iCs/>
                <w:color w:val="000000"/>
              </w:rPr>
            </w:pPr>
            <w:r w:rsidRPr="00C54144">
              <w:rPr>
                <w:rFonts w:eastAsia="Times New Roman"/>
                <w:i/>
                <w:iCs/>
                <w:color w:val="000000"/>
              </w:rPr>
              <w:t>Sweden</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37AF37BE"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r>
              <w:rPr>
                <w:rFonts w:eastAsia="Times New Roman"/>
                <w:color w:val="000000"/>
                <w:sz w:val="18"/>
                <w:szCs w:val="18"/>
              </w:rPr>
              <w:t>1999-2007</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57FA3822"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5484E76" w14:textId="77777777" w:rsidR="00A00230" w:rsidRPr="00C54144" w:rsidRDefault="00A00230" w:rsidP="008E5A85">
            <w:pPr>
              <w:jc w:val="center"/>
              <w:rPr>
                <w:rFonts w:eastAsia="Times New Roman"/>
                <w:color w:val="000000"/>
                <w:sz w:val="18"/>
                <w:szCs w:val="18"/>
              </w:rPr>
            </w:pPr>
          </w:p>
        </w:tc>
        <w:tc>
          <w:tcPr>
            <w:tcW w:w="2340" w:type="dxa"/>
            <w:tcBorders>
              <w:top w:val="single" w:sz="4" w:space="0" w:color="auto"/>
              <w:left w:val="nil"/>
              <w:bottom w:val="single" w:sz="4" w:space="0" w:color="auto"/>
              <w:right w:val="single" w:sz="4" w:space="0" w:color="auto"/>
            </w:tcBorders>
            <w:shd w:val="clear" w:color="auto" w:fill="auto"/>
            <w:vAlign w:val="bottom"/>
            <w:hideMark/>
          </w:tcPr>
          <w:p w14:paraId="31F6E41A" w14:textId="77777777" w:rsidR="00A00230" w:rsidRPr="00C54144" w:rsidRDefault="00A00230" w:rsidP="008E5A85">
            <w:pPr>
              <w:jc w:val="center"/>
              <w:rPr>
                <w:rFonts w:eastAsia="Times New Roman"/>
                <w:color w:val="000000"/>
                <w:sz w:val="18"/>
                <w:szCs w:val="18"/>
              </w:rPr>
            </w:pPr>
            <w:r>
              <w:rPr>
                <w:rFonts w:eastAsia="Times New Roman"/>
                <w:color w:val="000000"/>
                <w:sz w:val="18"/>
                <w:szCs w:val="18"/>
              </w:rPr>
              <w:t>1980-1994</w:t>
            </w:r>
            <w:r w:rsidRPr="00C54144">
              <w:rPr>
                <w:rFonts w:eastAsia="Times New Roman"/>
                <w:color w:val="000000"/>
                <w:sz w:val="18"/>
                <w:szCs w:val="18"/>
              </w:rPr>
              <w:t> </w:t>
            </w:r>
            <w:r>
              <w:rPr>
                <w:rFonts w:eastAsia="Times New Roman"/>
                <w:color w:val="000000"/>
                <w:sz w:val="18"/>
                <w:szCs w:val="18"/>
              </w:rPr>
              <w:t xml:space="preserve"> (E)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7998E1D"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08EDD21E" w14:textId="77777777" w:rsidR="00A00230" w:rsidRPr="00C54144" w:rsidRDefault="00A00230" w:rsidP="008E5A85">
            <w:pPr>
              <w:jc w:val="center"/>
              <w:rPr>
                <w:rFonts w:eastAsia="Times New Roman"/>
                <w:color w:val="000000"/>
                <w:sz w:val="18"/>
                <w:szCs w:val="18"/>
              </w:rPr>
            </w:pPr>
            <w:r>
              <w:rPr>
                <w:rFonts w:eastAsia="Times New Roman"/>
                <w:color w:val="000000"/>
                <w:sz w:val="18"/>
                <w:szCs w:val="18"/>
              </w:rPr>
              <w:t>1995-1998</w:t>
            </w:r>
            <w:r w:rsidRPr="00C54144">
              <w:rPr>
                <w:rFonts w:eastAsia="Times New Roman"/>
                <w:color w:val="000000"/>
                <w:sz w:val="18"/>
                <w:szCs w:val="18"/>
              </w:rPr>
              <w:t> </w:t>
            </w:r>
          </w:p>
        </w:tc>
      </w:tr>
      <w:tr w:rsidR="00A00230" w:rsidRPr="00C54144" w14:paraId="32F0015B" w14:textId="77777777" w:rsidTr="008E5A85">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78609" w14:textId="77777777" w:rsidR="00A00230" w:rsidRPr="00C54144" w:rsidRDefault="00A00230" w:rsidP="008E5A85">
            <w:pPr>
              <w:jc w:val="center"/>
              <w:rPr>
                <w:rFonts w:eastAsia="Times New Roman"/>
                <w:i/>
                <w:iCs/>
                <w:color w:val="000000"/>
              </w:rPr>
            </w:pPr>
            <w:r w:rsidRPr="00C54144">
              <w:rPr>
                <w:rFonts w:eastAsia="Times New Roman"/>
                <w:i/>
                <w:iCs/>
                <w:color w:val="000000"/>
              </w:rPr>
              <w:t>United Kingdom</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1B3DDFD6"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2FC0E30B"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5D2EFB8"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58432DB3"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43D0D49"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 </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55337A84" w14:textId="77777777" w:rsidR="00A00230" w:rsidRPr="00C54144" w:rsidRDefault="00A00230" w:rsidP="008E5A85">
            <w:pPr>
              <w:jc w:val="center"/>
              <w:rPr>
                <w:rFonts w:eastAsia="Times New Roman"/>
                <w:color w:val="000000"/>
                <w:sz w:val="18"/>
                <w:szCs w:val="18"/>
              </w:rPr>
            </w:pPr>
            <w:r w:rsidRPr="00C54144">
              <w:rPr>
                <w:rFonts w:eastAsia="Times New Roman"/>
                <w:color w:val="000000"/>
                <w:sz w:val="18"/>
                <w:szCs w:val="18"/>
              </w:rPr>
              <w:t>1980-2007</w:t>
            </w:r>
          </w:p>
        </w:tc>
      </w:tr>
      <w:tr w:rsidR="00A00230" w:rsidRPr="00C54144" w14:paraId="7CE7D87F" w14:textId="77777777" w:rsidTr="008E5A85">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0CD03" w14:textId="77777777" w:rsidR="00A00230" w:rsidRPr="00C54144" w:rsidRDefault="00A00230" w:rsidP="008E5A85">
            <w:pPr>
              <w:jc w:val="center"/>
              <w:rPr>
                <w:rFonts w:asciiTheme="majorHAnsi" w:eastAsia="Times New Roman" w:hAnsiTheme="majorHAnsi"/>
                <w:i/>
                <w:iCs/>
                <w:color w:val="000000"/>
              </w:rPr>
            </w:pPr>
            <w:r w:rsidRPr="00C54144">
              <w:rPr>
                <w:rFonts w:asciiTheme="majorHAnsi" w:eastAsia="Times New Roman" w:hAnsiTheme="majorHAnsi"/>
                <w:i/>
                <w:iCs/>
                <w:color w:val="000000"/>
              </w:rPr>
              <w:t>United States</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4E75B478" w14:textId="77777777" w:rsidR="00A00230" w:rsidRPr="00C54144" w:rsidRDefault="00A00230" w:rsidP="008E5A85">
            <w:pPr>
              <w:jc w:val="center"/>
              <w:rPr>
                <w:rFonts w:asciiTheme="majorHAnsi" w:eastAsia="Times New Roman" w:hAnsiTheme="majorHAnsi"/>
                <w:color w:val="000000"/>
                <w:sz w:val="18"/>
                <w:szCs w:val="18"/>
              </w:rPr>
            </w:pPr>
            <w:r w:rsidRPr="00C54144">
              <w:rPr>
                <w:rFonts w:asciiTheme="majorHAnsi" w:eastAsia="Times New Roman" w:hAnsiTheme="majorHAnsi"/>
                <w:color w:val="000000"/>
                <w:sz w:val="18"/>
                <w:szCs w:val="18"/>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4994B45" w14:textId="77777777" w:rsidR="00A00230" w:rsidRPr="00C54144" w:rsidRDefault="00A00230" w:rsidP="008E5A85">
            <w:pPr>
              <w:jc w:val="center"/>
              <w:rPr>
                <w:rFonts w:asciiTheme="majorHAnsi" w:eastAsia="Times New Roman" w:hAnsiTheme="majorHAnsi"/>
                <w:color w:val="000000"/>
                <w:sz w:val="18"/>
                <w:szCs w:val="18"/>
              </w:rPr>
            </w:pPr>
            <w:r w:rsidRPr="00C54144">
              <w:rPr>
                <w:rFonts w:asciiTheme="majorHAnsi" w:eastAsia="Times New Roman" w:hAnsiTheme="majorHAnsi"/>
                <w:color w:val="000000"/>
                <w:sz w:val="18"/>
                <w:szCs w:val="18"/>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7E94A37" w14:textId="77777777" w:rsidR="00A00230" w:rsidRPr="00C54144" w:rsidRDefault="00A00230" w:rsidP="008E5A85">
            <w:pPr>
              <w:jc w:val="center"/>
              <w:rPr>
                <w:rFonts w:asciiTheme="majorHAnsi" w:eastAsia="Times New Roman" w:hAnsiTheme="majorHAnsi"/>
                <w:color w:val="000000"/>
                <w:sz w:val="18"/>
                <w:szCs w:val="18"/>
              </w:rPr>
            </w:pPr>
            <w:r w:rsidRPr="00C54144">
              <w:rPr>
                <w:rFonts w:asciiTheme="majorHAnsi" w:eastAsia="Times New Roman" w:hAnsiTheme="majorHAnsi"/>
                <w:color w:val="000000"/>
                <w:sz w:val="18"/>
                <w:szCs w:val="18"/>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BD10A01" w14:textId="77777777" w:rsidR="00A00230" w:rsidRPr="00C54144" w:rsidRDefault="00A00230" w:rsidP="008E5A85">
            <w:pPr>
              <w:jc w:val="center"/>
              <w:rPr>
                <w:rFonts w:asciiTheme="majorHAnsi" w:eastAsia="Times New Roman" w:hAnsiTheme="majorHAnsi"/>
                <w:color w:val="000000"/>
                <w:sz w:val="18"/>
                <w:szCs w:val="18"/>
              </w:rPr>
            </w:pPr>
            <w:r w:rsidRPr="00C54144">
              <w:rPr>
                <w:rFonts w:asciiTheme="majorHAnsi" w:eastAsia="Times New Roman" w:hAnsiTheme="majorHAnsi"/>
                <w:color w:val="000000"/>
                <w:sz w:val="18"/>
                <w:szCs w:val="18"/>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D79A308" w14:textId="77777777" w:rsidR="00A00230" w:rsidRPr="00C54144" w:rsidRDefault="00A00230" w:rsidP="008E5A85">
            <w:pPr>
              <w:jc w:val="center"/>
              <w:rPr>
                <w:rFonts w:asciiTheme="majorHAnsi" w:eastAsia="Times New Roman" w:hAnsiTheme="majorHAnsi"/>
                <w:color w:val="000000"/>
                <w:sz w:val="18"/>
                <w:szCs w:val="18"/>
              </w:rPr>
            </w:pPr>
            <w:r w:rsidRPr="00C54144">
              <w:rPr>
                <w:rFonts w:asciiTheme="majorHAnsi" w:eastAsia="Times New Roman" w:hAnsiTheme="majorHAnsi"/>
                <w:color w:val="000000"/>
                <w:sz w:val="18"/>
                <w:szCs w:val="18"/>
              </w:rPr>
              <w:t> </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0E701525" w14:textId="77777777" w:rsidR="00A00230" w:rsidRPr="00C54144" w:rsidRDefault="00A00230" w:rsidP="008E5A85">
            <w:pPr>
              <w:jc w:val="center"/>
              <w:rPr>
                <w:rFonts w:asciiTheme="majorHAnsi" w:eastAsia="Times New Roman" w:hAnsiTheme="majorHAnsi"/>
                <w:color w:val="000000"/>
                <w:sz w:val="18"/>
                <w:szCs w:val="18"/>
              </w:rPr>
            </w:pPr>
            <w:r w:rsidRPr="00C54144">
              <w:rPr>
                <w:rFonts w:asciiTheme="majorHAnsi" w:eastAsia="Times New Roman" w:hAnsiTheme="majorHAnsi"/>
                <w:color w:val="000000"/>
                <w:sz w:val="18"/>
                <w:szCs w:val="18"/>
              </w:rPr>
              <w:t>1980-2007</w:t>
            </w:r>
          </w:p>
        </w:tc>
      </w:tr>
    </w:tbl>
    <w:p w14:paraId="0940CED2" w14:textId="15745324" w:rsidR="00A00230" w:rsidRPr="00A00230" w:rsidRDefault="00A00230">
      <w:pPr>
        <w:rPr>
          <w:rFonts w:asciiTheme="majorHAnsi" w:hAnsiTheme="majorHAnsi"/>
        </w:rPr>
        <w:sectPr w:rsidR="00A00230" w:rsidRPr="00A00230" w:rsidSect="00A00230">
          <w:pgSz w:w="16840" w:h="11900" w:orient="landscape"/>
          <w:pgMar w:top="720" w:right="1440" w:bottom="720" w:left="1440" w:header="706" w:footer="706" w:gutter="0"/>
          <w:cols w:space="708"/>
          <w:docGrid w:linePitch="360"/>
        </w:sectPr>
      </w:pPr>
      <w:r>
        <w:rPr>
          <w:rFonts w:asciiTheme="majorHAnsi" w:hAnsiTheme="majorHAnsi"/>
        </w:rPr>
        <w:t xml:space="preserve">E indicates export-dominated (peak bargaining).  S indicates sheltered-dominated (peak bargaining). </w:t>
      </w:r>
      <w:proofErr w:type="gramStart"/>
      <w:r w:rsidRPr="003C6597">
        <w:rPr>
          <w:rFonts w:asciiTheme="majorHAnsi" w:hAnsiTheme="majorHAnsi"/>
        </w:rPr>
        <w:t xml:space="preserve">1980-2003 data from </w:t>
      </w:r>
      <w:proofErr w:type="spellStart"/>
      <w:r w:rsidRPr="003C6597">
        <w:rPr>
          <w:rFonts w:asciiTheme="majorHAnsi" w:hAnsiTheme="majorHAnsi"/>
        </w:rPr>
        <w:t>Brandl</w:t>
      </w:r>
      <w:proofErr w:type="spellEnd"/>
      <w:r w:rsidRPr="003C6597">
        <w:rPr>
          <w:rFonts w:asciiTheme="majorHAnsi" w:hAnsiTheme="majorHAnsi"/>
        </w:rPr>
        <w:t xml:space="preserve"> (2012).</w:t>
      </w:r>
      <w:proofErr w:type="gramEnd"/>
      <w:r w:rsidRPr="003C6597">
        <w:rPr>
          <w:rFonts w:asciiTheme="majorHAnsi" w:hAnsiTheme="majorHAnsi"/>
        </w:rPr>
        <w:t xml:space="preserve">  2004-2007 data from </w:t>
      </w:r>
      <w:r>
        <w:rPr>
          <w:rFonts w:asciiTheme="majorHAnsi" w:hAnsiTheme="majorHAnsi"/>
        </w:rPr>
        <w:t>Johnston et al, 2014</w:t>
      </w:r>
    </w:p>
    <w:p w14:paraId="7FB31A7D" w14:textId="77777777" w:rsidR="00A00230" w:rsidRPr="00893E2E" w:rsidRDefault="00A00230" w:rsidP="00A00230">
      <w:pPr>
        <w:rPr>
          <w:rFonts w:ascii="Times New Roman" w:hAnsi="Times New Roman"/>
        </w:rPr>
      </w:pPr>
      <w:bookmarkStart w:id="0" w:name="_GoBack"/>
      <w:bookmarkEnd w:id="0"/>
    </w:p>
    <w:sectPr w:rsidR="00A00230" w:rsidRPr="00893E2E" w:rsidSect="007B611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6EEEF" w14:textId="77777777" w:rsidR="00893E2E" w:rsidRDefault="00893E2E" w:rsidP="0023707F">
      <w:r>
        <w:separator/>
      </w:r>
    </w:p>
  </w:endnote>
  <w:endnote w:type="continuationSeparator" w:id="0">
    <w:p w14:paraId="07F7C93C" w14:textId="77777777" w:rsidR="00893E2E" w:rsidRDefault="00893E2E" w:rsidP="0023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MR12">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Italic">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025E" w14:textId="77777777" w:rsidR="00893E2E" w:rsidRDefault="00893E2E" w:rsidP="00273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AAACC2" w14:textId="77777777" w:rsidR="00893E2E" w:rsidRDefault="00893E2E" w:rsidP="00273E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41B78" w14:textId="77777777" w:rsidR="00893E2E" w:rsidRDefault="00893E2E" w:rsidP="00273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759">
      <w:rPr>
        <w:rStyle w:val="PageNumber"/>
        <w:noProof/>
      </w:rPr>
      <w:t>1</w:t>
    </w:r>
    <w:r>
      <w:rPr>
        <w:rStyle w:val="PageNumber"/>
      </w:rPr>
      <w:fldChar w:fldCharType="end"/>
    </w:r>
  </w:p>
  <w:p w14:paraId="22DECD0C" w14:textId="77777777" w:rsidR="00893E2E" w:rsidRDefault="00893E2E" w:rsidP="00273E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DF685" w14:textId="77777777" w:rsidR="00893E2E" w:rsidRDefault="00893E2E" w:rsidP="0023707F">
      <w:r>
        <w:separator/>
      </w:r>
    </w:p>
  </w:footnote>
  <w:footnote w:type="continuationSeparator" w:id="0">
    <w:p w14:paraId="1E2F3888" w14:textId="77777777" w:rsidR="00893E2E" w:rsidRDefault="00893E2E" w:rsidP="0023707F">
      <w:r>
        <w:continuationSeparator/>
      </w:r>
    </w:p>
  </w:footnote>
  <w:footnote w:id="1">
    <w:p w14:paraId="1A526190" w14:textId="6183FF05" w:rsidR="00893E2E" w:rsidRDefault="00893E2E">
      <w:pPr>
        <w:pStyle w:val="FootnoteText"/>
      </w:pPr>
      <w:r>
        <w:rPr>
          <w:rStyle w:val="FootnoteReference"/>
        </w:rPr>
        <w:footnoteRef/>
      </w:r>
      <w:r>
        <w:t xml:space="preserve"> </w:t>
      </w:r>
      <w:proofErr w:type="gramStart"/>
      <w:r>
        <w:t>Corresponding Author.</w:t>
      </w:r>
      <w:proofErr w:type="gramEnd"/>
      <w:r>
        <w:t xml:space="preserve">  Assistant Professor. </w:t>
      </w:r>
      <w:proofErr w:type="gramStart"/>
      <w:r>
        <w:t>Oregon State University, Department of Political Science.</w:t>
      </w:r>
      <w:proofErr w:type="gramEnd"/>
      <w:r>
        <w:t xml:space="preserve"> </w:t>
      </w:r>
      <w:proofErr w:type="gramStart"/>
      <w:r>
        <w:t>Ballard Hall, 330F, Corvallis, OR 97331.</w:t>
      </w:r>
      <w:proofErr w:type="gramEnd"/>
      <w:r>
        <w:t xml:space="preserve"> +1-541-737-6243 </w:t>
      </w:r>
      <w:hyperlink r:id="rId1" w:history="1">
        <w:r w:rsidRPr="008C407C">
          <w:rPr>
            <w:rStyle w:val="Hyperlink"/>
          </w:rPr>
          <w:t>Alison.Johnston@oregonstate.edu</w:t>
        </w:r>
      </w:hyperlink>
      <w:r>
        <w:t xml:space="preserve"> </w:t>
      </w:r>
    </w:p>
  </w:footnote>
  <w:footnote w:id="2">
    <w:p w14:paraId="65758084" w14:textId="77777777" w:rsidR="00893E2E" w:rsidRDefault="00893E2E">
      <w:pPr>
        <w:pStyle w:val="FootnoteText"/>
      </w:pPr>
      <w:r>
        <w:rPr>
          <w:rStyle w:val="FootnoteReference"/>
        </w:rPr>
        <w:footnoteRef/>
      </w:r>
      <w:r>
        <w:t xml:space="preserve"> </w:t>
      </w:r>
      <w:proofErr w:type="gramStart"/>
      <w:r>
        <w:t>Lecturer, University College Dublin.</w:t>
      </w:r>
      <w:proofErr w:type="gramEnd"/>
      <w:r>
        <w:t xml:space="preserve"> </w:t>
      </w:r>
      <w:proofErr w:type="gramStart"/>
      <w:r>
        <w:t>School of Politics and International Relations.</w:t>
      </w:r>
      <w:proofErr w:type="gramEnd"/>
      <w:r>
        <w:t xml:space="preserve"> </w:t>
      </w:r>
      <w:hyperlink r:id="rId2" w:history="1">
        <w:r>
          <w:rPr>
            <w:rStyle w:val="Hyperlink"/>
          </w:rPr>
          <w:t>aidan.regan@ucd.ie</w:t>
        </w:r>
      </w:hyperlink>
      <w:r>
        <w:t xml:space="preserve"> </w:t>
      </w:r>
    </w:p>
  </w:footnote>
  <w:footnote w:id="3">
    <w:p w14:paraId="67D0326D" w14:textId="4A373033" w:rsidR="00893E2E" w:rsidRDefault="00893E2E">
      <w:pPr>
        <w:pStyle w:val="FootnoteText"/>
      </w:pPr>
      <w:r>
        <w:rPr>
          <w:rStyle w:val="FootnoteReference"/>
        </w:rPr>
        <w:footnoteRef/>
      </w:r>
      <w:r>
        <w:t xml:space="preserve"> It is important to note that our dependent variable is housing prices not household debt. The USA had a subprime mortgage debt crisis that was associated with rising income inequality and financial products of securitization.  Aggregate house price increases, however, were</w:t>
      </w:r>
      <w:r w:rsidRPr="00F865E7">
        <w:rPr>
          <w:i/>
        </w:rPr>
        <w:t xml:space="preserve"> not</w:t>
      </w:r>
      <w:r>
        <w:t xml:space="preserve"> that different from the OECD average.</w:t>
      </w:r>
    </w:p>
  </w:footnote>
  <w:footnote w:id="4">
    <w:p w14:paraId="392B5DB5" w14:textId="77777777" w:rsidR="00893E2E" w:rsidRDefault="00893E2E" w:rsidP="0023707F">
      <w:pPr>
        <w:pStyle w:val="FootnoteText"/>
      </w:pPr>
      <w:r>
        <w:rPr>
          <w:rStyle w:val="FootnoteReference"/>
        </w:rPr>
        <w:footnoteRef/>
      </w:r>
      <w:r>
        <w:t xml:space="preserve"> In this paper, we use the terms exposed and tradable sectors, and sheltered and non-tradable sectors, interchangeably. </w:t>
      </w:r>
    </w:p>
  </w:footnote>
  <w:footnote w:id="5">
    <w:p w14:paraId="4FB6C7FD" w14:textId="77777777" w:rsidR="00893E2E" w:rsidRDefault="00893E2E" w:rsidP="0023707F">
      <w:pPr>
        <w:pStyle w:val="FootnoteText"/>
      </w:pPr>
      <w:r>
        <w:rPr>
          <w:rStyle w:val="FootnoteReference"/>
        </w:rPr>
        <w:footnoteRef/>
      </w:r>
      <w:r>
        <w:t xml:space="preserve"> Under the interest rate parity condition, foreign and domestic interest rates equalize in the presence of capital mobility only if the expected future exchange is roughly equivalent to the current exchange rate (and if default risks are similar).  This did not materialize in Latin American and East Asia, where exchange rates were volatile, and default risk was heterogeneous, but it did materialize in developed economies due to the rise of inflation targeting central banks, and in the case of the Western European economies, the European Monetary System’s fixed exchange rate regime.</w:t>
      </w:r>
    </w:p>
  </w:footnote>
  <w:footnote w:id="6">
    <w:p w14:paraId="32230995" w14:textId="77777777" w:rsidR="00893E2E" w:rsidRDefault="00893E2E" w:rsidP="0023707F">
      <w:pPr>
        <w:pStyle w:val="FootnoteText"/>
      </w:pPr>
      <w:r>
        <w:rPr>
          <w:rStyle w:val="FootnoteReference"/>
        </w:rPr>
        <w:footnoteRef/>
      </w:r>
      <w:r>
        <w:t xml:space="preserve"> Canada, Japan, the UK, and the US removed capital controls at the start of the 1980s, while Australia did so by 1985, Denmark by 1988, and Sweden by 1993 (</w:t>
      </w:r>
      <w:proofErr w:type="spellStart"/>
      <w:r>
        <w:t>Karcher</w:t>
      </w:r>
      <w:proofErr w:type="spellEnd"/>
      <w:r>
        <w:t xml:space="preserve"> and Steinberg, 2012).</w:t>
      </w:r>
    </w:p>
  </w:footnote>
  <w:footnote w:id="7">
    <w:p w14:paraId="05335659" w14:textId="77777777" w:rsidR="00893E2E" w:rsidRPr="00625109" w:rsidRDefault="00893E2E" w:rsidP="0023707F">
      <w:pPr>
        <w:pStyle w:val="FootnoteText"/>
      </w:pPr>
      <w:r w:rsidRPr="00625109">
        <w:rPr>
          <w:rStyle w:val="FootnoteReference"/>
        </w:rPr>
        <w:footnoteRef/>
      </w:r>
      <w:r w:rsidRPr="00625109">
        <w:t xml:space="preserve"> These include Austria, Belgium, Canada, Denmark, Finland, France, Germany, Great Britain, Ireland, Italy, Japan, the Netherlands, Norway, Portugal, Spain, Sweden, and the United States.  </w:t>
      </w:r>
    </w:p>
  </w:footnote>
  <w:footnote w:id="8">
    <w:p w14:paraId="1D84572C" w14:textId="77777777" w:rsidR="00893E2E" w:rsidRDefault="00893E2E" w:rsidP="0023707F">
      <w:pPr>
        <w:pStyle w:val="FootnoteText"/>
      </w:pPr>
      <w:r>
        <w:rPr>
          <w:rStyle w:val="FootnoteReference"/>
        </w:rPr>
        <w:footnoteRef/>
      </w:r>
      <w:r>
        <w:t xml:space="preserve"> The OECD (</w:t>
      </w:r>
      <w:r w:rsidRPr="00AB7570">
        <w:t>2011),</w:t>
      </w:r>
      <w:r>
        <w:t xml:space="preserve"> lacked time series data on tax relief, so the 2009 level was compared with housing price changes between 2000 and 2007</w:t>
      </w:r>
    </w:p>
  </w:footnote>
  <w:footnote w:id="9">
    <w:p w14:paraId="18888CFD" w14:textId="77777777" w:rsidR="00893E2E" w:rsidRDefault="00893E2E" w:rsidP="0023707F">
      <w:pPr>
        <w:pStyle w:val="FootnoteText"/>
      </w:pPr>
      <w:r>
        <w:rPr>
          <w:rStyle w:val="FootnoteReference"/>
        </w:rPr>
        <w:footnoteRef/>
      </w:r>
      <w:r>
        <w:t xml:space="preserve"> These countries include Australia, Austria, Belgium, Canada, Denmark, Finland, France, Germany, Ireland, Italy, Japan, the Netherlands, Portugal, Spain, Sweden, the United Kingdom and the United States.</w:t>
      </w:r>
    </w:p>
  </w:footnote>
  <w:footnote w:id="10">
    <w:p w14:paraId="4995945C" w14:textId="77777777" w:rsidR="00893E2E" w:rsidRDefault="00893E2E" w:rsidP="0023707F">
      <w:pPr>
        <w:pStyle w:val="FootnoteText"/>
      </w:pPr>
      <w:r>
        <w:rPr>
          <w:rStyle w:val="FootnoteReference"/>
        </w:rPr>
        <w:footnoteRef/>
      </w:r>
      <w:r>
        <w:t xml:space="preserve"> Percentage changes are expressed from 0-100 rather 0-1.</w:t>
      </w:r>
    </w:p>
  </w:footnote>
  <w:footnote w:id="11">
    <w:p w14:paraId="0A696E15" w14:textId="77777777" w:rsidR="00893E2E" w:rsidRDefault="00893E2E" w:rsidP="0023707F">
      <w:pPr>
        <w:pStyle w:val="FootnoteText"/>
      </w:pPr>
      <w:r>
        <w:rPr>
          <w:rStyle w:val="FootnoteReference"/>
        </w:rPr>
        <w:footnoteRef/>
      </w:r>
      <w:r>
        <w:t xml:space="preserve"> Our results remain unchanged if we use the proportion of legislative seats occupied by right parties.</w:t>
      </w:r>
    </w:p>
  </w:footnote>
  <w:footnote w:id="12">
    <w:p w14:paraId="09B0DB3F" w14:textId="77777777" w:rsidR="00893E2E" w:rsidRDefault="00893E2E" w:rsidP="0023707F">
      <w:pPr>
        <w:pStyle w:val="FootnoteText"/>
      </w:pPr>
      <w:r>
        <w:rPr>
          <w:rStyle w:val="FootnoteReference"/>
        </w:rPr>
        <w:footnoteRef/>
      </w:r>
      <w:r>
        <w:t xml:space="preserve"> Our results remain unchanged if we do not weight the CBI index.</w:t>
      </w:r>
    </w:p>
  </w:footnote>
  <w:footnote w:id="13">
    <w:p w14:paraId="60D7BB87" w14:textId="77777777" w:rsidR="00893E2E" w:rsidRPr="00BA450D" w:rsidRDefault="00893E2E" w:rsidP="0023707F">
      <w:pPr>
        <w:pStyle w:val="FootnoteText"/>
        <w:rPr>
          <w:rFonts w:ascii="Times New Roman" w:hAnsi="Times New Roman"/>
        </w:rPr>
      </w:pPr>
      <w:r>
        <w:rPr>
          <w:rStyle w:val="FootnoteReference"/>
        </w:rPr>
        <w:footnoteRef/>
      </w:r>
      <w:r>
        <w:t xml:space="preserve"> </w:t>
      </w:r>
      <w:r w:rsidRPr="008C162C">
        <w:rPr>
          <w:rFonts w:ascii="Times New Roman" w:hAnsi="Times New Roman"/>
        </w:rPr>
        <w:t>A Wooldridge test for au</w:t>
      </w:r>
      <w:r>
        <w:rPr>
          <w:rFonts w:ascii="Times New Roman" w:hAnsi="Times New Roman"/>
        </w:rPr>
        <w:t>to-correlation (F-statistic of 66.60, p-value=0.000</w:t>
      </w:r>
      <w:r w:rsidRPr="008C162C">
        <w:rPr>
          <w:rFonts w:ascii="Times New Roman" w:hAnsi="Times New Roman"/>
        </w:rPr>
        <w:t>) and an LR</w:t>
      </w:r>
      <w:r>
        <w:rPr>
          <w:rFonts w:ascii="Times New Roman" w:hAnsi="Times New Roman"/>
        </w:rPr>
        <w:t xml:space="preserve"> test</w:t>
      </w:r>
      <w:r w:rsidRPr="008C162C">
        <w:rPr>
          <w:rFonts w:ascii="Times New Roman" w:hAnsi="Times New Roman"/>
        </w:rPr>
        <w:t xml:space="preserve"> of panel heteroskedasticity (Chi-squared stati</w:t>
      </w:r>
      <w:r>
        <w:rPr>
          <w:rFonts w:ascii="Times New Roman" w:hAnsi="Times New Roman"/>
        </w:rPr>
        <w:t>stic of  71.51, p-value=0.000</w:t>
      </w:r>
      <w:r w:rsidRPr="008C162C">
        <w:rPr>
          <w:rFonts w:ascii="Times New Roman" w:hAnsi="Times New Roman"/>
        </w:rPr>
        <w:t>) for Model I</w:t>
      </w:r>
      <w:r>
        <w:rPr>
          <w:rFonts w:ascii="Times New Roman" w:hAnsi="Times New Roman"/>
        </w:rPr>
        <w:t xml:space="preserve"> in Table 1</w:t>
      </w:r>
      <w:r w:rsidRPr="008C162C">
        <w:rPr>
          <w:rFonts w:ascii="Times New Roman" w:hAnsi="Times New Roman"/>
        </w:rPr>
        <w:t xml:space="preserve"> </w:t>
      </w:r>
      <w:r>
        <w:rPr>
          <w:rFonts w:ascii="Times New Roman" w:hAnsi="Times New Roman"/>
        </w:rPr>
        <w:t>suggest</w:t>
      </w:r>
      <w:r w:rsidRPr="008C162C">
        <w:rPr>
          <w:rFonts w:ascii="Times New Roman" w:hAnsi="Times New Roman"/>
        </w:rPr>
        <w:t xml:space="preserve"> that both </w:t>
      </w:r>
      <w:r>
        <w:rPr>
          <w:rFonts w:ascii="Times New Roman" w:hAnsi="Times New Roman"/>
        </w:rPr>
        <w:t>first order serial correlation and panel heteroskedasticity are</w:t>
      </w:r>
      <w:r w:rsidRPr="008C162C">
        <w:rPr>
          <w:rFonts w:ascii="Times New Roman" w:hAnsi="Times New Roman"/>
        </w:rPr>
        <w:t xml:space="preserve"> present in the base</w:t>
      </w:r>
      <w:r>
        <w:rPr>
          <w:rFonts w:ascii="Times New Roman" w:hAnsi="Times New Roman"/>
        </w:rPr>
        <w:t xml:space="preserve">line model. </w:t>
      </w:r>
    </w:p>
  </w:footnote>
  <w:footnote w:id="14">
    <w:p w14:paraId="4F421A5C" w14:textId="77777777" w:rsidR="00893E2E" w:rsidRPr="007E6F29" w:rsidRDefault="00893E2E" w:rsidP="0023707F">
      <w:pPr>
        <w:pStyle w:val="FootnoteText"/>
      </w:pPr>
      <w:r>
        <w:rPr>
          <w:rStyle w:val="FootnoteReference"/>
        </w:rPr>
        <w:footnoteRef/>
      </w:r>
      <w:r>
        <w:t xml:space="preserve"> Our results below remain consistent when we differentiate between sheltered vs exposed sector dominated peak-level </w:t>
      </w:r>
      <w:r w:rsidRPr="007E6F29">
        <w:t xml:space="preserve">bargaining.   </w:t>
      </w:r>
    </w:p>
  </w:footnote>
  <w:footnote w:id="15">
    <w:p w14:paraId="35FA1FFA" w14:textId="77777777" w:rsidR="00893E2E" w:rsidRDefault="00893E2E" w:rsidP="0023707F">
      <w:pPr>
        <w:pStyle w:val="FootnoteText"/>
      </w:pPr>
      <w:r w:rsidRPr="007E6F29">
        <w:rPr>
          <w:rStyle w:val="FootnoteReference"/>
        </w:rPr>
        <w:footnoteRef/>
      </w:r>
      <w:r w:rsidRPr="007E6F29">
        <w:t xml:space="preserve"> We also estimated our baseline model </w:t>
      </w:r>
      <w:r>
        <w:t xml:space="preserve">with </w:t>
      </w:r>
      <w:r w:rsidRPr="007E6F29">
        <w:t xml:space="preserve">the Arellano–Bond (1991) general method of </w:t>
      </w:r>
      <w:proofErr w:type="gramStart"/>
      <w:r w:rsidRPr="007E6F29">
        <w:t>moments</w:t>
      </w:r>
      <w:proofErr w:type="gramEnd"/>
      <w:r w:rsidRPr="007E6F29">
        <w:t xml:space="preserve"> estimator.  </w:t>
      </w:r>
      <w:r>
        <w:t>T</w:t>
      </w:r>
      <w:r w:rsidRPr="007E6F29">
        <w:t>hough this estimator is more appropriate for panels where cross-sectional units outnumber time units</w:t>
      </w:r>
      <w:r>
        <w:t>, it produced</w:t>
      </w:r>
      <w:r w:rsidRPr="007E6F29">
        <w:t xml:space="preserve"> results similar to those in Tables 1 and 2.</w:t>
      </w:r>
    </w:p>
  </w:footnote>
  <w:footnote w:id="16">
    <w:p w14:paraId="4FA21C64" w14:textId="21219A63" w:rsidR="008D2BC9" w:rsidRPr="008D2BC9" w:rsidRDefault="008D2BC9" w:rsidP="008D2BC9">
      <w:pPr>
        <w:jc w:val="both"/>
        <w:rPr>
          <w:sz w:val="20"/>
          <w:szCs w:val="20"/>
          <w:lang w:val="en-US"/>
        </w:rPr>
      </w:pPr>
      <w:r w:rsidRPr="008D2BC9">
        <w:rPr>
          <w:rStyle w:val="FootnoteReference"/>
          <w:sz w:val="20"/>
          <w:szCs w:val="20"/>
        </w:rPr>
        <w:footnoteRef/>
      </w:r>
      <w:r w:rsidRPr="008D2BC9">
        <w:rPr>
          <w:sz w:val="20"/>
          <w:szCs w:val="20"/>
        </w:rPr>
        <w:t xml:space="preserve"> If we incorporate a full list of (n-1) country dummies within our </w:t>
      </w:r>
      <w:r w:rsidRPr="008D2BC9">
        <w:rPr>
          <w:i/>
          <w:sz w:val="20"/>
          <w:szCs w:val="20"/>
        </w:rPr>
        <w:t>OLS</w:t>
      </w:r>
      <w:r w:rsidRPr="008D2BC9">
        <w:rPr>
          <w:sz w:val="20"/>
          <w:szCs w:val="20"/>
        </w:rPr>
        <w:t xml:space="preserve"> estimator, which does not incorporate the coordination regime dummies, our results in Table 1 remain unchanged (</w:t>
      </w:r>
      <w:r w:rsidRPr="008D2BC9">
        <w:rPr>
          <w:sz w:val="20"/>
          <w:szCs w:val="20"/>
          <w:highlight w:val="yellow"/>
        </w:rPr>
        <w:t>show results in an online appendix…</w:t>
      </w:r>
      <w:r w:rsidRPr="008D2BC9">
        <w:rPr>
          <w:sz w:val="20"/>
          <w:szCs w:val="20"/>
        </w:rPr>
        <w:t xml:space="preserve">).   </w:t>
      </w:r>
    </w:p>
  </w:footnote>
  <w:footnote w:id="17">
    <w:p w14:paraId="4816EE8D" w14:textId="1861CEAF" w:rsidR="008D2BC9" w:rsidRPr="00E27A70" w:rsidRDefault="008D2BC9" w:rsidP="008D2BC9">
      <w:pPr>
        <w:rPr>
          <w:rFonts w:asciiTheme="majorHAnsi" w:eastAsia="Times New Roman" w:hAnsiTheme="majorHAnsi"/>
          <w:sz w:val="20"/>
          <w:szCs w:val="20"/>
          <w:lang w:val="en-US"/>
        </w:rPr>
      </w:pPr>
      <w:r>
        <w:rPr>
          <w:rStyle w:val="FootnoteReference"/>
        </w:rPr>
        <w:footnoteRef/>
      </w:r>
      <w:r>
        <w:t xml:space="preserve"> </w:t>
      </w:r>
      <w:r w:rsidRPr="00E27A70">
        <w:rPr>
          <w:rFonts w:asciiTheme="majorHAnsi" w:hAnsiTheme="majorHAnsi"/>
          <w:sz w:val="20"/>
          <w:szCs w:val="20"/>
        </w:rPr>
        <w:t xml:space="preserve">Canada and Australia </w:t>
      </w:r>
      <w:r>
        <w:rPr>
          <w:rFonts w:asciiTheme="majorHAnsi" w:hAnsiTheme="majorHAnsi"/>
          <w:sz w:val="20"/>
          <w:szCs w:val="20"/>
        </w:rPr>
        <w:t>contrast credit-</w:t>
      </w:r>
      <w:r w:rsidRPr="00E27A70">
        <w:rPr>
          <w:rFonts w:asciiTheme="majorHAnsi" w:hAnsiTheme="majorHAnsi"/>
          <w:sz w:val="20"/>
          <w:szCs w:val="20"/>
        </w:rPr>
        <w:t xml:space="preserve">permissive </w:t>
      </w:r>
      <w:r>
        <w:rPr>
          <w:rFonts w:asciiTheme="majorHAnsi" w:hAnsiTheme="majorHAnsi"/>
          <w:sz w:val="20"/>
          <w:szCs w:val="20"/>
        </w:rPr>
        <w:t>liberal-market economies</w:t>
      </w:r>
      <w:r w:rsidRPr="00E27A70">
        <w:rPr>
          <w:rFonts w:asciiTheme="majorHAnsi" w:hAnsiTheme="majorHAnsi"/>
          <w:sz w:val="20"/>
          <w:szCs w:val="20"/>
        </w:rPr>
        <w:t xml:space="preserve">.  The former’s financial sector </w:t>
      </w:r>
      <w:r>
        <w:rPr>
          <w:rFonts w:asciiTheme="majorHAnsi" w:hAnsiTheme="majorHAnsi"/>
          <w:sz w:val="20"/>
          <w:szCs w:val="20"/>
        </w:rPr>
        <w:t>was resilient</w:t>
      </w:r>
      <w:r w:rsidRPr="00E27A70">
        <w:rPr>
          <w:rFonts w:asciiTheme="majorHAnsi" w:hAnsiTheme="majorHAnsi"/>
          <w:sz w:val="20"/>
          <w:szCs w:val="20"/>
        </w:rPr>
        <w:t xml:space="preserve"> to the 2008 financial crisis, given its </w:t>
      </w:r>
      <w:r w:rsidRPr="00E27A70">
        <w:rPr>
          <w:rFonts w:asciiTheme="majorHAnsi" w:eastAsia="Times New Roman" w:hAnsiTheme="majorHAnsi"/>
          <w:sz w:val="20"/>
          <w:szCs w:val="20"/>
          <w:lang w:val="en-US"/>
        </w:rPr>
        <w:t>higher (p</w:t>
      </w:r>
      <w:r>
        <w:rPr>
          <w:rFonts w:asciiTheme="majorHAnsi" w:eastAsia="Times New Roman" w:hAnsiTheme="majorHAnsi"/>
          <w:sz w:val="20"/>
          <w:szCs w:val="20"/>
          <w:lang w:val="en-US"/>
        </w:rPr>
        <w:t>re-crisis) capital requirements and</w:t>
      </w:r>
      <w:r w:rsidRPr="00E27A70">
        <w:rPr>
          <w:rFonts w:asciiTheme="majorHAnsi" w:eastAsia="Times New Roman" w:hAnsiTheme="majorHAnsi"/>
          <w:sz w:val="20"/>
          <w:szCs w:val="20"/>
          <w:lang w:val="en-US"/>
        </w:rPr>
        <w:t xml:space="preserve"> g</w:t>
      </w:r>
      <w:r>
        <w:rPr>
          <w:rFonts w:asciiTheme="majorHAnsi" w:eastAsia="Times New Roman" w:hAnsiTheme="majorHAnsi"/>
          <w:sz w:val="20"/>
          <w:szCs w:val="20"/>
          <w:lang w:val="en-US"/>
        </w:rPr>
        <w:t>reater leverage restrictions</w:t>
      </w:r>
      <w:r w:rsidRPr="00E27A70">
        <w:rPr>
          <w:rFonts w:asciiTheme="majorHAnsi" w:eastAsia="Times New Roman" w:hAnsiTheme="majorHAnsi"/>
          <w:sz w:val="20"/>
          <w:szCs w:val="20"/>
          <w:lang w:val="en-US"/>
        </w:rPr>
        <w:t>.</w:t>
      </w:r>
      <w:r>
        <w:rPr>
          <w:rFonts w:asciiTheme="majorHAnsi" w:eastAsia="Times New Roman" w:hAnsiTheme="majorHAnsi"/>
          <w:sz w:val="20"/>
          <w:szCs w:val="20"/>
          <w:lang w:val="en-US"/>
        </w:rPr>
        <w:t xml:space="preserve">  Due to tighter regulations (Canadian banks cannot offer mortgages with less than 5% down), only 3% of Canadian mortgages were subprime in 2005, compared to 15% in the US (Haltom, 2013).  Australia also weathered the 2008 financial crisis well, given its banking sector’s cautious approach to home lending and limited, little history with subprime lending. Australian banks were encouraged by government policy to avoid risky loans (Hill, 2012).    </w:t>
      </w:r>
    </w:p>
    <w:p w14:paraId="32CA68AC" w14:textId="77777777" w:rsidR="008D2BC9" w:rsidRDefault="008D2BC9" w:rsidP="008D2BC9">
      <w:pPr>
        <w:pStyle w:val="FootnoteText"/>
      </w:pPr>
      <w:r>
        <w:t xml:space="preserve">   </w:t>
      </w:r>
    </w:p>
  </w:footnote>
  <w:footnote w:id="18">
    <w:p w14:paraId="15C5ED2B" w14:textId="77777777" w:rsidR="00893E2E" w:rsidRDefault="00893E2E" w:rsidP="0023707F">
      <w:pPr>
        <w:pStyle w:val="FootnoteText"/>
      </w:pPr>
      <w:r>
        <w:rPr>
          <w:rStyle w:val="FootnoteReference"/>
        </w:rPr>
        <w:footnoteRef/>
      </w:r>
      <w:r>
        <w:t xml:space="preserve"> It is unlikely that this is due to imperfect multicollinearity as all independent variables display insignificant or small and weakly significant (pair-wise correlations of less than 0.15) with each other.</w:t>
      </w:r>
    </w:p>
  </w:footnote>
  <w:footnote w:id="19">
    <w:p w14:paraId="652837A7" w14:textId="77777777" w:rsidR="00893E2E" w:rsidRPr="006709D1" w:rsidRDefault="00893E2E" w:rsidP="0023707F">
      <w:pPr>
        <w:autoSpaceDE w:val="0"/>
        <w:autoSpaceDN w:val="0"/>
        <w:adjustRightInd w:val="0"/>
        <w:jc w:val="both"/>
        <w:rPr>
          <w:rFonts w:cs="CMR12"/>
          <w:sz w:val="20"/>
          <w:szCs w:val="20"/>
          <w:lang w:val="en-US"/>
        </w:rPr>
      </w:pPr>
      <w:r w:rsidRPr="002B52A5">
        <w:rPr>
          <w:rStyle w:val="FootnoteReference"/>
        </w:rPr>
        <w:footnoteRef/>
      </w:r>
      <w:r w:rsidRPr="002B52A5">
        <w:rPr>
          <w:sz w:val="20"/>
          <w:szCs w:val="20"/>
        </w:rPr>
        <w:t xml:space="preserve"> High loan-to-value ratios should indicate that Dutch borrowers may be more prone towards default.  However, unlike the US mortgage market, </w:t>
      </w:r>
      <w:r w:rsidRPr="002B52A5">
        <w:rPr>
          <w:rFonts w:cs="CMR12"/>
          <w:sz w:val="20"/>
          <w:szCs w:val="20"/>
          <w:lang w:val="en-US"/>
        </w:rPr>
        <w:t xml:space="preserve">the passing on of credit risk through mortgage securitization was comparatively rare in the Netherlands, which explains why monitoring problems behind home finance have not been so severe in the country and why lending standards have not been loosened in the 2000s (Cunha, </w:t>
      </w:r>
      <w:proofErr w:type="spellStart"/>
      <w:r w:rsidRPr="002B52A5">
        <w:rPr>
          <w:rFonts w:cs="CMR12"/>
          <w:sz w:val="20"/>
          <w:szCs w:val="20"/>
          <w:lang w:val="en-US"/>
        </w:rPr>
        <w:t>Lambrecht</w:t>
      </w:r>
      <w:proofErr w:type="spellEnd"/>
      <w:r w:rsidRPr="002B52A5">
        <w:rPr>
          <w:rFonts w:cs="CMR12"/>
          <w:sz w:val="20"/>
          <w:szCs w:val="20"/>
          <w:lang w:val="en-US"/>
        </w:rPr>
        <w:t xml:space="preserve">, and </w:t>
      </w:r>
      <w:proofErr w:type="spellStart"/>
      <w:r w:rsidRPr="002B52A5">
        <w:rPr>
          <w:rFonts w:cs="CMR12"/>
          <w:sz w:val="20"/>
          <w:szCs w:val="20"/>
          <w:lang w:val="en-US"/>
        </w:rPr>
        <w:t>Pawlina</w:t>
      </w:r>
      <w:proofErr w:type="spellEnd"/>
      <w:r w:rsidRPr="002B52A5">
        <w:rPr>
          <w:rFonts w:cs="CMR12"/>
          <w:sz w:val="20"/>
          <w:szCs w:val="20"/>
          <w:lang w:val="en-US"/>
        </w:rPr>
        <w:t xml:space="preserve">, 2009).  </w:t>
      </w:r>
    </w:p>
  </w:footnote>
  <w:footnote w:id="20">
    <w:p w14:paraId="52EBE1E0" w14:textId="77777777" w:rsidR="00893E2E" w:rsidRDefault="00893E2E" w:rsidP="0023707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proofErr w:type="spellStart"/>
      <w:r>
        <w:rPr>
          <w:rFonts w:ascii="Times New Roman" w:hAnsi="Times New Roman"/>
        </w:rPr>
        <w:t>Balkenende’s</w:t>
      </w:r>
      <w:proofErr w:type="spellEnd"/>
      <w:r>
        <w:rPr>
          <w:rFonts w:ascii="Times New Roman" w:hAnsi="Times New Roman"/>
        </w:rPr>
        <w:t xml:space="preserve"> first coalition, with the populist </w:t>
      </w:r>
      <w:proofErr w:type="spellStart"/>
      <w:r>
        <w:rPr>
          <w:rFonts w:ascii="Times New Roman" w:hAnsi="Times New Roman"/>
        </w:rPr>
        <w:t>Pim</w:t>
      </w:r>
      <w:proofErr w:type="spellEnd"/>
      <w:r>
        <w:rPr>
          <w:rFonts w:ascii="Times New Roman" w:hAnsi="Times New Roman"/>
        </w:rPr>
        <w:t xml:space="preserve"> Fortuyn List (LFP) party and the liberals (VVD) collapsed in November, 2002, due to internal conflicts within LFP.  Elections in January, 2003 brought the return of CDA to government, with the VVD and the progressive liberals (D-66).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7691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0B09A5"/>
    <w:multiLevelType w:val="hybridMultilevel"/>
    <w:tmpl w:val="463C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E745B"/>
    <w:multiLevelType w:val="hybridMultilevel"/>
    <w:tmpl w:val="2ECCB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E80735"/>
    <w:multiLevelType w:val="hybridMultilevel"/>
    <w:tmpl w:val="6770A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C74E4"/>
    <w:multiLevelType w:val="hybridMultilevel"/>
    <w:tmpl w:val="6CD0CBDC"/>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5">
    <w:nsid w:val="32227EF9"/>
    <w:multiLevelType w:val="hybridMultilevel"/>
    <w:tmpl w:val="E662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C5FF3"/>
    <w:multiLevelType w:val="hybridMultilevel"/>
    <w:tmpl w:val="8CB45FB2"/>
    <w:lvl w:ilvl="0" w:tplc="A1E456C8">
      <w:numFmt w:val="bullet"/>
      <w:lvlText w:val="-"/>
      <w:lvlJc w:val="left"/>
      <w:pPr>
        <w:ind w:left="780" w:hanging="360"/>
      </w:pPr>
      <w:rPr>
        <w:rFonts w:ascii="Times New Roman" w:eastAsia="Cambr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761177E"/>
    <w:multiLevelType w:val="hybridMultilevel"/>
    <w:tmpl w:val="043CE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7F"/>
    <w:rsid w:val="000033A7"/>
    <w:rsid w:val="00021094"/>
    <w:rsid w:val="00023F61"/>
    <w:rsid w:val="00054E26"/>
    <w:rsid w:val="0006373F"/>
    <w:rsid w:val="000D47AB"/>
    <w:rsid w:val="000E2CC7"/>
    <w:rsid w:val="00140310"/>
    <w:rsid w:val="00175260"/>
    <w:rsid w:val="0018592B"/>
    <w:rsid w:val="0019329E"/>
    <w:rsid w:val="001E6B68"/>
    <w:rsid w:val="00210552"/>
    <w:rsid w:val="00225A5D"/>
    <w:rsid w:val="0023707F"/>
    <w:rsid w:val="002619BE"/>
    <w:rsid w:val="00263876"/>
    <w:rsid w:val="00273E38"/>
    <w:rsid w:val="002A6DA2"/>
    <w:rsid w:val="002D3D0F"/>
    <w:rsid w:val="0030202A"/>
    <w:rsid w:val="00346A6E"/>
    <w:rsid w:val="00351847"/>
    <w:rsid w:val="00450457"/>
    <w:rsid w:val="004738D8"/>
    <w:rsid w:val="00487045"/>
    <w:rsid w:val="004B20D4"/>
    <w:rsid w:val="004C750D"/>
    <w:rsid w:val="004D72E6"/>
    <w:rsid w:val="00543792"/>
    <w:rsid w:val="00544A06"/>
    <w:rsid w:val="0054666A"/>
    <w:rsid w:val="00555C96"/>
    <w:rsid w:val="00600B36"/>
    <w:rsid w:val="00620F28"/>
    <w:rsid w:val="006514B9"/>
    <w:rsid w:val="006649E5"/>
    <w:rsid w:val="00665D03"/>
    <w:rsid w:val="00684522"/>
    <w:rsid w:val="006850ED"/>
    <w:rsid w:val="006A1FF5"/>
    <w:rsid w:val="006B0C23"/>
    <w:rsid w:val="007020B4"/>
    <w:rsid w:val="00703EAB"/>
    <w:rsid w:val="00732D66"/>
    <w:rsid w:val="007342E3"/>
    <w:rsid w:val="00770FDB"/>
    <w:rsid w:val="00795ED4"/>
    <w:rsid w:val="007A381E"/>
    <w:rsid w:val="007B611C"/>
    <w:rsid w:val="007B635A"/>
    <w:rsid w:val="007D6234"/>
    <w:rsid w:val="007E5D97"/>
    <w:rsid w:val="00825E94"/>
    <w:rsid w:val="00893E2E"/>
    <w:rsid w:val="008A4927"/>
    <w:rsid w:val="008D2BC9"/>
    <w:rsid w:val="008E03C7"/>
    <w:rsid w:val="008E178E"/>
    <w:rsid w:val="008F05A3"/>
    <w:rsid w:val="009314FD"/>
    <w:rsid w:val="0093572C"/>
    <w:rsid w:val="009963F8"/>
    <w:rsid w:val="00A00230"/>
    <w:rsid w:val="00A254CA"/>
    <w:rsid w:val="00A33AC6"/>
    <w:rsid w:val="00A365DA"/>
    <w:rsid w:val="00A36759"/>
    <w:rsid w:val="00A405CB"/>
    <w:rsid w:val="00A412EE"/>
    <w:rsid w:val="00A46E48"/>
    <w:rsid w:val="00A70F77"/>
    <w:rsid w:val="00A95353"/>
    <w:rsid w:val="00A97A0C"/>
    <w:rsid w:val="00AA050A"/>
    <w:rsid w:val="00AB6368"/>
    <w:rsid w:val="00AC3DD1"/>
    <w:rsid w:val="00AD3780"/>
    <w:rsid w:val="00B27AE1"/>
    <w:rsid w:val="00B81D8C"/>
    <w:rsid w:val="00B82835"/>
    <w:rsid w:val="00B96140"/>
    <w:rsid w:val="00BB634E"/>
    <w:rsid w:val="00BF17B2"/>
    <w:rsid w:val="00BF4744"/>
    <w:rsid w:val="00C35F80"/>
    <w:rsid w:val="00C44FB5"/>
    <w:rsid w:val="00C502F8"/>
    <w:rsid w:val="00CA4E2F"/>
    <w:rsid w:val="00D25BA0"/>
    <w:rsid w:val="00D66C3D"/>
    <w:rsid w:val="00D701DF"/>
    <w:rsid w:val="00D70AC5"/>
    <w:rsid w:val="00E01292"/>
    <w:rsid w:val="00E27A70"/>
    <w:rsid w:val="00E87286"/>
    <w:rsid w:val="00E90589"/>
    <w:rsid w:val="00E95380"/>
    <w:rsid w:val="00F1696A"/>
    <w:rsid w:val="00F363AA"/>
    <w:rsid w:val="00F865E7"/>
    <w:rsid w:val="00FC2F92"/>
    <w:rsid w:val="00FD797F"/>
    <w:rsid w:val="00FE1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2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7F"/>
    <w:pPr>
      <w:spacing w:after="0" w:line="240" w:lineRule="auto"/>
    </w:pPr>
    <w:rPr>
      <w:rFonts w:ascii="Cambria" w:eastAsia="MS Mincho" w:hAnsi="Cambria" w:cs="Times New Roman"/>
      <w:sz w:val="24"/>
      <w:szCs w:val="24"/>
      <w:lang w:val="en-GB"/>
    </w:rPr>
  </w:style>
  <w:style w:type="paragraph" w:styleId="Heading2">
    <w:name w:val="heading 2"/>
    <w:basedOn w:val="Normal"/>
    <w:next w:val="Normal"/>
    <w:link w:val="Heading2Char"/>
    <w:uiPriority w:val="9"/>
    <w:qFormat/>
    <w:rsid w:val="0023707F"/>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707F"/>
    <w:rPr>
      <w:rFonts w:ascii="Calibri" w:eastAsia="MS Gothic" w:hAnsi="Calibri" w:cs="Times New Roman"/>
      <w:b/>
      <w:bCs/>
      <w:color w:val="4F81BD"/>
      <w:sz w:val="26"/>
      <w:szCs w:val="26"/>
      <w:lang w:val="en-GB"/>
    </w:rPr>
  </w:style>
  <w:style w:type="paragraph" w:styleId="BalloonText">
    <w:name w:val="Balloon Text"/>
    <w:basedOn w:val="Normal"/>
    <w:link w:val="BalloonTextChar"/>
    <w:uiPriority w:val="99"/>
    <w:semiHidden/>
    <w:unhideWhenUsed/>
    <w:rsid w:val="002370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07F"/>
    <w:rPr>
      <w:rFonts w:ascii="Lucida Grande" w:eastAsia="MS Mincho" w:hAnsi="Lucida Grande" w:cs="Lucida Grande"/>
      <w:sz w:val="18"/>
      <w:szCs w:val="18"/>
      <w:lang w:val="en-GB"/>
    </w:rPr>
  </w:style>
  <w:style w:type="character" w:styleId="CommentReference">
    <w:name w:val="annotation reference"/>
    <w:uiPriority w:val="99"/>
    <w:semiHidden/>
    <w:unhideWhenUsed/>
    <w:rsid w:val="0023707F"/>
    <w:rPr>
      <w:sz w:val="16"/>
      <w:szCs w:val="16"/>
    </w:rPr>
  </w:style>
  <w:style w:type="paragraph" w:styleId="CommentText">
    <w:name w:val="annotation text"/>
    <w:basedOn w:val="Normal"/>
    <w:link w:val="CommentTextChar"/>
    <w:uiPriority w:val="99"/>
    <w:semiHidden/>
    <w:unhideWhenUsed/>
    <w:rsid w:val="0023707F"/>
    <w:rPr>
      <w:sz w:val="20"/>
      <w:szCs w:val="20"/>
    </w:rPr>
  </w:style>
  <w:style w:type="character" w:customStyle="1" w:styleId="CommentTextChar">
    <w:name w:val="Comment Text Char"/>
    <w:basedOn w:val="DefaultParagraphFont"/>
    <w:link w:val="CommentText"/>
    <w:uiPriority w:val="99"/>
    <w:semiHidden/>
    <w:rsid w:val="0023707F"/>
    <w:rPr>
      <w:rFonts w:ascii="Cambria" w:eastAsia="MS Mincho"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3707F"/>
    <w:rPr>
      <w:b/>
      <w:bCs/>
    </w:rPr>
  </w:style>
  <w:style w:type="character" w:customStyle="1" w:styleId="CommentSubjectChar">
    <w:name w:val="Comment Subject Char"/>
    <w:basedOn w:val="CommentTextChar"/>
    <w:link w:val="CommentSubject"/>
    <w:uiPriority w:val="99"/>
    <w:semiHidden/>
    <w:rsid w:val="0023707F"/>
    <w:rPr>
      <w:rFonts w:ascii="Cambria" w:eastAsia="MS Mincho" w:hAnsi="Cambria" w:cs="Times New Roman"/>
      <w:b/>
      <w:bCs/>
      <w:sz w:val="20"/>
      <w:szCs w:val="20"/>
      <w:lang w:val="en-GB"/>
    </w:rPr>
  </w:style>
  <w:style w:type="paragraph" w:styleId="FootnoteText">
    <w:name w:val="footnote text"/>
    <w:basedOn w:val="Normal"/>
    <w:link w:val="FootnoteTextChar"/>
    <w:uiPriority w:val="99"/>
    <w:unhideWhenUsed/>
    <w:rsid w:val="0023707F"/>
    <w:rPr>
      <w:rFonts w:eastAsia="Cambria"/>
      <w:sz w:val="20"/>
      <w:szCs w:val="20"/>
      <w:lang w:val="en-US"/>
    </w:rPr>
  </w:style>
  <w:style w:type="character" w:customStyle="1" w:styleId="FootnoteTextChar">
    <w:name w:val="Footnote Text Char"/>
    <w:basedOn w:val="DefaultParagraphFont"/>
    <w:link w:val="FootnoteText"/>
    <w:uiPriority w:val="99"/>
    <w:rsid w:val="0023707F"/>
    <w:rPr>
      <w:rFonts w:ascii="Cambria" w:eastAsia="Cambria" w:hAnsi="Cambria" w:cs="Times New Roman"/>
      <w:sz w:val="20"/>
      <w:szCs w:val="20"/>
    </w:rPr>
  </w:style>
  <w:style w:type="character" w:styleId="FootnoteReference">
    <w:name w:val="footnote reference"/>
    <w:unhideWhenUsed/>
    <w:rsid w:val="0023707F"/>
    <w:rPr>
      <w:vertAlign w:val="superscript"/>
    </w:rPr>
  </w:style>
  <w:style w:type="character" w:styleId="Hyperlink">
    <w:name w:val="Hyperlink"/>
    <w:uiPriority w:val="99"/>
    <w:unhideWhenUsed/>
    <w:rsid w:val="0023707F"/>
    <w:rPr>
      <w:color w:val="0000FF"/>
      <w:u w:val="single"/>
    </w:rPr>
  </w:style>
  <w:style w:type="paragraph" w:customStyle="1" w:styleId="Bibliography1">
    <w:name w:val="Bibliography1"/>
    <w:basedOn w:val="Normal"/>
    <w:next w:val="Normal"/>
    <w:uiPriority w:val="37"/>
    <w:unhideWhenUsed/>
    <w:rsid w:val="0023707F"/>
    <w:pPr>
      <w:spacing w:after="200" w:line="276" w:lineRule="auto"/>
    </w:pPr>
    <w:rPr>
      <w:rFonts w:eastAsia="Cambria"/>
      <w:sz w:val="22"/>
      <w:szCs w:val="22"/>
      <w:lang w:val="en-US"/>
    </w:rPr>
  </w:style>
  <w:style w:type="paragraph" w:styleId="Footer">
    <w:name w:val="footer"/>
    <w:basedOn w:val="Normal"/>
    <w:link w:val="FooterChar"/>
    <w:uiPriority w:val="99"/>
    <w:unhideWhenUsed/>
    <w:rsid w:val="0023707F"/>
    <w:pPr>
      <w:tabs>
        <w:tab w:val="center" w:pos="4320"/>
        <w:tab w:val="right" w:pos="8640"/>
      </w:tabs>
    </w:pPr>
  </w:style>
  <w:style w:type="character" w:customStyle="1" w:styleId="FooterChar">
    <w:name w:val="Footer Char"/>
    <w:basedOn w:val="DefaultParagraphFont"/>
    <w:link w:val="Footer"/>
    <w:uiPriority w:val="99"/>
    <w:rsid w:val="0023707F"/>
    <w:rPr>
      <w:rFonts w:ascii="Cambria" w:eastAsia="MS Mincho" w:hAnsi="Cambria" w:cs="Times New Roman"/>
      <w:sz w:val="24"/>
      <w:szCs w:val="24"/>
      <w:lang w:val="en-GB"/>
    </w:rPr>
  </w:style>
  <w:style w:type="character" w:styleId="PageNumber">
    <w:name w:val="page number"/>
    <w:basedOn w:val="DefaultParagraphFont"/>
    <w:uiPriority w:val="99"/>
    <w:semiHidden/>
    <w:unhideWhenUsed/>
    <w:rsid w:val="0023707F"/>
  </w:style>
  <w:style w:type="character" w:customStyle="1" w:styleId="cit-ahead-of-print-date">
    <w:name w:val="cit-ahead-of-print-date"/>
    <w:basedOn w:val="DefaultParagraphFont"/>
    <w:rsid w:val="0023707F"/>
  </w:style>
  <w:style w:type="character" w:customStyle="1" w:styleId="cit-sep2">
    <w:name w:val="cit-sep2"/>
    <w:basedOn w:val="DefaultParagraphFont"/>
    <w:rsid w:val="0023707F"/>
  </w:style>
  <w:style w:type="character" w:customStyle="1" w:styleId="cit-doi3">
    <w:name w:val="cit-doi3"/>
    <w:basedOn w:val="DefaultParagraphFont"/>
    <w:rsid w:val="0023707F"/>
  </w:style>
  <w:style w:type="table" w:styleId="TableGrid">
    <w:name w:val="Table Grid"/>
    <w:basedOn w:val="TableNormal"/>
    <w:uiPriority w:val="59"/>
    <w:rsid w:val="0023707F"/>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7F"/>
    <w:pPr>
      <w:spacing w:after="0" w:line="240" w:lineRule="auto"/>
    </w:pPr>
    <w:rPr>
      <w:rFonts w:ascii="Cambria" w:eastAsia="MS Mincho" w:hAnsi="Cambria" w:cs="Times New Roman"/>
      <w:sz w:val="24"/>
      <w:szCs w:val="24"/>
      <w:lang w:val="en-GB"/>
    </w:rPr>
  </w:style>
  <w:style w:type="paragraph" w:styleId="Heading2">
    <w:name w:val="heading 2"/>
    <w:basedOn w:val="Normal"/>
    <w:next w:val="Normal"/>
    <w:link w:val="Heading2Char"/>
    <w:uiPriority w:val="9"/>
    <w:qFormat/>
    <w:rsid w:val="0023707F"/>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707F"/>
    <w:rPr>
      <w:rFonts w:ascii="Calibri" w:eastAsia="MS Gothic" w:hAnsi="Calibri" w:cs="Times New Roman"/>
      <w:b/>
      <w:bCs/>
      <w:color w:val="4F81BD"/>
      <w:sz w:val="26"/>
      <w:szCs w:val="26"/>
      <w:lang w:val="en-GB"/>
    </w:rPr>
  </w:style>
  <w:style w:type="paragraph" w:styleId="BalloonText">
    <w:name w:val="Balloon Text"/>
    <w:basedOn w:val="Normal"/>
    <w:link w:val="BalloonTextChar"/>
    <w:uiPriority w:val="99"/>
    <w:semiHidden/>
    <w:unhideWhenUsed/>
    <w:rsid w:val="002370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07F"/>
    <w:rPr>
      <w:rFonts w:ascii="Lucida Grande" w:eastAsia="MS Mincho" w:hAnsi="Lucida Grande" w:cs="Lucida Grande"/>
      <w:sz w:val="18"/>
      <w:szCs w:val="18"/>
      <w:lang w:val="en-GB"/>
    </w:rPr>
  </w:style>
  <w:style w:type="character" w:styleId="CommentReference">
    <w:name w:val="annotation reference"/>
    <w:uiPriority w:val="99"/>
    <w:semiHidden/>
    <w:unhideWhenUsed/>
    <w:rsid w:val="0023707F"/>
    <w:rPr>
      <w:sz w:val="16"/>
      <w:szCs w:val="16"/>
    </w:rPr>
  </w:style>
  <w:style w:type="paragraph" w:styleId="CommentText">
    <w:name w:val="annotation text"/>
    <w:basedOn w:val="Normal"/>
    <w:link w:val="CommentTextChar"/>
    <w:uiPriority w:val="99"/>
    <w:semiHidden/>
    <w:unhideWhenUsed/>
    <w:rsid w:val="0023707F"/>
    <w:rPr>
      <w:sz w:val="20"/>
      <w:szCs w:val="20"/>
    </w:rPr>
  </w:style>
  <w:style w:type="character" w:customStyle="1" w:styleId="CommentTextChar">
    <w:name w:val="Comment Text Char"/>
    <w:basedOn w:val="DefaultParagraphFont"/>
    <w:link w:val="CommentText"/>
    <w:uiPriority w:val="99"/>
    <w:semiHidden/>
    <w:rsid w:val="0023707F"/>
    <w:rPr>
      <w:rFonts w:ascii="Cambria" w:eastAsia="MS Mincho"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3707F"/>
    <w:rPr>
      <w:b/>
      <w:bCs/>
    </w:rPr>
  </w:style>
  <w:style w:type="character" w:customStyle="1" w:styleId="CommentSubjectChar">
    <w:name w:val="Comment Subject Char"/>
    <w:basedOn w:val="CommentTextChar"/>
    <w:link w:val="CommentSubject"/>
    <w:uiPriority w:val="99"/>
    <w:semiHidden/>
    <w:rsid w:val="0023707F"/>
    <w:rPr>
      <w:rFonts w:ascii="Cambria" w:eastAsia="MS Mincho" w:hAnsi="Cambria" w:cs="Times New Roman"/>
      <w:b/>
      <w:bCs/>
      <w:sz w:val="20"/>
      <w:szCs w:val="20"/>
      <w:lang w:val="en-GB"/>
    </w:rPr>
  </w:style>
  <w:style w:type="paragraph" w:styleId="FootnoteText">
    <w:name w:val="footnote text"/>
    <w:basedOn w:val="Normal"/>
    <w:link w:val="FootnoteTextChar"/>
    <w:uiPriority w:val="99"/>
    <w:unhideWhenUsed/>
    <w:rsid w:val="0023707F"/>
    <w:rPr>
      <w:rFonts w:eastAsia="Cambria"/>
      <w:sz w:val="20"/>
      <w:szCs w:val="20"/>
      <w:lang w:val="en-US"/>
    </w:rPr>
  </w:style>
  <w:style w:type="character" w:customStyle="1" w:styleId="FootnoteTextChar">
    <w:name w:val="Footnote Text Char"/>
    <w:basedOn w:val="DefaultParagraphFont"/>
    <w:link w:val="FootnoteText"/>
    <w:uiPriority w:val="99"/>
    <w:rsid w:val="0023707F"/>
    <w:rPr>
      <w:rFonts w:ascii="Cambria" w:eastAsia="Cambria" w:hAnsi="Cambria" w:cs="Times New Roman"/>
      <w:sz w:val="20"/>
      <w:szCs w:val="20"/>
    </w:rPr>
  </w:style>
  <w:style w:type="character" w:styleId="FootnoteReference">
    <w:name w:val="footnote reference"/>
    <w:unhideWhenUsed/>
    <w:rsid w:val="0023707F"/>
    <w:rPr>
      <w:vertAlign w:val="superscript"/>
    </w:rPr>
  </w:style>
  <w:style w:type="character" w:styleId="Hyperlink">
    <w:name w:val="Hyperlink"/>
    <w:uiPriority w:val="99"/>
    <w:unhideWhenUsed/>
    <w:rsid w:val="0023707F"/>
    <w:rPr>
      <w:color w:val="0000FF"/>
      <w:u w:val="single"/>
    </w:rPr>
  </w:style>
  <w:style w:type="paragraph" w:customStyle="1" w:styleId="Bibliography1">
    <w:name w:val="Bibliography1"/>
    <w:basedOn w:val="Normal"/>
    <w:next w:val="Normal"/>
    <w:uiPriority w:val="37"/>
    <w:unhideWhenUsed/>
    <w:rsid w:val="0023707F"/>
    <w:pPr>
      <w:spacing w:after="200" w:line="276" w:lineRule="auto"/>
    </w:pPr>
    <w:rPr>
      <w:rFonts w:eastAsia="Cambria"/>
      <w:sz w:val="22"/>
      <w:szCs w:val="22"/>
      <w:lang w:val="en-US"/>
    </w:rPr>
  </w:style>
  <w:style w:type="paragraph" w:styleId="Footer">
    <w:name w:val="footer"/>
    <w:basedOn w:val="Normal"/>
    <w:link w:val="FooterChar"/>
    <w:uiPriority w:val="99"/>
    <w:unhideWhenUsed/>
    <w:rsid w:val="0023707F"/>
    <w:pPr>
      <w:tabs>
        <w:tab w:val="center" w:pos="4320"/>
        <w:tab w:val="right" w:pos="8640"/>
      </w:tabs>
    </w:pPr>
  </w:style>
  <w:style w:type="character" w:customStyle="1" w:styleId="FooterChar">
    <w:name w:val="Footer Char"/>
    <w:basedOn w:val="DefaultParagraphFont"/>
    <w:link w:val="Footer"/>
    <w:uiPriority w:val="99"/>
    <w:rsid w:val="0023707F"/>
    <w:rPr>
      <w:rFonts w:ascii="Cambria" w:eastAsia="MS Mincho" w:hAnsi="Cambria" w:cs="Times New Roman"/>
      <w:sz w:val="24"/>
      <w:szCs w:val="24"/>
      <w:lang w:val="en-GB"/>
    </w:rPr>
  </w:style>
  <w:style w:type="character" w:styleId="PageNumber">
    <w:name w:val="page number"/>
    <w:basedOn w:val="DefaultParagraphFont"/>
    <w:uiPriority w:val="99"/>
    <w:semiHidden/>
    <w:unhideWhenUsed/>
    <w:rsid w:val="0023707F"/>
  </w:style>
  <w:style w:type="character" w:customStyle="1" w:styleId="cit-ahead-of-print-date">
    <w:name w:val="cit-ahead-of-print-date"/>
    <w:basedOn w:val="DefaultParagraphFont"/>
    <w:rsid w:val="0023707F"/>
  </w:style>
  <w:style w:type="character" w:customStyle="1" w:styleId="cit-sep2">
    <w:name w:val="cit-sep2"/>
    <w:basedOn w:val="DefaultParagraphFont"/>
    <w:rsid w:val="0023707F"/>
  </w:style>
  <w:style w:type="character" w:customStyle="1" w:styleId="cit-doi3">
    <w:name w:val="cit-doi3"/>
    <w:basedOn w:val="DefaultParagraphFont"/>
    <w:rsid w:val="0023707F"/>
  </w:style>
  <w:style w:type="table" w:styleId="TableGrid">
    <w:name w:val="Table Grid"/>
    <w:basedOn w:val="TableNormal"/>
    <w:uiPriority w:val="59"/>
    <w:rsid w:val="0023707F"/>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55748">
      <w:bodyDiv w:val="1"/>
      <w:marLeft w:val="0"/>
      <w:marRight w:val="0"/>
      <w:marTop w:val="0"/>
      <w:marBottom w:val="0"/>
      <w:divBdr>
        <w:top w:val="none" w:sz="0" w:space="0" w:color="auto"/>
        <w:left w:val="none" w:sz="0" w:space="0" w:color="auto"/>
        <w:bottom w:val="none" w:sz="0" w:space="0" w:color="auto"/>
        <w:right w:val="none" w:sz="0" w:space="0" w:color="auto"/>
      </w:divBdr>
      <w:divsChild>
        <w:div w:id="1547568063">
          <w:marLeft w:val="0"/>
          <w:marRight w:val="0"/>
          <w:marTop w:val="0"/>
          <w:marBottom w:val="0"/>
          <w:divBdr>
            <w:top w:val="none" w:sz="0" w:space="0" w:color="auto"/>
            <w:left w:val="none" w:sz="0" w:space="0" w:color="auto"/>
            <w:bottom w:val="none" w:sz="0" w:space="0" w:color="auto"/>
            <w:right w:val="none" w:sz="0" w:space="0" w:color="auto"/>
          </w:divBdr>
        </w:div>
        <w:div w:id="124132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c.europa.eu/economy_finance/ameco/user/serie/SelectSerie.cf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ogle.com/url?sa=t&amp;rct=j&amp;q=&amp;esrc=s&amp;frm=1&amp;source=web&amp;cd=3&amp;ved=0CDoQFjAC&amp;url=http%3A%2F%2Fwww.econ.queensu.ca%2Ffiles%2Fother%2FHouse_Price_indices%2520(OECD).xls&amp;ei=R2JyU8zhFtL4oATr5YDoBg&amp;usg=AFQjCNH3-kLXRE9dAPIlrqiL4X5kbnwq7Q&amp;sig2=d11pmjtXW0iiwSuk0957_A&amp;bvm=bv.66330100,d.cG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repositorio.ucp.pt/bitstream/10400.14/5368/1/Determinants%20of%20Outstanding%20Mortgage%202009.pdf" TargetMode="External"/><Relationship Id="rId25" Type="http://schemas.openxmlformats.org/officeDocument/2006/relationships/hyperlink" Target="http://data.worldbank.org/indicator/FS.AST.PRVT.GD.ZS" TargetMode="External"/><Relationship Id="rId2" Type="http://schemas.openxmlformats.org/officeDocument/2006/relationships/numbering" Target="numbering.xml"/><Relationship Id="rId16" Type="http://schemas.openxmlformats.org/officeDocument/2006/relationships/hyperlink" Target="http://www.bis.org/statistics/pp.htm" TargetMode="External"/><Relationship Id="rId20" Type="http://schemas.openxmlformats.org/officeDocument/2006/relationships/hyperlink" Target="http://www.mpifg.de/pu/mpifg_dp/dp14-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marquette.edu/polisci/documents/part19502006.xls" TargetMode="Externa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http://www.nber.org/papers/w14321" TargetMode="External"/><Relationship Id="rId10" Type="http://schemas.openxmlformats.org/officeDocument/2006/relationships/image" Target="media/image2.emf"/><Relationship Id="rId19" Type="http://schemas.openxmlformats.org/officeDocument/2006/relationships/hyperlink" Target="https://www.richmondfed.org/publications/research/econ_focus/2013/q4/pdf/feature2.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hyperlink" Target="http://stats.oecd.org/mei/"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aidan.regan@ucd.ie" TargetMode="External"/><Relationship Id="rId1" Type="http://schemas.openxmlformats.org/officeDocument/2006/relationships/hyperlink" Target="mailto:Alison.Johnston@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6537B-7CFF-4F3F-B08B-89C556EF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35</Pages>
  <Words>12334</Words>
  <Characters>70305</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11</cp:revision>
  <dcterms:created xsi:type="dcterms:W3CDTF">2015-02-18T18:04:00Z</dcterms:created>
  <dcterms:modified xsi:type="dcterms:W3CDTF">2015-02-24T16:37:00Z</dcterms:modified>
</cp:coreProperties>
</file>