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1D01D" w14:textId="114D24CD" w:rsidR="00404492" w:rsidRDefault="00DE525C" w:rsidP="00B77699">
      <w:pPr>
        <w:jc w:val="center"/>
        <w:rPr>
          <w:rFonts w:ascii="Times New Roman" w:hAnsi="Times New Roman" w:cs="Times New Roman"/>
          <w:b/>
        </w:rPr>
      </w:pPr>
      <w:bookmarkStart w:id="0" w:name="_GoBack"/>
      <w:bookmarkEnd w:id="0"/>
      <w:r w:rsidRPr="007706AF">
        <w:rPr>
          <w:rFonts w:ascii="Times New Roman" w:hAnsi="Times New Roman" w:cs="Times New Roman"/>
          <w:b/>
        </w:rPr>
        <w:t>Crisis &amp; Catharsis in EU</w:t>
      </w:r>
      <w:r w:rsidR="00B32A1F" w:rsidRPr="007706AF">
        <w:rPr>
          <w:rFonts w:ascii="Times New Roman" w:hAnsi="Times New Roman" w:cs="Times New Roman"/>
          <w:b/>
        </w:rPr>
        <w:t xml:space="preserve"> Integration</w:t>
      </w:r>
    </w:p>
    <w:p w14:paraId="4102C1D2" w14:textId="77777777" w:rsidR="0008146B" w:rsidRDefault="0008146B" w:rsidP="00B77699">
      <w:pPr>
        <w:jc w:val="center"/>
        <w:rPr>
          <w:rFonts w:ascii="Times New Roman" w:hAnsi="Times New Roman" w:cs="Times New Roman"/>
          <w:b/>
        </w:rPr>
      </w:pPr>
    </w:p>
    <w:p w14:paraId="2F47B02F" w14:textId="511A98E8" w:rsidR="0008146B" w:rsidRDefault="0008146B" w:rsidP="00B77699">
      <w:pPr>
        <w:jc w:val="center"/>
        <w:rPr>
          <w:rFonts w:ascii="Times New Roman" w:hAnsi="Times New Roman" w:cs="Times New Roman"/>
          <w:b/>
        </w:rPr>
      </w:pPr>
      <w:r>
        <w:rPr>
          <w:rFonts w:ascii="Times New Roman" w:hAnsi="Times New Roman" w:cs="Times New Roman"/>
          <w:b/>
        </w:rPr>
        <w:t>Dr. Mai’a K. Davis Cross</w:t>
      </w:r>
    </w:p>
    <w:p w14:paraId="168395E8" w14:textId="0468DBE5" w:rsidR="0008146B" w:rsidRDefault="0008146B" w:rsidP="00B77699">
      <w:pPr>
        <w:jc w:val="center"/>
        <w:rPr>
          <w:rFonts w:ascii="Times New Roman" w:hAnsi="Times New Roman" w:cs="Times New Roman"/>
          <w:b/>
        </w:rPr>
      </w:pPr>
      <w:r>
        <w:rPr>
          <w:rFonts w:ascii="Times New Roman" w:hAnsi="Times New Roman" w:cs="Times New Roman"/>
          <w:b/>
        </w:rPr>
        <w:t>Northeastern University</w:t>
      </w:r>
    </w:p>
    <w:p w14:paraId="45C88AFA" w14:textId="398867CC" w:rsidR="0008146B" w:rsidRDefault="0008146B" w:rsidP="00B77699">
      <w:pPr>
        <w:jc w:val="center"/>
        <w:rPr>
          <w:rFonts w:ascii="Times New Roman" w:hAnsi="Times New Roman" w:cs="Times New Roman"/>
          <w:b/>
        </w:rPr>
      </w:pPr>
      <w:proofErr w:type="gramStart"/>
      <w:r>
        <w:rPr>
          <w:rFonts w:ascii="Times New Roman" w:hAnsi="Times New Roman" w:cs="Times New Roman"/>
          <w:b/>
        </w:rPr>
        <w:t>m</w:t>
      </w:r>
      <w:proofErr w:type="gramEnd"/>
      <w:r>
        <w:rPr>
          <w:rFonts w:ascii="Times New Roman" w:hAnsi="Times New Roman" w:cs="Times New Roman"/>
          <w:b/>
        </w:rPr>
        <w:t>.cross@neu.edu</w:t>
      </w:r>
    </w:p>
    <w:p w14:paraId="21D25E6C" w14:textId="77777777" w:rsidR="0008146B" w:rsidRDefault="0008146B" w:rsidP="0008146B">
      <w:pPr>
        <w:rPr>
          <w:rFonts w:ascii="Times New Roman" w:hAnsi="Times New Roman" w:cs="Times New Roman"/>
          <w:b/>
        </w:rPr>
      </w:pPr>
    </w:p>
    <w:p w14:paraId="6C2D737B" w14:textId="4AD9102F" w:rsidR="007706AF" w:rsidRDefault="007706AF" w:rsidP="007706AF">
      <w:pPr>
        <w:spacing w:line="480" w:lineRule="auto"/>
        <w:rPr>
          <w:rFonts w:ascii="Times New Roman" w:hAnsi="Times New Roman" w:cs="Times New Roman"/>
          <w:b/>
        </w:rPr>
      </w:pPr>
      <w:r>
        <w:rPr>
          <w:rFonts w:ascii="Times New Roman" w:hAnsi="Times New Roman" w:cs="Times New Roman"/>
          <w:b/>
        </w:rPr>
        <w:t>Abstract</w:t>
      </w:r>
    </w:p>
    <w:p w14:paraId="012D070C" w14:textId="77777777" w:rsidR="007706AF" w:rsidRPr="007706AF" w:rsidRDefault="007706AF" w:rsidP="007706AF">
      <w:pPr>
        <w:spacing w:line="480" w:lineRule="auto"/>
        <w:rPr>
          <w:rFonts w:ascii="Times New Roman" w:hAnsi="Times New Roman" w:cs="Times New Roman"/>
        </w:rPr>
      </w:pPr>
      <w:r w:rsidRPr="007706AF">
        <w:rPr>
          <w:rFonts w:ascii="Times New Roman" w:hAnsi="Times New Roman" w:cs="Times New Roman"/>
        </w:rPr>
        <w:t>This article seeks to explain how and why the EU’s relatively frequent existential crises – complete with ‘end of Europe’ rhetoric – ultimately result in new areas of consensus regarding the EU’s integration project.  During the course of these existential crises, member states are able to release underlying societal tensions that might have stood as stumbling blocks to further consensus, and thus achieve a sense of ‘catharsis,’ as evidenced by convergence in attitudes.  To illustrate this process, the article examines the case of the Eurozone crisis, and describes how North-South tensions that pre-dated this crisis period were openly aired during the height of the crisis, and created a window of opportunity for leaders to agree to a number of far-reaching policies in the economic and financial area.</w:t>
      </w:r>
    </w:p>
    <w:p w14:paraId="6B057151" w14:textId="77777777" w:rsidR="007706AF" w:rsidRDefault="007706AF" w:rsidP="007706AF">
      <w:pPr>
        <w:spacing w:line="480" w:lineRule="auto"/>
        <w:rPr>
          <w:rFonts w:ascii="Times New Roman" w:hAnsi="Times New Roman" w:cs="Times New Roman"/>
        </w:rPr>
      </w:pPr>
    </w:p>
    <w:p w14:paraId="044EBA50" w14:textId="639522BA" w:rsidR="007706AF" w:rsidRPr="007706AF" w:rsidRDefault="007706AF" w:rsidP="007706AF">
      <w:pPr>
        <w:spacing w:line="480" w:lineRule="auto"/>
        <w:rPr>
          <w:rFonts w:ascii="Times New Roman" w:hAnsi="Times New Roman" w:cs="Times New Roman"/>
        </w:rPr>
      </w:pPr>
      <w:r>
        <w:rPr>
          <w:rFonts w:ascii="Times New Roman" w:hAnsi="Times New Roman" w:cs="Times New Roman"/>
          <w:b/>
        </w:rPr>
        <w:t>Keywords:</w:t>
      </w:r>
      <w:r>
        <w:rPr>
          <w:rFonts w:ascii="Times New Roman" w:hAnsi="Times New Roman" w:cs="Times New Roman"/>
        </w:rPr>
        <w:t xml:space="preserve"> narratives, crisis, integration, </w:t>
      </w:r>
      <w:proofErr w:type="gramStart"/>
      <w:r>
        <w:rPr>
          <w:rFonts w:ascii="Times New Roman" w:hAnsi="Times New Roman" w:cs="Times New Roman"/>
        </w:rPr>
        <w:t>social</w:t>
      </w:r>
      <w:proofErr w:type="gramEnd"/>
      <w:r>
        <w:rPr>
          <w:rFonts w:ascii="Times New Roman" w:hAnsi="Times New Roman" w:cs="Times New Roman"/>
        </w:rPr>
        <w:t xml:space="preserve"> construction</w:t>
      </w:r>
    </w:p>
    <w:p w14:paraId="26B43942" w14:textId="77777777" w:rsidR="007706AF" w:rsidRPr="007706AF" w:rsidRDefault="007706AF" w:rsidP="007706AF">
      <w:pPr>
        <w:spacing w:line="480" w:lineRule="auto"/>
        <w:jc w:val="center"/>
        <w:rPr>
          <w:rFonts w:ascii="Times New Roman" w:hAnsi="Times New Roman" w:cs="Times New Roman"/>
          <w:i/>
        </w:rPr>
      </w:pPr>
    </w:p>
    <w:p w14:paraId="5D585BB4" w14:textId="4EA9C95E" w:rsidR="006160BA" w:rsidRPr="007706AF" w:rsidRDefault="006160BA" w:rsidP="007706AF">
      <w:pPr>
        <w:spacing w:line="480" w:lineRule="auto"/>
        <w:rPr>
          <w:rFonts w:ascii="Times New Roman" w:hAnsi="Times New Roman" w:cs="Times New Roman"/>
          <w:b/>
        </w:rPr>
      </w:pPr>
      <w:r w:rsidRPr="007706AF">
        <w:rPr>
          <w:rFonts w:ascii="Times New Roman" w:hAnsi="Times New Roman" w:cs="Times New Roman"/>
          <w:b/>
        </w:rPr>
        <w:t>Introduction</w:t>
      </w:r>
    </w:p>
    <w:p w14:paraId="6FE4BA6F" w14:textId="1FAA851C" w:rsidR="00251174" w:rsidRPr="007706AF" w:rsidRDefault="00403127" w:rsidP="00ED49B4">
      <w:pPr>
        <w:spacing w:line="480" w:lineRule="auto"/>
        <w:ind w:firstLine="720"/>
        <w:rPr>
          <w:rFonts w:ascii="Times New Roman" w:hAnsi="Times New Roman" w:cs="Times New Roman"/>
        </w:rPr>
      </w:pPr>
      <w:r w:rsidRPr="007706AF">
        <w:rPr>
          <w:rFonts w:ascii="Times New Roman" w:hAnsi="Times New Roman" w:cs="Times New Roman"/>
        </w:rPr>
        <w:t>The evolving European order, which centers on the process of European Union (EU) integrat</w:t>
      </w:r>
      <w:r w:rsidR="00634450" w:rsidRPr="007706AF">
        <w:rPr>
          <w:rFonts w:ascii="Times New Roman" w:hAnsi="Times New Roman" w:cs="Times New Roman"/>
        </w:rPr>
        <w:t>ion, is characterized by both incremental change and</w:t>
      </w:r>
      <w:r w:rsidRPr="007706AF">
        <w:rPr>
          <w:rFonts w:ascii="Times New Roman" w:hAnsi="Times New Roman" w:cs="Times New Roman"/>
        </w:rPr>
        <w:t xml:space="preserve"> critical junctures of crisis.  This </w:t>
      </w:r>
      <w:r w:rsidR="00F57620" w:rsidRPr="007706AF">
        <w:rPr>
          <w:rFonts w:ascii="Times New Roman" w:hAnsi="Times New Roman" w:cs="Times New Roman"/>
        </w:rPr>
        <w:t>article</w:t>
      </w:r>
      <w:r w:rsidRPr="007706AF">
        <w:rPr>
          <w:rFonts w:ascii="Times New Roman" w:hAnsi="Times New Roman" w:cs="Times New Roman"/>
        </w:rPr>
        <w:t xml:space="preserve"> focuses on the latter</w:t>
      </w:r>
      <w:r w:rsidR="00A73FA3" w:rsidRPr="007706AF">
        <w:rPr>
          <w:rFonts w:ascii="Times New Roman" w:hAnsi="Times New Roman" w:cs="Times New Roman"/>
        </w:rPr>
        <w:t>, and aims to provide an agenda for future research into European crises</w:t>
      </w:r>
      <w:r w:rsidRPr="007706AF">
        <w:rPr>
          <w:rFonts w:ascii="Times New Roman" w:hAnsi="Times New Roman" w:cs="Times New Roman"/>
        </w:rPr>
        <w:t xml:space="preserve">.  Even a casual look at the history of the EU since its inception in 1957 shows that at numerous </w:t>
      </w:r>
      <w:r w:rsidR="00CC0C75" w:rsidRPr="007706AF">
        <w:rPr>
          <w:rFonts w:ascii="Times New Roman" w:hAnsi="Times New Roman" w:cs="Times New Roman"/>
        </w:rPr>
        <w:t>periods</w:t>
      </w:r>
      <w:r w:rsidRPr="007706AF">
        <w:rPr>
          <w:rFonts w:ascii="Times New Roman" w:hAnsi="Times New Roman" w:cs="Times New Roman"/>
        </w:rPr>
        <w:t xml:space="preserve"> through its development, the EU (or EEC/EC</w:t>
      </w:r>
      <w:r w:rsidR="00E2179B" w:rsidRPr="007706AF">
        <w:rPr>
          <w:rFonts w:ascii="Times New Roman" w:hAnsi="Times New Roman" w:cs="Times New Roman"/>
        </w:rPr>
        <w:t xml:space="preserve"> in its previous incarnations</w:t>
      </w:r>
      <w:r w:rsidRPr="007706AF">
        <w:rPr>
          <w:rFonts w:ascii="Times New Roman" w:hAnsi="Times New Roman" w:cs="Times New Roman"/>
        </w:rPr>
        <w:t xml:space="preserve">) has been portrayed as being in severe crisis, even on the verge of dissolution.  </w:t>
      </w:r>
      <w:r w:rsidR="000606D6" w:rsidRPr="007706AF">
        <w:rPr>
          <w:rFonts w:ascii="Times New Roman" w:hAnsi="Times New Roman" w:cs="Times New Roman"/>
        </w:rPr>
        <w:t>I</w:t>
      </w:r>
      <w:r w:rsidRPr="007706AF">
        <w:rPr>
          <w:rFonts w:ascii="Times New Roman" w:hAnsi="Times New Roman" w:cs="Times New Roman"/>
        </w:rPr>
        <w:t xml:space="preserve"> examine why these </w:t>
      </w:r>
      <w:r w:rsidRPr="007706AF">
        <w:rPr>
          <w:rFonts w:ascii="Times New Roman" w:hAnsi="Times New Roman" w:cs="Times New Roman"/>
        </w:rPr>
        <w:lastRenderedPageBreak/>
        <w:t>predictions</w:t>
      </w:r>
      <w:r w:rsidR="00BE6601" w:rsidRPr="007706AF">
        <w:rPr>
          <w:rFonts w:ascii="Times New Roman" w:hAnsi="Times New Roman" w:cs="Times New Roman"/>
        </w:rPr>
        <w:t xml:space="preserve">, particularly those of </w:t>
      </w:r>
      <w:r w:rsidR="00BE6601" w:rsidRPr="007706AF">
        <w:rPr>
          <w:rFonts w:ascii="Times New Roman" w:hAnsi="Times New Roman" w:cs="Times New Roman"/>
          <w:i/>
        </w:rPr>
        <w:t>existential</w:t>
      </w:r>
      <w:r w:rsidR="00BE6601" w:rsidRPr="007706AF">
        <w:rPr>
          <w:rFonts w:ascii="Times New Roman" w:hAnsi="Times New Roman" w:cs="Times New Roman"/>
        </w:rPr>
        <w:t xml:space="preserve"> threat</w:t>
      </w:r>
      <w:r w:rsidR="00391F07" w:rsidRPr="007706AF">
        <w:rPr>
          <w:rFonts w:ascii="Times New Roman" w:hAnsi="Times New Roman" w:cs="Times New Roman"/>
        </w:rPr>
        <w:t xml:space="preserve"> (episodes in which it seems the “end of Europe” is at hand)</w:t>
      </w:r>
      <w:r w:rsidR="00BE6601" w:rsidRPr="007706AF">
        <w:rPr>
          <w:rFonts w:ascii="Times New Roman" w:hAnsi="Times New Roman" w:cs="Times New Roman"/>
        </w:rPr>
        <w:t>,</w:t>
      </w:r>
      <w:r w:rsidRPr="007706AF">
        <w:rPr>
          <w:rFonts w:ascii="Times New Roman" w:hAnsi="Times New Roman" w:cs="Times New Roman"/>
        </w:rPr>
        <w:t xml:space="preserve"> have co</w:t>
      </w:r>
      <w:r w:rsidR="000606D6" w:rsidRPr="007706AF">
        <w:rPr>
          <w:rFonts w:ascii="Times New Roman" w:hAnsi="Times New Roman" w:cs="Times New Roman"/>
        </w:rPr>
        <w:t xml:space="preserve">ntinually been proven false.  </w:t>
      </w:r>
      <w:r w:rsidR="009A7009" w:rsidRPr="007706AF">
        <w:rPr>
          <w:rFonts w:ascii="Times New Roman" w:hAnsi="Times New Roman" w:cs="Times New Roman"/>
        </w:rPr>
        <w:t xml:space="preserve">This </w:t>
      </w:r>
      <w:r w:rsidR="00A96691" w:rsidRPr="007706AF">
        <w:rPr>
          <w:rFonts w:ascii="Times New Roman" w:hAnsi="Times New Roman" w:cs="Times New Roman"/>
        </w:rPr>
        <w:t>article</w:t>
      </w:r>
      <w:r w:rsidR="009A7009" w:rsidRPr="007706AF">
        <w:rPr>
          <w:rFonts w:ascii="Times New Roman" w:hAnsi="Times New Roman" w:cs="Times New Roman"/>
        </w:rPr>
        <w:t xml:space="preserve"> </w:t>
      </w:r>
      <w:r w:rsidR="00F14E5D" w:rsidRPr="007706AF">
        <w:rPr>
          <w:rFonts w:ascii="Times New Roman" w:hAnsi="Times New Roman" w:cs="Times New Roman"/>
        </w:rPr>
        <w:t>seeks to contribute to an</w:t>
      </w:r>
      <w:r w:rsidR="00477A92" w:rsidRPr="007706AF">
        <w:rPr>
          <w:rFonts w:ascii="Times New Roman" w:hAnsi="Times New Roman" w:cs="Times New Roman"/>
        </w:rPr>
        <w:t xml:space="preserve"> overarching </w:t>
      </w:r>
      <w:r w:rsidR="009A7009" w:rsidRPr="007706AF">
        <w:rPr>
          <w:rFonts w:ascii="Times New Roman" w:hAnsi="Times New Roman" w:cs="Times New Roman"/>
        </w:rPr>
        <w:t>proposition</w:t>
      </w:r>
      <w:r w:rsidRPr="007706AF">
        <w:rPr>
          <w:rFonts w:ascii="Times New Roman" w:hAnsi="Times New Roman" w:cs="Times New Roman"/>
        </w:rPr>
        <w:t xml:space="preserve"> that </w:t>
      </w:r>
      <w:r w:rsidR="00BE6601" w:rsidRPr="007706AF">
        <w:rPr>
          <w:rFonts w:ascii="Times New Roman" w:hAnsi="Times New Roman" w:cs="Times New Roman"/>
        </w:rPr>
        <w:t xml:space="preserve">existential </w:t>
      </w:r>
      <w:r w:rsidRPr="007706AF">
        <w:rPr>
          <w:rFonts w:ascii="Times New Roman" w:hAnsi="Times New Roman" w:cs="Times New Roman"/>
        </w:rPr>
        <w:t>crises</w:t>
      </w:r>
      <w:r w:rsidR="00BE6601" w:rsidRPr="007706AF">
        <w:rPr>
          <w:rFonts w:ascii="Times New Roman" w:hAnsi="Times New Roman" w:cs="Times New Roman"/>
        </w:rPr>
        <w:t xml:space="preserve"> </w:t>
      </w:r>
      <w:r w:rsidR="00391F07" w:rsidRPr="007706AF">
        <w:rPr>
          <w:rFonts w:ascii="Times New Roman" w:hAnsi="Times New Roman" w:cs="Times New Roman"/>
        </w:rPr>
        <w:t xml:space="preserve">repeatedly </w:t>
      </w:r>
      <w:r w:rsidR="003246D6" w:rsidRPr="007706AF">
        <w:rPr>
          <w:rFonts w:ascii="Times New Roman" w:hAnsi="Times New Roman" w:cs="Times New Roman"/>
        </w:rPr>
        <w:t xml:space="preserve">give </w:t>
      </w:r>
      <w:r w:rsidR="00391F07" w:rsidRPr="007706AF">
        <w:rPr>
          <w:rFonts w:ascii="Times New Roman" w:hAnsi="Times New Roman" w:cs="Times New Roman"/>
        </w:rPr>
        <w:t>European leaders</w:t>
      </w:r>
      <w:r w:rsidR="00A73FA3" w:rsidRPr="007706AF">
        <w:rPr>
          <w:rFonts w:ascii="Times New Roman" w:hAnsi="Times New Roman" w:cs="Times New Roman"/>
        </w:rPr>
        <w:t xml:space="preserve"> a window of opportunity for consensual decision-making</w:t>
      </w:r>
      <w:r w:rsidR="00476B2F" w:rsidRPr="007706AF">
        <w:rPr>
          <w:rFonts w:ascii="Times New Roman" w:hAnsi="Times New Roman" w:cs="Times New Roman"/>
        </w:rPr>
        <w:t>, which</w:t>
      </w:r>
      <w:r w:rsidR="003246D6" w:rsidRPr="007706AF">
        <w:rPr>
          <w:rFonts w:ascii="Times New Roman" w:hAnsi="Times New Roman" w:cs="Times New Roman"/>
        </w:rPr>
        <w:t xml:space="preserve"> enables further shaping of European order</w:t>
      </w:r>
      <w:r w:rsidR="00D960CE" w:rsidRPr="007706AF">
        <w:rPr>
          <w:rFonts w:ascii="Times New Roman" w:hAnsi="Times New Roman" w:cs="Times New Roman"/>
        </w:rPr>
        <w:t>.</w:t>
      </w:r>
      <w:r w:rsidR="00251174" w:rsidRPr="007706AF">
        <w:rPr>
          <w:rStyle w:val="EndnoteReference"/>
          <w:rFonts w:ascii="Times New Roman" w:hAnsi="Times New Roman" w:cs="Times New Roman"/>
        </w:rPr>
        <w:endnoteReference w:id="1"/>
      </w:r>
      <w:r w:rsidR="00735E2C" w:rsidRPr="007706AF">
        <w:rPr>
          <w:rFonts w:ascii="Times New Roman" w:hAnsi="Times New Roman" w:cs="Times New Roman"/>
        </w:rPr>
        <w:t xml:space="preserve">  </w:t>
      </w:r>
    </w:p>
    <w:p w14:paraId="3D8DB232" w14:textId="0841CC17" w:rsidR="00251174" w:rsidRPr="007706AF" w:rsidRDefault="00251174" w:rsidP="00ED15BC">
      <w:pPr>
        <w:spacing w:line="480" w:lineRule="auto"/>
        <w:ind w:firstLine="720"/>
        <w:rPr>
          <w:rFonts w:ascii="Times New Roman" w:hAnsi="Times New Roman" w:cs="Times New Roman"/>
        </w:rPr>
      </w:pPr>
      <w:r w:rsidRPr="007706AF">
        <w:rPr>
          <w:rFonts w:ascii="Times New Roman" w:hAnsi="Times New Roman" w:cs="Times New Roman"/>
        </w:rPr>
        <w:t xml:space="preserve">A widely accepted definition of crisis is </w:t>
      </w:r>
      <w:r w:rsidR="00481B49" w:rsidRPr="007706AF">
        <w:rPr>
          <w:rFonts w:ascii="Times New Roman" w:hAnsi="Times New Roman" w:cs="Times New Roman"/>
        </w:rPr>
        <w:t xml:space="preserve">‘an extraordinary moment when the existence and viability of the political order are called into question’ (Ikenberry 2008:3).  </w:t>
      </w:r>
      <w:r w:rsidR="0099540A" w:rsidRPr="007706AF">
        <w:rPr>
          <w:rFonts w:ascii="Times New Roman" w:hAnsi="Times New Roman" w:cs="Times New Roman"/>
        </w:rPr>
        <w:t xml:space="preserve">An </w:t>
      </w:r>
      <w:r w:rsidR="0099540A" w:rsidRPr="007706AF">
        <w:rPr>
          <w:rFonts w:ascii="Times New Roman" w:hAnsi="Times New Roman" w:cs="Times New Roman"/>
          <w:i/>
        </w:rPr>
        <w:t>existential</w:t>
      </w:r>
      <w:r w:rsidR="0099540A" w:rsidRPr="007706AF">
        <w:rPr>
          <w:rFonts w:ascii="Times New Roman" w:hAnsi="Times New Roman" w:cs="Times New Roman"/>
        </w:rPr>
        <w:t xml:space="preserve"> crisis is a more intense version of this in which the</w:t>
      </w:r>
      <w:r w:rsidR="00662F3E" w:rsidRPr="007706AF">
        <w:rPr>
          <w:rFonts w:ascii="Times New Roman" w:hAnsi="Times New Roman" w:cs="Times New Roman"/>
        </w:rPr>
        <w:t>re is a</w:t>
      </w:r>
      <w:r w:rsidR="0099540A" w:rsidRPr="007706AF">
        <w:rPr>
          <w:rFonts w:ascii="Times New Roman" w:hAnsi="Times New Roman" w:cs="Times New Roman"/>
        </w:rPr>
        <w:t xml:space="preserve"> </w:t>
      </w:r>
      <w:r w:rsidR="00662F3E" w:rsidRPr="007706AF">
        <w:rPr>
          <w:rFonts w:ascii="Times New Roman" w:hAnsi="Times New Roman" w:cs="Times New Roman"/>
        </w:rPr>
        <w:t xml:space="preserve">palpable </w:t>
      </w:r>
      <w:r w:rsidR="0099540A" w:rsidRPr="007706AF">
        <w:rPr>
          <w:rFonts w:ascii="Times New Roman" w:hAnsi="Times New Roman" w:cs="Times New Roman"/>
        </w:rPr>
        <w:t>perc</w:t>
      </w:r>
      <w:r w:rsidR="00662F3E" w:rsidRPr="007706AF">
        <w:rPr>
          <w:rFonts w:ascii="Times New Roman" w:hAnsi="Times New Roman" w:cs="Times New Roman"/>
        </w:rPr>
        <w:t>eption that</w:t>
      </w:r>
      <w:r w:rsidR="0099540A" w:rsidRPr="007706AF">
        <w:rPr>
          <w:rFonts w:ascii="Times New Roman" w:hAnsi="Times New Roman" w:cs="Times New Roman"/>
        </w:rPr>
        <w:t xml:space="preserve"> an actor’s very survival or fundamental character is at stake.</w:t>
      </w:r>
      <w:r w:rsidRPr="007706AF">
        <w:rPr>
          <w:rFonts w:ascii="Times New Roman" w:hAnsi="Times New Roman" w:cs="Times New Roman"/>
        </w:rPr>
        <w:t xml:space="preserve"> </w:t>
      </w:r>
      <w:r w:rsidR="00ED15BC" w:rsidRPr="007706AF">
        <w:rPr>
          <w:rFonts w:ascii="Times New Roman" w:hAnsi="Times New Roman" w:cs="Times New Roman"/>
        </w:rPr>
        <w:t xml:space="preserve"> To explain the</w:t>
      </w:r>
      <w:r w:rsidRPr="007706AF">
        <w:rPr>
          <w:rFonts w:ascii="Times New Roman" w:hAnsi="Times New Roman" w:cs="Times New Roman"/>
        </w:rPr>
        <w:t xml:space="preserve"> puzzle</w:t>
      </w:r>
      <w:r w:rsidR="00656012" w:rsidRPr="007706AF">
        <w:rPr>
          <w:rFonts w:ascii="Times New Roman" w:hAnsi="Times New Roman" w:cs="Times New Roman"/>
        </w:rPr>
        <w:t xml:space="preserve"> of </w:t>
      </w:r>
      <w:r w:rsidR="00ED15BC" w:rsidRPr="007706AF">
        <w:rPr>
          <w:rFonts w:ascii="Times New Roman" w:hAnsi="Times New Roman" w:cs="Times New Roman"/>
        </w:rPr>
        <w:t>EU</w:t>
      </w:r>
      <w:r w:rsidR="00656012" w:rsidRPr="007706AF">
        <w:rPr>
          <w:rFonts w:ascii="Times New Roman" w:hAnsi="Times New Roman" w:cs="Times New Roman"/>
        </w:rPr>
        <w:t xml:space="preserve"> resilience in the face of crise</w:t>
      </w:r>
      <w:r w:rsidR="00ED15BC" w:rsidRPr="007706AF">
        <w:rPr>
          <w:rFonts w:ascii="Times New Roman" w:hAnsi="Times New Roman" w:cs="Times New Roman"/>
        </w:rPr>
        <w:t>s</w:t>
      </w:r>
      <w:r w:rsidRPr="007706AF">
        <w:rPr>
          <w:rFonts w:ascii="Times New Roman" w:hAnsi="Times New Roman" w:cs="Times New Roman"/>
        </w:rPr>
        <w:t>, I focus on narratives – defined as how Europeans talk about crises – and how these narratives feed into crisis resolution</w:t>
      </w:r>
      <w:r w:rsidR="00662F3E" w:rsidRPr="007706AF">
        <w:rPr>
          <w:rFonts w:ascii="Times New Roman" w:hAnsi="Times New Roman" w:cs="Times New Roman"/>
        </w:rPr>
        <w:t xml:space="preserve"> (Hay</w:t>
      </w:r>
      <w:r w:rsidR="00567BA1" w:rsidRPr="007706AF">
        <w:rPr>
          <w:rFonts w:ascii="Times New Roman" w:hAnsi="Times New Roman" w:cs="Times New Roman"/>
        </w:rPr>
        <w:t xml:space="preserve"> 1999: 317-44</w:t>
      </w:r>
      <w:r w:rsidR="00662F3E" w:rsidRPr="007706AF">
        <w:rPr>
          <w:rFonts w:ascii="Times New Roman" w:hAnsi="Times New Roman" w:cs="Times New Roman"/>
        </w:rPr>
        <w:t>)</w:t>
      </w:r>
      <w:r w:rsidRPr="007706AF">
        <w:rPr>
          <w:rFonts w:ascii="Times New Roman" w:hAnsi="Times New Roman" w:cs="Times New Roman"/>
        </w:rPr>
        <w:t>.  I argue that EU crises provide the means to release tensions that would otherwise remain under the surface,</w:t>
      </w:r>
      <w:r w:rsidR="000279C3" w:rsidRPr="007706AF">
        <w:rPr>
          <w:rFonts w:ascii="Times New Roman" w:hAnsi="Times New Roman" w:cs="Times New Roman"/>
        </w:rPr>
        <w:t xml:space="preserve"> and likely</w:t>
      </w:r>
      <w:r w:rsidRPr="007706AF">
        <w:rPr>
          <w:rFonts w:ascii="Times New Roman" w:hAnsi="Times New Roman" w:cs="Times New Roman"/>
        </w:rPr>
        <w:t xml:space="preserve"> imped</w:t>
      </w:r>
      <w:r w:rsidR="000279C3" w:rsidRPr="007706AF">
        <w:rPr>
          <w:rFonts w:ascii="Times New Roman" w:hAnsi="Times New Roman" w:cs="Times New Roman"/>
        </w:rPr>
        <w:t>e</w:t>
      </w:r>
      <w:r w:rsidRPr="007706AF">
        <w:rPr>
          <w:rFonts w:ascii="Times New Roman" w:hAnsi="Times New Roman" w:cs="Times New Roman"/>
        </w:rPr>
        <w:t xml:space="preserve"> </w:t>
      </w:r>
      <w:r w:rsidR="00A73FA3" w:rsidRPr="007706AF">
        <w:rPr>
          <w:rFonts w:ascii="Times New Roman" w:hAnsi="Times New Roman" w:cs="Times New Roman"/>
        </w:rPr>
        <w:t>consensus in certain policy areas</w:t>
      </w:r>
      <w:r w:rsidRPr="007706AF">
        <w:rPr>
          <w:rFonts w:ascii="Times New Roman" w:hAnsi="Times New Roman" w:cs="Times New Roman"/>
        </w:rPr>
        <w:t>.</w:t>
      </w:r>
      <w:r w:rsidR="00A15CE2" w:rsidRPr="007706AF">
        <w:rPr>
          <w:rFonts w:ascii="Times New Roman" w:hAnsi="Times New Roman" w:cs="Times New Roman"/>
        </w:rPr>
        <w:t xml:space="preserve"> </w:t>
      </w:r>
      <w:r w:rsidR="003365D3" w:rsidRPr="007706AF">
        <w:rPr>
          <w:rFonts w:ascii="Times New Roman" w:hAnsi="Times New Roman" w:cs="Times New Roman"/>
        </w:rPr>
        <w:t xml:space="preserve"> </w:t>
      </w:r>
      <w:r w:rsidR="00A15CE2" w:rsidRPr="007706AF">
        <w:rPr>
          <w:rFonts w:ascii="Times New Roman" w:hAnsi="Times New Roman" w:cs="Times New Roman"/>
        </w:rPr>
        <w:t>T</w:t>
      </w:r>
      <w:r w:rsidR="00391F07" w:rsidRPr="007706AF">
        <w:rPr>
          <w:rFonts w:ascii="Times New Roman" w:hAnsi="Times New Roman" w:cs="Times New Roman"/>
        </w:rPr>
        <w:t xml:space="preserve">his </w:t>
      </w:r>
      <w:r w:rsidR="00476B2F" w:rsidRPr="007706AF">
        <w:rPr>
          <w:rFonts w:ascii="Times New Roman" w:hAnsi="Times New Roman" w:cs="Times New Roman"/>
        </w:rPr>
        <w:t>article</w:t>
      </w:r>
      <w:r w:rsidR="00391F07" w:rsidRPr="007706AF">
        <w:rPr>
          <w:rFonts w:ascii="Times New Roman" w:hAnsi="Times New Roman" w:cs="Times New Roman"/>
        </w:rPr>
        <w:t xml:space="preserve"> </w:t>
      </w:r>
      <w:r w:rsidR="00A96691" w:rsidRPr="007706AF">
        <w:rPr>
          <w:rFonts w:ascii="Times New Roman" w:hAnsi="Times New Roman" w:cs="Times New Roman"/>
        </w:rPr>
        <w:t>focuses on the role of</w:t>
      </w:r>
      <w:r w:rsidR="00391F07" w:rsidRPr="007706AF">
        <w:rPr>
          <w:rFonts w:ascii="Times New Roman" w:hAnsi="Times New Roman" w:cs="Times New Roman"/>
        </w:rPr>
        <w:t xml:space="preserve"> </w:t>
      </w:r>
      <w:r w:rsidR="00391F07" w:rsidRPr="007706AF">
        <w:rPr>
          <w:rFonts w:ascii="Times New Roman" w:hAnsi="Times New Roman" w:cs="Times New Roman"/>
          <w:i/>
        </w:rPr>
        <w:t>catharsis</w:t>
      </w:r>
      <w:r w:rsidR="00391F07" w:rsidRPr="007706AF">
        <w:rPr>
          <w:rFonts w:ascii="Times New Roman" w:hAnsi="Times New Roman" w:cs="Times New Roman"/>
        </w:rPr>
        <w:t xml:space="preserve"> –</w:t>
      </w:r>
      <w:r w:rsidR="00567BA1" w:rsidRPr="007706AF">
        <w:rPr>
          <w:rFonts w:ascii="Times New Roman" w:hAnsi="Times New Roman" w:cs="Times New Roman"/>
        </w:rPr>
        <w:t xml:space="preserve"> </w:t>
      </w:r>
      <w:r w:rsidR="00A15CE2" w:rsidRPr="007706AF">
        <w:rPr>
          <w:rFonts w:ascii="Times New Roman" w:hAnsi="Times New Roman" w:cs="Times New Roman"/>
        </w:rPr>
        <w:t xml:space="preserve">defined as </w:t>
      </w:r>
      <w:r w:rsidRPr="007706AF">
        <w:rPr>
          <w:rFonts w:ascii="Times New Roman" w:hAnsi="Times New Roman" w:cs="Times New Roman"/>
        </w:rPr>
        <w:t xml:space="preserve">a release of tensions that </w:t>
      </w:r>
      <w:r w:rsidR="00AA254B" w:rsidRPr="007706AF">
        <w:rPr>
          <w:rFonts w:ascii="Times New Roman" w:hAnsi="Times New Roman" w:cs="Times New Roman"/>
        </w:rPr>
        <w:t xml:space="preserve">enables </w:t>
      </w:r>
      <w:r w:rsidRPr="007706AF">
        <w:rPr>
          <w:rFonts w:ascii="Times New Roman" w:hAnsi="Times New Roman" w:cs="Times New Roman"/>
        </w:rPr>
        <w:t xml:space="preserve">movement past sources of stress and the attainment of new insights.  At the societal level, these tensions often have to do with differences in identity, political culture, and attitudes towards the EU.  At the elite, political level, they often have to with national interest, </w:t>
      </w:r>
      <w:r w:rsidR="00AA254B" w:rsidRPr="007706AF">
        <w:rPr>
          <w:rFonts w:ascii="Times New Roman" w:hAnsi="Times New Roman" w:cs="Times New Roman"/>
        </w:rPr>
        <w:t>geopolitics</w:t>
      </w:r>
      <w:r w:rsidRPr="007706AF">
        <w:rPr>
          <w:rFonts w:ascii="Times New Roman" w:hAnsi="Times New Roman" w:cs="Times New Roman"/>
        </w:rPr>
        <w:t xml:space="preserve">, and attitudes toward other countries.  Crises give Europeans at both levels an opportunity to debate issues in ways that would otherwise be considered confrontational.  In so doing, they are able to overcome some of these tensions and achieve a sense of catharsis, which </w:t>
      </w:r>
      <w:r w:rsidR="000279C3" w:rsidRPr="007706AF">
        <w:rPr>
          <w:rFonts w:ascii="Times New Roman" w:hAnsi="Times New Roman" w:cs="Times New Roman"/>
        </w:rPr>
        <w:t>is linked to</w:t>
      </w:r>
      <w:r w:rsidR="00375ED4" w:rsidRPr="007706AF">
        <w:rPr>
          <w:rFonts w:ascii="Times New Roman" w:hAnsi="Times New Roman" w:cs="Times New Roman"/>
        </w:rPr>
        <w:t xml:space="preserve"> </w:t>
      </w:r>
      <w:r w:rsidR="00656012" w:rsidRPr="007706AF">
        <w:rPr>
          <w:rFonts w:ascii="Times New Roman" w:hAnsi="Times New Roman" w:cs="Times New Roman"/>
        </w:rPr>
        <w:t xml:space="preserve">the creation of </w:t>
      </w:r>
      <w:r w:rsidR="00375ED4" w:rsidRPr="007706AF">
        <w:rPr>
          <w:rFonts w:ascii="Times New Roman" w:hAnsi="Times New Roman" w:cs="Times New Roman"/>
        </w:rPr>
        <w:t xml:space="preserve">new </w:t>
      </w:r>
      <w:r w:rsidR="00A73FA3" w:rsidRPr="007706AF">
        <w:rPr>
          <w:rFonts w:ascii="Times New Roman" w:hAnsi="Times New Roman" w:cs="Times New Roman"/>
        </w:rPr>
        <w:t xml:space="preserve">avenues </w:t>
      </w:r>
      <w:r w:rsidR="00375ED4" w:rsidRPr="007706AF">
        <w:rPr>
          <w:rFonts w:ascii="Times New Roman" w:hAnsi="Times New Roman" w:cs="Times New Roman"/>
        </w:rPr>
        <w:t>for</w:t>
      </w:r>
      <w:r w:rsidRPr="007706AF">
        <w:rPr>
          <w:rFonts w:ascii="Times New Roman" w:hAnsi="Times New Roman" w:cs="Times New Roman"/>
        </w:rPr>
        <w:t xml:space="preserve"> </w:t>
      </w:r>
      <w:r w:rsidR="00A73FA3" w:rsidRPr="007706AF">
        <w:rPr>
          <w:rFonts w:ascii="Times New Roman" w:hAnsi="Times New Roman" w:cs="Times New Roman"/>
        </w:rPr>
        <w:t>consensus</w:t>
      </w:r>
      <w:r w:rsidR="00391F07" w:rsidRPr="007706AF">
        <w:rPr>
          <w:rFonts w:ascii="Times New Roman" w:hAnsi="Times New Roman" w:cs="Times New Roman"/>
        </w:rPr>
        <w:t xml:space="preserve"> on policy options</w:t>
      </w:r>
      <w:r w:rsidR="00656012" w:rsidRPr="007706AF">
        <w:rPr>
          <w:rFonts w:ascii="Times New Roman" w:hAnsi="Times New Roman" w:cs="Times New Roman"/>
        </w:rPr>
        <w:t>.</w:t>
      </w:r>
    </w:p>
    <w:p w14:paraId="46BD06AA" w14:textId="0B5FF2E1" w:rsidR="00251174" w:rsidRPr="007706AF" w:rsidRDefault="00251174" w:rsidP="00ED49B4">
      <w:pPr>
        <w:spacing w:line="480" w:lineRule="auto"/>
        <w:ind w:firstLine="720"/>
        <w:rPr>
          <w:rFonts w:ascii="Times New Roman" w:hAnsi="Times New Roman" w:cs="Times New Roman"/>
        </w:rPr>
      </w:pPr>
      <w:r w:rsidRPr="007706AF">
        <w:rPr>
          <w:rFonts w:ascii="Times New Roman" w:hAnsi="Times New Roman" w:cs="Times New Roman"/>
        </w:rPr>
        <w:t>This article proceeds as follows.  The f</w:t>
      </w:r>
      <w:r w:rsidR="006F3682" w:rsidRPr="007706AF">
        <w:rPr>
          <w:rFonts w:ascii="Times New Roman" w:hAnsi="Times New Roman" w:cs="Times New Roman"/>
        </w:rPr>
        <w:t xml:space="preserve">irst section briefly reviews a few </w:t>
      </w:r>
      <w:r w:rsidR="008165C3" w:rsidRPr="007706AF">
        <w:rPr>
          <w:rFonts w:ascii="Times New Roman" w:hAnsi="Times New Roman" w:cs="Times New Roman"/>
        </w:rPr>
        <w:t>select</w:t>
      </w:r>
      <w:r w:rsidR="006F3682" w:rsidRPr="007706AF">
        <w:rPr>
          <w:rFonts w:ascii="Times New Roman" w:hAnsi="Times New Roman" w:cs="Times New Roman"/>
        </w:rPr>
        <w:t xml:space="preserve"> aspects of the</w:t>
      </w:r>
      <w:r w:rsidR="00472488" w:rsidRPr="007706AF">
        <w:rPr>
          <w:rFonts w:ascii="Times New Roman" w:hAnsi="Times New Roman" w:cs="Times New Roman"/>
        </w:rPr>
        <w:t xml:space="preserve"> vast</w:t>
      </w:r>
      <w:r w:rsidRPr="007706AF">
        <w:rPr>
          <w:rFonts w:ascii="Times New Roman" w:hAnsi="Times New Roman" w:cs="Times New Roman"/>
        </w:rPr>
        <w:t xml:space="preserve"> literature on crisis resolution to </w:t>
      </w:r>
      <w:r w:rsidR="008165C3" w:rsidRPr="007706AF">
        <w:rPr>
          <w:rFonts w:ascii="Times New Roman" w:hAnsi="Times New Roman" w:cs="Times New Roman"/>
        </w:rPr>
        <w:t>shed light on</w:t>
      </w:r>
      <w:r w:rsidRPr="007706AF">
        <w:rPr>
          <w:rFonts w:ascii="Times New Roman" w:hAnsi="Times New Roman" w:cs="Times New Roman"/>
        </w:rPr>
        <w:t xml:space="preserve"> how this process </w:t>
      </w:r>
      <w:r w:rsidR="008165C3" w:rsidRPr="007706AF">
        <w:rPr>
          <w:rFonts w:ascii="Times New Roman" w:hAnsi="Times New Roman" w:cs="Times New Roman"/>
        </w:rPr>
        <w:t>often</w:t>
      </w:r>
      <w:r w:rsidRPr="007706AF">
        <w:rPr>
          <w:rFonts w:ascii="Times New Roman" w:hAnsi="Times New Roman" w:cs="Times New Roman"/>
        </w:rPr>
        <w:t xml:space="preserve"> works, and what consequences crises bring.  I suggest that the concept of catharsis fills a gap in our understanding </w:t>
      </w:r>
      <w:r w:rsidRPr="007706AF">
        <w:rPr>
          <w:rFonts w:ascii="Times New Roman" w:hAnsi="Times New Roman" w:cs="Times New Roman"/>
        </w:rPr>
        <w:lastRenderedPageBreak/>
        <w:t>of crisis resolution, and is a valuable way to shed light on this process in the European context.  The second section examines the case of the 2010-12 Eurozone crisis.  The dominant narrative during this crisis largely centered on division between northern and southern European member states,</w:t>
      </w:r>
      <w:r w:rsidRPr="007706AF">
        <w:rPr>
          <w:rStyle w:val="EndnoteReference"/>
          <w:rFonts w:ascii="Times New Roman" w:hAnsi="Times New Roman" w:cs="Times New Roman"/>
        </w:rPr>
        <w:endnoteReference w:id="2"/>
      </w:r>
      <w:r w:rsidRPr="007706AF">
        <w:rPr>
          <w:rFonts w:ascii="Times New Roman" w:hAnsi="Times New Roman" w:cs="Times New Roman"/>
        </w:rPr>
        <w:t xml:space="preserve"> tensions that pre-dated the crisis and </w:t>
      </w:r>
      <w:r w:rsidR="00A96691" w:rsidRPr="007706AF">
        <w:rPr>
          <w:rFonts w:ascii="Times New Roman" w:hAnsi="Times New Roman" w:cs="Times New Roman"/>
        </w:rPr>
        <w:t xml:space="preserve">arguably </w:t>
      </w:r>
      <w:r w:rsidRPr="007706AF">
        <w:rPr>
          <w:rFonts w:ascii="Times New Roman" w:hAnsi="Times New Roman" w:cs="Times New Roman"/>
        </w:rPr>
        <w:t xml:space="preserve">stood as obstacles to further economic integration.  Through an examination of media coverage and opinion polls during the period, I argue that </w:t>
      </w:r>
      <w:r w:rsidR="00F96278" w:rsidRPr="007706AF">
        <w:rPr>
          <w:rFonts w:ascii="Times New Roman" w:hAnsi="Times New Roman" w:cs="Times New Roman"/>
        </w:rPr>
        <w:t>as the</w:t>
      </w:r>
      <w:r w:rsidR="00374A23" w:rsidRPr="007706AF">
        <w:rPr>
          <w:rFonts w:ascii="Times New Roman" w:hAnsi="Times New Roman" w:cs="Times New Roman"/>
        </w:rPr>
        <w:t xml:space="preserve"> </w:t>
      </w:r>
      <w:r w:rsidR="00A96691" w:rsidRPr="007706AF">
        <w:rPr>
          <w:rFonts w:ascii="Times New Roman" w:hAnsi="Times New Roman" w:cs="Times New Roman"/>
        </w:rPr>
        <w:t xml:space="preserve">existential </w:t>
      </w:r>
      <w:r w:rsidR="00374A23" w:rsidRPr="007706AF">
        <w:rPr>
          <w:rFonts w:ascii="Times New Roman" w:hAnsi="Times New Roman" w:cs="Times New Roman"/>
        </w:rPr>
        <w:t xml:space="preserve">crisis </w:t>
      </w:r>
      <w:r w:rsidR="00A96691" w:rsidRPr="007706AF">
        <w:rPr>
          <w:rFonts w:ascii="Times New Roman" w:hAnsi="Times New Roman" w:cs="Times New Roman"/>
        </w:rPr>
        <w:t>dissipated there wa</w:t>
      </w:r>
      <w:r w:rsidRPr="007706AF">
        <w:rPr>
          <w:rFonts w:ascii="Times New Roman" w:hAnsi="Times New Roman" w:cs="Times New Roman"/>
        </w:rPr>
        <w:t>s convergence in North-South attitudes about EU integration</w:t>
      </w:r>
      <w:r w:rsidR="002B05F1" w:rsidRPr="007706AF">
        <w:rPr>
          <w:rFonts w:ascii="Times New Roman" w:hAnsi="Times New Roman" w:cs="Times New Roman"/>
        </w:rPr>
        <w:t>, indicating that catharsis has taken place</w:t>
      </w:r>
      <w:r w:rsidRPr="007706AF">
        <w:rPr>
          <w:rFonts w:ascii="Times New Roman" w:hAnsi="Times New Roman" w:cs="Times New Roman"/>
        </w:rPr>
        <w:t>.</w:t>
      </w:r>
      <w:r w:rsidRPr="007706AF">
        <w:rPr>
          <w:rStyle w:val="EndnoteReference"/>
          <w:rFonts w:ascii="Times New Roman" w:hAnsi="Times New Roman" w:cs="Times New Roman"/>
        </w:rPr>
        <w:endnoteReference w:id="3"/>
      </w:r>
    </w:p>
    <w:p w14:paraId="5CB576A8" w14:textId="77777777" w:rsidR="00251174" w:rsidRPr="007706AF" w:rsidRDefault="00251174" w:rsidP="00ED49B4">
      <w:pPr>
        <w:spacing w:line="480" w:lineRule="auto"/>
        <w:rPr>
          <w:rFonts w:ascii="Times New Roman" w:hAnsi="Times New Roman" w:cs="Times New Roman"/>
          <w:b/>
        </w:rPr>
      </w:pPr>
    </w:p>
    <w:p w14:paraId="629F0C70" w14:textId="20E8679F" w:rsidR="00251174" w:rsidRPr="007706AF" w:rsidRDefault="00251174" w:rsidP="00ED49B4">
      <w:pPr>
        <w:spacing w:line="480" w:lineRule="auto"/>
        <w:rPr>
          <w:rFonts w:ascii="Times New Roman" w:hAnsi="Times New Roman" w:cs="Times New Roman"/>
          <w:b/>
        </w:rPr>
      </w:pPr>
      <w:r w:rsidRPr="007706AF">
        <w:rPr>
          <w:rFonts w:ascii="Times New Roman" w:hAnsi="Times New Roman" w:cs="Times New Roman"/>
          <w:b/>
        </w:rPr>
        <w:t>Understanding Crisis Resolution</w:t>
      </w:r>
    </w:p>
    <w:p w14:paraId="34900F1A" w14:textId="3CBD82F5" w:rsidR="00F02AB0" w:rsidRPr="007706AF" w:rsidRDefault="00843C07" w:rsidP="00F02AB0">
      <w:pPr>
        <w:spacing w:line="480" w:lineRule="auto"/>
        <w:ind w:firstLine="720"/>
        <w:rPr>
          <w:rFonts w:ascii="Times New Roman" w:hAnsi="Times New Roman" w:cs="Times New Roman"/>
        </w:rPr>
      </w:pPr>
      <w:r w:rsidRPr="007706AF">
        <w:rPr>
          <w:rFonts w:ascii="Times New Roman" w:hAnsi="Times New Roman" w:cs="Times New Roman"/>
        </w:rPr>
        <w:t>Observers</w:t>
      </w:r>
      <w:r w:rsidR="0081552F" w:rsidRPr="007706AF">
        <w:rPr>
          <w:rFonts w:ascii="Times New Roman" w:hAnsi="Times New Roman" w:cs="Times New Roman"/>
        </w:rPr>
        <w:t xml:space="preserve"> often refer casually</w:t>
      </w:r>
      <w:r w:rsidR="00251174" w:rsidRPr="007706AF">
        <w:rPr>
          <w:rFonts w:ascii="Times New Roman" w:hAnsi="Times New Roman" w:cs="Times New Roman"/>
        </w:rPr>
        <w:t xml:space="preserve"> to the notion that crises create opportunities, but </w:t>
      </w:r>
      <w:r w:rsidR="0081552F" w:rsidRPr="007706AF">
        <w:rPr>
          <w:rFonts w:ascii="Times New Roman" w:hAnsi="Times New Roman" w:cs="Times New Roman"/>
        </w:rPr>
        <w:t xml:space="preserve">there is </w:t>
      </w:r>
      <w:r w:rsidR="00827881" w:rsidRPr="007706AF">
        <w:rPr>
          <w:rFonts w:ascii="Times New Roman" w:hAnsi="Times New Roman" w:cs="Times New Roman"/>
        </w:rPr>
        <w:t>almost no theorizing on how</w:t>
      </w:r>
      <w:r w:rsidR="00251174" w:rsidRPr="007706AF">
        <w:rPr>
          <w:rFonts w:ascii="Times New Roman" w:hAnsi="Times New Roman" w:cs="Times New Roman"/>
        </w:rPr>
        <w:t xml:space="preserve"> this repeatedly occurs in the </w:t>
      </w:r>
      <w:r w:rsidR="00ED45A9" w:rsidRPr="007706AF">
        <w:rPr>
          <w:rFonts w:ascii="Times New Roman" w:hAnsi="Times New Roman" w:cs="Times New Roman"/>
        </w:rPr>
        <w:t>context of</w:t>
      </w:r>
      <w:r w:rsidR="00251174" w:rsidRPr="007706AF">
        <w:rPr>
          <w:rFonts w:ascii="Times New Roman" w:hAnsi="Times New Roman" w:cs="Times New Roman"/>
        </w:rPr>
        <w:t xml:space="preserve"> </w:t>
      </w:r>
      <w:r w:rsidRPr="007706AF">
        <w:rPr>
          <w:rFonts w:ascii="Times New Roman" w:hAnsi="Times New Roman" w:cs="Times New Roman"/>
        </w:rPr>
        <w:t>the EU</w:t>
      </w:r>
      <w:r w:rsidR="00251174" w:rsidRPr="007706AF">
        <w:rPr>
          <w:rFonts w:ascii="Times New Roman" w:hAnsi="Times New Roman" w:cs="Times New Roman"/>
        </w:rPr>
        <w:t xml:space="preserve">. </w:t>
      </w:r>
      <w:r w:rsidR="00827881" w:rsidRPr="007706AF">
        <w:rPr>
          <w:rFonts w:ascii="Times New Roman" w:hAnsi="Times New Roman" w:cs="Times New Roman"/>
        </w:rPr>
        <w:t xml:space="preserve"> After all, in the literature on how crises bring about political change, it is fully within the realm of possibility that institutional structures like the EU may be dismantled to make room for new forms of organization.  </w:t>
      </w:r>
      <w:r w:rsidR="00567BA1" w:rsidRPr="007706AF">
        <w:rPr>
          <w:rFonts w:ascii="Times New Roman" w:hAnsi="Times New Roman" w:cs="Times New Roman"/>
        </w:rPr>
        <w:t>For example, the</w:t>
      </w:r>
      <w:r w:rsidR="00374243" w:rsidRPr="007706AF">
        <w:rPr>
          <w:rFonts w:ascii="Times New Roman" w:hAnsi="Times New Roman" w:cs="Times New Roman"/>
        </w:rPr>
        <w:t xml:space="preserve"> systemic/structural perspective</w:t>
      </w:r>
      <w:r w:rsidR="00567BA1" w:rsidRPr="007706AF">
        <w:rPr>
          <w:rFonts w:ascii="Times New Roman" w:hAnsi="Times New Roman" w:cs="Times New Roman"/>
        </w:rPr>
        <w:t xml:space="preserve"> to understanding crises </w:t>
      </w:r>
      <w:r w:rsidR="00FE448A" w:rsidRPr="007706AF">
        <w:rPr>
          <w:rFonts w:ascii="Times New Roman" w:hAnsi="Times New Roman" w:cs="Times New Roman"/>
        </w:rPr>
        <w:t>argues that</w:t>
      </w:r>
      <w:r w:rsidR="00374243" w:rsidRPr="007706AF">
        <w:rPr>
          <w:rFonts w:ascii="Times New Roman" w:hAnsi="Times New Roman" w:cs="Times New Roman"/>
        </w:rPr>
        <w:t xml:space="preserve"> ‘destabilizing forces</w:t>
      </w:r>
      <w:r w:rsidR="00ED45A9" w:rsidRPr="007706AF">
        <w:rPr>
          <w:rFonts w:ascii="Times New Roman" w:hAnsi="Times New Roman" w:cs="Times New Roman"/>
        </w:rPr>
        <w:t>’ in the international system</w:t>
      </w:r>
      <w:r w:rsidR="00374243" w:rsidRPr="007706AF">
        <w:rPr>
          <w:rFonts w:ascii="Times New Roman" w:hAnsi="Times New Roman" w:cs="Times New Roman"/>
        </w:rPr>
        <w:t xml:space="preserve"> disturb routine patterns, undermine institutions, and ultimately threaten the nature of the existing structure (Young 1968:6-15). </w:t>
      </w:r>
      <w:r w:rsidR="00A15CE2" w:rsidRPr="007706AF">
        <w:rPr>
          <w:rFonts w:ascii="Times New Roman" w:hAnsi="Times New Roman" w:cs="Times New Roman"/>
        </w:rPr>
        <w:t xml:space="preserve"> While acknowledging </w:t>
      </w:r>
      <w:r w:rsidRPr="007706AF">
        <w:rPr>
          <w:rFonts w:ascii="Times New Roman" w:hAnsi="Times New Roman" w:cs="Times New Roman"/>
        </w:rPr>
        <w:t>the</w:t>
      </w:r>
      <w:r w:rsidR="00A15CE2" w:rsidRPr="007706AF">
        <w:rPr>
          <w:rFonts w:ascii="Times New Roman" w:hAnsi="Times New Roman" w:cs="Times New Roman"/>
        </w:rPr>
        <w:t xml:space="preserve"> broad literature on </w:t>
      </w:r>
      <w:r w:rsidR="00A96691" w:rsidRPr="007706AF">
        <w:rPr>
          <w:rFonts w:ascii="Times New Roman" w:hAnsi="Times New Roman" w:cs="Times New Roman"/>
        </w:rPr>
        <w:t>the processes by wh</w:t>
      </w:r>
      <w:r w:rsidR="00A15CE2" w:rsidRPr="007706AF">
        <w:rPr>
          <w:rFonts w:ascii="Times New Roman" w:hAnsi="Times New Roman" w:cs="Times New Roman"/>
        </w:rPr>
        <w:t>i</w:t>
      </w:r>
      <w:r w:rsidR="00A96691" w:rsidRPr="007706AF">
        <w:rPr>
          <w:rFonts w:ascii="Times New Roman" w:hAnsi="Times New Roman" w:cs="Times New Roman"/>
        </w:rPr>
        <w:t>c</w:t>
      </w:r>
      <w:r w:rsidR="00A15CE2" w:rsidRPr="007706AF">
        <w:rPr>
          <w:rFonts w:ascii="Times New Roman" w:hAnsi="Times New Roman" w:cs="Times New Roman"/>
        </w:rPr>
        <w:t>h crises bring about political change, I focus here on one aspect of this – catharsis – which I suggest is crucial in explaining the outcome of EU resilience, as opposed to destruction, in the face of crises.</w:t>
      </w:r>
    </w:p>
    <w:p w14:paraId="18A8F794" w14:textId="4D55BE68" w:rsidR="00251174" w:rsidRPr="007706AF" w:rsidRDefault="000A2F54" w:rsidP="00F02AB0">
      <w:pPr>
        <w:spacing w:line="480" w:lineRule="auto"/>
        <w:ind w:firstLine="720"/>
        <w:rPr>
          <w:rFonts w:ascii="Times New Roman" w:hAnsi="Times New Roman" w:cs="Times New Roman"/>
        </w:rPr>
      </w:pPr>
      <w:r w:rsidRPr="007706AF">
        <w:rPr>
          <w:rFonts w:ascii="Times New Roman" w:hAnsi="Times New Roman" w:cs="Times New Roman"/>
        </w:rPr>
        <w:t>The</w:t>
      </w:r>
      <w:r w:rsidR="00843C07" w:rsidRPr="007706AF">
        <w:rPr>
          <w:rFonts w:ascii="Times New Roman" w:hAnsi="Times New Roman" w:cs="Times New Roman"/>
        </w:rPr>
        <w:t xml:space="preserve"> more specific</w:t>
      </w:r>
      <w:r w:rsidRPr="007706AF">
        <w:rPr>
          <w:rFonts w:ascii="Times New Roman" w:hAnsi="Times New Roman" w:cs="Times New Roman"/>
        </w:rPr>
        <w:t xml:space="preserve"> </w:t>
      </w:r>
      <w:r w:rsidR="00251174" w:rsidRPr="007706AF">
        <w:rPr>
          <w:rFonts w:ascii="Times New Roman" w:hAnsi="Times New Roman" w:cs="Times New Roman"/>
        </w:rPr>
        <w:t>literature on crisis resolution is valuable in mapping out the various possibilities of how actors rea</w:t>
      </w:r>
      <w:r w:rsidR="00F2366F" w:rsidRPr="007706AF">
        <w:rPr>
          <w:rFonts w:ascii="Times New Roman" w:hAnsi="Times New Roman" w:cs="Times New Roman"/>
        </w:rPr>
        <w:t>ct to and resolve crises.  S</w:t>
      </w:r>
      <w:r w:rsidR="00251174" w:rsidRPr="007706AF">
        <w:rPr>
          <w:rFonts w:ascii="Times New Roman" w:hAnsi="Times New Roman" w:cs="Times New Roman"/>
        </w:rPr>
        <w:t xml:space="preserve">ituating the EU’s </w:t>
      </w:r>
      <w:r w:rsidR="004C3DD5" w:rsidRPr="007706AF">
        <w:rPr>
          <w:rFonts w:ascii="Times New Roman" w:hAnsi="Times New Roman" w:cs="Times New Roman"/>
        </w:rPr>
        <w:t>frequent existential crises in</w:t>
      </w:r>
      <w:r w:rsidR="00251174" w:rsidRPr="007706AF">
        <w:rPr>
          <w:rFonts w:ascii="Times New Roman" w:hAnsi="Times New Roman" w:cs="Times New Roman"/>
        </w:rPr>
        <w:t xml:space="preserve"> this theoretical roadmap also shows that there is a gap in our understanding of how crisis resolution works</w:t>
      </w:r>
      <w:r w:rsidR="00DA1A31" w:rsidRPr="007706AF">
        <w:rPr>
          <w:rFonts w:ascii="Times New Roman" w:hAnsi="Times New Roman" w:cs="Times New Roman"/>
        </w:rPr>
        <w:t xml:space="preserve"> in </w:t>
      </w:r>
      <w:r w:rsidRPr="007706AF">
        <w:rPr>
          <w:rFonts w:ascii="Times New Roman" w:hAnsi="Times New Roman" w:cs="Times New Roman"/>
        </w:rPr>
        <w:t>the EU context</w:t>
      </w:r>
      <w:r w:rsidR="00251174" w:rsidRPr="007706AF">
        <w:rPr>
          <w:rFonts w:ascii="Times New Roman" w:hAnsi="Times New Roman" w:cs="Times New Roman"/>
        </w:rPr>
        <w:t xml:space="preserve">.  </w:t>
      </w:r>
      <w:r w:rsidR="002C59FA" w:rsidRPr="007706AF">
        <w:rPr>
          <w:rFonts w:ascii="Times New Roman" w:hAnsi="Times New Roman" w:cs="Times New Roman"/>
        </w:rPr>
        <w:t xml:space="preserve">While it would be impossible to fully outline this </w:t>
      </w:r>
      <w:r w:rsidR="002C59FA" w:rsidRPr="007706AF">
        <w:rPr>
          <w:rFonts w:ascii="Times New Roman" w:hAnsi="Times New Roman" w:cs="Times New Roman"/>
        </w:rPr>
        <w:lastRenderedPageBreak/>
        <w:t xml:space="preserve">wide-ranging literature here, for the purposes of this article, </w:t>
      </w:r>
      <w:r w:rsidR="00251174" w:rsidRPr="007706AF">
        <w:rPr>
          <w:rFonts w:ascii="Times New Roman" w:hAnsi="Times New Roman" w:cs="Times New Roman"/>
        </w:rPr>
        <w:t xml:space="preserve">I synthesize </w:t>
      </w:r>
      <w:r w:rsidR="00F14E5D" w:rsidRPr="007706AF">
        <w:rPr>
          <w:rFonts w:ascii="Times New Roman" w:hAnsi="Times New Roman" w:cs="Times New Roman"/>
        </w:rPr>
        <w:t xml:space="preserve">its general </w:t>
      </w:r>
      <w:r w:rsidR="00D00063" w:rsidRPr="007706AF">
        <w:rPr>
          <w:rFonts w:ascii="Times New Roman" w:hAnsi="Times New Roman" w:cs="Times New Roman"/>
        </w:rPr>
        <w:t>approach</w:t>
      </w:r>
      <w:r w:rsidR="00F14E5D" w:rsidRPr="007706AF">
        <w:rPr>
          <w:rFonts w:ascii="Times New Roman" w:hAnsi="Times New Roman" w:cs="Times New Roman"/>
        </w:rPr>
        <w:t xml:space="preserve"> into</w:t>
      </w:r>
      <w:r w:rsidR="00251174" w:rsidRPr="007706AF">
        <w:rPr>
          <w:rFonts w:ascii="Times New Roman" w:hAnsi="Times New Roman" w:cs="Times New Roman"/>
        </w:rPr>
        <w:t xml:space="preserve"> roughly three phases of crisis resolution – </w:t>
      </w:r>
      <w:r w:rsidR="004C3DD5" w:rsidRPr="007706AF">
        <w:rPr>
          <w:rFonts w:ascii="Times New Roman" w:hAnsi="Times New Roman" w:cs="Times New Roman"/>
        </w:rPr>
        <w:t xml:space="preserve">(1) </w:t>
      </w:r>
      <w:r w:rsidR="00251174" w:rsidRPr="007706AF">
        <w:rPr>
          <w:rFonts w:ascii="Times New Roman" w:hAnsi="Times New Roman" w:cs="Times New Roman"/>
        </w:rPr>
        <w:t xml:space="preserve">the broadening of policy choices, </w:t>
      </w:r>
      <w:r w:rsidR="004C3DD5" w:rsidRPr="007706AF">
        <w:rPr>
          <w:rFonts w:ascii="Times New Roman" w:hAnsi="Times New Roman" w:cs="Times New Roman"/>
        </w:rPr>
        <w:t xml:space="preserve">(2) </w:t>
      </w:r>
      <w:r w:rsidR="00251174" w:rsidRPr="007706AF">
        <w:rPr>
          <w:rFonts w:ascii="Times New Roman" w:hAnsi="Times New Roman" w:cs="Times New Roman"/>
        </w:rPr>
        <w:t>the elevated power of elites to decide, and</w:t>
      </w:r>
      <w:r w:rsidR="004C3DD5" w:rsidRPr="007706AF">
        <w:rPr>
          <w:rFonts w:ascii="Times New Roman" w:hAnsi="Times New Roman" w:cs="Times New Roman"/>
        </w:rPr>
        <w:t xml:space="preserve"> (3)</w:t>
      </w:r>
      <w:r w:rsidR="00251174" w:rsidRPr="007706AF">
        <w:rPr>
          <w:rFonts w:ascii="Times New Roman" w:hAnsi="Times New Roman" w:cs="Times New Roman"/>
        </w:rPr>
        <w:t xml:space="preserve"> the potential outcomes</w:t>
      </w:r>
      <w:r w:rsidR="00251174" w:rsidRPr="007706AF">
        <w:rPr>
          <w:rStyle w:val="EndnoteReference"/>
          <w:rFonts w:ascii="Times New Roman" w:hAnsi="Times New Roman" w:cs="Times New Roman"/>
        </w:rPr>
        <w:endnoteReference w:id="4"/>
      </w:r>
      <w:r w:rsidR="00251174" w:rsidRPr="007706AF">
        <w:rPr>
          <w:rFonts w:ascii="Times New Roman" w:hAnsi="Times New Roman" w:cs="Times New Roman"/>
        </w:rPr>
        <w:t xml:space="preserve"> – and subsequently explain how the concept of catharsis helps to fill this gap when it comes to explaining the crisis pattern in Europe.</w:t>
      </w:r>
    </w:p>
    <w:p w14:paraId="54D55F56" w14:textId="77777777" w:rsidR="00251174" w:rsidRPr="007706AF" w:rsidRDefault="00251174" w:rsidP="00B813A8">
      <w:pPr>
        <w:spacing w:line="480" w:lineRule="auto"/>
        <w:rPr>
          <w:rFonts w:ascii="Times New Roman" w:hAnsi="Times New Roman" w:cs="Times New Roman"/>
          <w:b/>
          <w:i/>
        </w:rPr>
      </w:pPr>
    </w:p>
    <w:p w14:paraId="4B60F10F" w14:textId="610CBA98" w:rsidR="00251174" w:rsidRPr="007706AF" w:rsidRDefault="00251174" w:rsidP="00B813A8">
      <w:pPr>
        <w:spacing w:line="480" w:lineRule="auto"/>
        <w:rPr>
          <w:rFonts w:ascii="Times New Roman" w:hAnsi="Times New Roman" w:cs="Times New Roman"/>
          <w:b/>
          <w:i/>
        </w:rPr>
      </w:pPr>
      <w:r w:rsidRPr="007706AF">
        <w:rPr>
          <w:rFonts w:ascii="Times New Roman" w:hAnsi="Times New Roman" w:cs="Times New Roman"/>
          <w:b/>
          <w:i/>
        </w:rPr>
        <w:t>The Broadening of Policy Choices</w:t>
      </w:r>
    </w:p>
    <w:p w14:paraId="5969ECC4" w14:textId="3F9AC827" w:rsidR="00251174" w:rsidRPr="007706AF" w:rsidRDefault="00251174" w:rsidP="00ED49B4">
      <w:pPr>
        <w:spacing w:line="480" w:lineRule="auto"/>
        <w:rPr>
          <w:rFonts w:ascii="Times New Roman" w:hAnsi="Times New Roman" w:cs="Times New Roman"/>
        </w:rPr>
      </w:pPr>
      <w:r w:rsidRPr="007706AF">
        <w:rPr>
          <w:rFonts w:ascii="Times New Roman" w:hAnsi="Times New Roman" w:cs="Times New Roman"/>
          <w:b/>
        </w:rPr>
        <w:tab/>
      </w:r>
      <w:r w:rsidRPr="007706AF">
        <w:rPr>
          <w:rFonts w:ascii="Times New Roman" w:hAnsi="Times New Roman" w:cs="Times New Roman"/>
        </w:rPr>
        <w:t>In the first stage of crisis resolution, the range of possible actions in response to a crisis opens up.</w:t>
      </w:r>
      <w:r w:rsidRPr="007706AF">
        <w:rPr>
          <w:rFonts w:ascii="Times New Roman" w:hAnsi="Times New Roman" w:cs="Times New Roman"/>
          <w:b/>
        </w:rPr>
        <w:t xml:space="preserve">  </w:t>
      </w:r>
      <w:r w:rsidRPr="007706AF">
        <w:rPr>
          <w:rFonts w:ascii="Times New Roman" w:hAnsi="Times New Roman" w:cs="Times New Roman"/>
        </w:rPr>
        <w:t xml:space="preserve">Leaders craft their own ideas of what should be done, experts and epistemic communities put forward a variety of policy solutions, and the public also often weighs in.  As Peter Haas </w:t>
      </w:r>
      <w:r w:rsidR="00EE6832" w:rsidRPr="007706AF">
        <w:rPr>
          <w:rFonts w:ascii="Times New Roman" w:hAnsi="Times New Roman" w:cs="Times New Roman"/>
        </w:rPr>
        <w:t xml:space="preserve">(2001: 11581) </w:t>
      </w:r>
      <w:r w:rsidRPr="007706AF">
        <w:rPr>
          <w:rFonts w:ascii="Times New Roman" w:hAnsi="Times New Roman" w:cs="Times New Roman"/>
        </w:rPr>
        <w:t xml:space="preserve">argues, </w:t>
      </w:r>
      <w:r w:rsidR="00B96B6D" w:rsidRPr="007706AF">
        <w:rPr>
          <w:rFonts w:ascii="Times New Roman" w:hAnsi="Times New Roman" w:cs="Times New Roman"/>
        </w:rPr>
        <w:t>‘</w:t>
      </w:r>
      <w:r w:rsidRPr="007706AF">
        <w:rPr>
          <w:rFonts w:ascii="Times New Roman" w:hAnsi="Times New Roman" w:cs="Times New Roman"/>
        </w:rPr>
        <w:t>New ideas will be solicited and selected only after crises, for crises will alert politicians to the need for action and will seek to gather information about their interests and options.</w:t>
      </w:r>
      <w:r w:rsidR="00B96B6D" w:rsidRPr="007706AF">
        <w:rPr>
          <w:rFonts w:ascii="Times New Roman" w:hAnsi="Times New Roman" w:cs="Times New Roman"/>
        </w:rPr>
        <w:t>’</w:t>
      </w:r>
      <w:r w:rsidRPr="007706AF">
        <w:rPr>
          <w:rFonts w:ascii="Times New Roman" w:hAnsi="Times New Roman" w:cs="Times New Roman"/>
        </w:rPr>
        <w:t xml:space="preserve"> </w:t>
      </w:r>
      <w:r w:rsidR="00EE6832" w:rsidRPr="007706AF">
        <w:rPr>
          <w:rFonts w:ascii="Times New Roman" w:hAnsi="Times New Roman" w:cs="Times New Roman"/>
        </w:rPr>
        <w:t xml:space="preserve"> </w:t>
      </w:r>
      <w:r w:rsidRPr="007706AF">
        <w:rPr>
          <w:rFonts w:ascii="Times New Roman" w:hAnsi="Times New Roman" w:cs="Times New Roman"/>
        </w:rPr>
        <w:t xml:space="preserve">While this statement is somewhat of an overstatement – new ideas arguably matter at all times – crises do bring with them uncertainty precisely </w:t>
      </w:r>
      <w:r w:rsidRPr="007706AF">
        <w:rPr>
          <w:rFonts w:ascii="Times New Roman" w:hAnsi="Times New Roman" w:cs="Times New Roman"/>
          <w:i/>
        </w:rPr>
        <w:t>because</w:t>
      </w:r>
      <w:r w:rsidRPr="007706AF">
        <w:rPr>
          <w:rFonts w:ascii="Times New Roman" w:hAnsi="Times New Roman" w:cs="Times New Roman"/>
        </w:rPr>
        <w:t xml:space="preserve"> they enable a much larger range of possible actions than during non-crisis periods.  Similarly, </w:t>
      </w:r>
      <w:r w:rsidR="004C3DD5" w:rsidRPr="007706AF">
        <w:rPr>
          <w:rFonts w:ascii="Times New Roman" w:hAnsi="Times New Roman" w:cs="Times New Roman"/>
        </w:rPr>
        <w:t xml:space="preserve">Giovanni </w:t>
      </w:r>
      <w:r w:rsidRPr="007706AF">
        <w:rPr>
          <w:rFonts w:ascii="Times New Roman" w:hAnsi="Times New Roman" w:cs="Times New Roman"/>
        </w:rPr>
        <w:t xml:space="preserve">Capoccia and </w:t>
      </w:r>
      <w:r w:rsidR="004C3DD5" w:rsidRPr="007706AF">
        <w:rPr>
          <w:rFonts w:ascii="Times New Roman" w:hAnsi="Times New Roman" w:cs="Times New Roman"/>
        </w:rPr>
        <w:t xml:space="preserve">Daniel </w:t>
      </w:r>
      <w:r w:rsidRPr="007706AF">
        <w:rPr>
          <w:rFonts w:ascii="Times New Roman" w:hAnsi="Times New Roman" w:cs="Times New Roman"/>
        </w:rPr>
        <w:t>Kelemen</w:t>
      </w:r>
      <w:r w:rsidR="00EE6832" w:rsidRPr="007706AF">
        <w:rPr>
          <w:rFonts w:ascii="Times New Roman" w:hAnsi="Times New Roman" w:cs="Times New Roman"/>
        </w:rPr>
        <w:t xml:space="preserve"> (2007: 343)</w:t>
      </w:r>
      <w:r w:rsidRPr="007706AF">
        <w:rPr>
          <w:rFonts w:ascii="Times New Roman" w:hAnsi="Times New Roman" w:cs="Times New Roman"/>
        </w:rPr>
        <w:t xml:space="preserve"> write that critical junctures have two main outcomes: </w:t>
      </w:r>
      <w:r w:rsidR="00B96B6D" w:rsidRPr="007706AF">
        <w:rPr>
          <w:rFonts w:ascii="Times New Roman" w:hAnsi="Times New Roman" w:cs="Times New Roman"/>
        </w:rPr>
        <w:t>‘</w:t>
      </w:r>
      <w:r w:rsidRPr="007706AF">
        <w:rPr>
          <w:rFonts w:ascii="Times New Roman" w:hAnsi="Times New Roman" w:cs="Times New Roman"/>
        </w:rPr>
        <w:t>the range of plausible choices open to powerful political actors expands substantially and the consequences of their decisions for the outcome of interest are potentially much more momentous.</w:t>
      </w:r>
      <w:r w:rsidR="00B96B6D" w:rsidRPr="007706AF">
        <w:rPr>
          <w:rFonts w:ascii="Times New Roman" w:hAnsi="Times New Roman" w:cs="Times New Roman"/>
        </w:rPr>
        <w:t>’</w:t>
      </w:r>
      <w:r w:rsidRPr="007706AF">
        <w:rPr>
          <w:rFonts w:ascii="Times New Roman" w:hAnsi="Times New Roman" w:cs="Times New Roman"/>
        </w:rPr>
        <w:t xml:space="preserve"> </w:t>
      </w:r>
      <w:r w:rsidR="00EE6832" w:rsidRPr="007706AF">
        <w:rPr>
          <w:rFonts w:ascii="Times New Roman" w:hAnsi="Times New Roman" w:cs="Times New Roman"/>
        </w:rPr>
        <w:t xml:space="preserve"> </w:t>
      </w:r>
      <w:r w:rsidRPr="007706AF">
        <w:rPr>
          <w:rFonts w:ascii="Times New Roman" w:hAnsi="Times New Roman" w:cs="Times New Roman"/>
        </w:rPr>
        <w:t xml:space="preserve">In addition, at the societal level there is often a sense of unity in the wake of a crisis.  </w:t>
      </w:r>
      <w:r w:rsidR="004C3DD5" w:rsidRPr="007706AF">
        <w:rPr>
          <w:rFonts w:ascii="Times New Roman" w:hAnsi="Times New Roman" w:cs="Times New Roman"/>
        </w:rPr>
        <w:t xml:space="preserve">Thomas </w:t>
      </w:r>
      <w:r w:rsidRPr="007706AF">
        <w:rPr>
          <w:rFonts w:ascii="Times New Roman" w:hAnsi="Times New Roman" w:cs="Times New Roman"/>
        </w:rPr>
        <w:t xml:space="preserve">Drabek and </w:t>
      </w:r>
      <w:r w:rsidR="004C3DD5" w:rsidRPr="007706AF">
        <w:rPr>
          <w:rFonts w:ascii="Times New Roman" w:hAnsi="Times New Roman" w:cs="Times New Roman"/>
        </w:rPr>
        <w:t xml:space="preserve">David </w:t>
      </w:r>
      <w:r w:rsidRPr="007706AF">
        <w:rPr>
          <w:rFonts w:ascii="Times New Roman" w:hAnsi="Times New Roman" w:cs="Times New Roman"/>
        </w:rPr>
        <w:t>McEntire</w:t>
      </w:r>
      <w:r w:rsidR="00EE6832" w:rsidRPr="007706AF">
        <w:rPr>
          <w:rFonts w:ascii="Times New Roman" w:hAnsi="Times New Roman" w:cs="Times New Roman"/>
        </w:rPr>
        <w:t xml:space="preserve"> (2003: 99)</w:t>
      </w:r>
      <w:r w:rsidRPr="007706AF">
        <w:rPr>
          <w:rFonts w:ascii="Times New Roman" w:hAnsi="Times New Roman" w:cs="Times New Roman"/>
        </w:rPr>
        <w:t xml:space="preserve"> point to two immediate crisis effects that are common: </w:t>
      </w:r>
      <w:r w:rsidR="00B96B6D" w:rsidRPr="007706AF">
        <w:rPr>
          <w:rFonts w:ascii="Times New Roman" w:hAnsi="Times New Roman" w:cs="Times New Roman"/>
        </w:rPr>
        <w:t>‘</w:t>
      </w:r>
      <w:r w:rsidRPr="007706AF">
        <w:rPr>
          <w:rFonts w:ascii="Times New Roman" w:hAnsi="Times New Roman" w:cs="Times New Roman"/>
        </w:rPr>
        <w:t>individuals and groups typically become more cohesive and unified during situations of collective stress,</w:t>
      </w:r>
      <w:r w:rsidR="00B96B6D" w:rsidRPr="007706AF">
        <w:rPr>
          <w:rFonts w:ascii="Times New Roman" w:hAnsi="Times New Roman" w:cs="Times New Roman"/>
        </w:rPr>
        <w:t>’</w:t>
      </w:r>
      <w:r w:rsidRPr="007706AF">
        <w:rPr>
          <w:rFonts w:ascii="Times New Roman" w:hAnsi="Times New Roman" w:cs="Times New Roman"/>
        </w:rPr>
        <w:t xml:space="preserve"> and </w:t>
      </w:r>
      <w:r w:rsidR="00B96B6D" w:rsidRPr="007706AF">
        <w:rPr>
          <w:rFonts w:ascii="Times New Roman" w:hAnsi="Times New Roman" w:cs="Times New Roman"/>
        </w:rPr>
        <w:t>‘</w:t>
      </w:r>
      <w:r w:rsidRPr="007706AF">
        <w:rPr>
          <w:rFonts w:ascii="Times New Roman" w:hAnsi="Times New Roman" w:cs="Times New Roman"/>
        </w:rPr>
        <w:t>new behaviors and organizations appear after disaster.</w:t>
      </w:r>
      <w:r w:rsidR="00B96B6D" w:rsidRPr="007706AF">
        <w:rPr>
          <w:rFonts w:ascii="Times New Roman" w:hAnsi="Times New Roman" w:cs="Times New Roman"/>
        </w:rPr>
        <w:t>’</w:t>
      </w:r>
      <w:r w:rsidRPr="007706AF">
        <w:rPr>
          <w:rFonts w:ascii="Times New Roman" w:hAnsi="Times New Roman" w:cs="Times New Roman"/>
        </w:rPr>
        <w:t xml:space="preserve"> </w:t>
      </w:r>
      <w:r w:rsidR="00EE6832" w:rsidRPr="007706AF">
        <w:rPr>
          <w:rFonts w:ascii="Times New Roman" w:hAnsi="Times New Roman" w:cs="Times New Roman"/>
        </w:rPr>
        <w:t xml:space="preserve"> </w:t>
      </w:r>
      <w:r w:rsidRPr="007706AF">
        <w:rPr>
          <w:rFonts w:ascii="Times New Roman" w:hAnsi="Times New Roman" w:cs="Times New Roman"/>
        </w:rPr>
        <w:t>When the citizenry is more unified in its response, public input can have a stronger than usual contribution to broadening the range of possible choices in response to crises.</w:t>
      </w:r>
    </w:p>
    <w:p w14:paraId="783857C7" w14:textId="77777777" w:rsidR="007706AF" w:rsidRPr="007706AF" w:rsidRDefault="007706AF" w:rsidP="00ED49B4">
      <w:pPr>
        <w:spacing w:line="480" w:lineRule="auto"/>
        <w:rPr>
          <w:rFonts w:ascii="Times New Roman" w:hAnsi="Times New Roman" w:cs="Times New Roman"/>
        </w:rPr>
      </w:pPr>
    </w:p>
    <w:p w14:paraId="405F3382" w14:textId="74BD1328" w:rsidR="00251174" w:rsidRPr="007706AF" w:rsidRDefault="00251174" w:rsidP="00ED49B4">
      <w:pPr>
        <w:spacing w:line="480" w:lineRule="auto"/>
        <w:rPr>
          <w:rFonts w:ascii="Times New Roman" w:hAnsi="Times New Roman" w:cs="Times New Roman"/>
          <w:b/>
          <w:i/>
        </w:rPr>
      </w:pPr>
      <w:r w:rsidRPr="007706AF">
        <w:rPr>
          <w:rFonts w:ascii="Times New Roman" w:hAnsi="Times New Roman" w:cs="Times New Roman"/>
          <w:b/>
          <w:i/>
        </w:rPr>
        <w:t>The Elevated Power of Elites to Decide</w:t>
      </w:r>
    </w:p>
    <w:p w14:paraId="33D0EBDA" w14:textId="53493AA1" w:rsidR="00251174" w:rsidRPr="007706AF" w:rsidRDefault="00251174" w:rsidP="00ED49B4">
      <w:pPr>
        <w:spacing w:line="480" w:lineRule="auto"/>
        <w:rPr>
          <w:rFonts w:ascii="Times New Roman" w:hAnsi="Times New Roman" w:cs="Times New Roman"/>
        </w:rPr>
      </w:pPr>
      <w:r w:rsidRPr="007706AF">
        <w:rPr>
          <w:rFonts w:ascii="Times New Roman" w:hAnsi="Times New Roman" w:cs="Times New Roman"/>
        </w:rPr>
        <w:tab/>
        <w:t>In the second stage, it becomes clear that leaders – as opposed to other actors – have the primary responsibility to decide what action to take.  The role of elites is greater than in non-crisis periods as the public relies on them to make important choices and to find the best way out of the crisis</w:t>
      </w:r>
      <w:r w:rsidR="00FC22A1" w:rsidRPr="007706AF">
        <w:rPr>
          <w:rFonts w:ascii="Times New Roman" w:hAnsi="Times New Roman" w:cs="Times New Roman"/>
        </w:rPr>
        <w:t xml:space="preserve"> (Boin et al</w:t>
      </w:r>
      <w:r w:rsidRPr="007706AF">
        <w:rPr>
          <w:rFonts w:ascii="Times New Roman" w:hAnsi="Times New Roman" w:cs="Times New Roman"/>
        </w:rPr>
        <w:t>.</w:t>
      </w:r>
      <w:r w:rsidR="00FC22A1" w:rsidRPr="007706AF">
        <w:rPr>
          <w:rFonts w:ascii="Times New Roman" w:hAnsi="Times New Roman" w:cs="Times New Roman"/>
        </w:rPr>
        <w:t xml:space="preserve"> 2005: 1).</w:t>
      </w:r>
      <w:r w:rsidRPr="007706AF">
        <w:rPr>
          <w:rFonts w:ascii="Times New Roman" w:hAnsi="Times New Roman" w:cs="Times New Roman"/>
        </w:rPr>
        <w:t xml:space="preserve"> </w:t>
      </w:r>
      <w:r w:rsidR="00FC22A1" w:rsidRPr="007706AF">
        <w:rPr>
          <w:rFonts w:ascii="Times New Roman" w:hAnsi="Times New Roman" w:cs="Times New Roman"/>
        </w:rPr>
        <w:t xml:space="preserve"> </w:t>
      </w:r>
      <w:r w:rsidRPr="007706AF">
        <w:rPr>
          <w:rFonts w:ascii="Times New Roman" w:hAnsi="Times New Roman" w:cs="Times New Roman"/>
        </w:rPr>
        <w:t xml:space="preserve">Even though leaders often gain more decision-making power and have a wider-range of options during times of crisis, resolving crises is easier said than done.  Indeed, organizational theory finds that crises are often </w:t>
      </w:r>
      <w:r w:rsidRPr="007706AF">
        <w:rPr>
          <w:rFonts w:ascii="Times New Roman" w:hAnsi="Times New Roman" w:cs="Times New Roman"/>
          <w:i/>
        </w:rPr>
        <w:t>exacerbated</w:t>
      </w:r>
      <w:r w:rsidRPr="007706AF">
        <w:rPr>
          <w:rFonts w:ascii="Times New Roman" w:hAnsi="Times New Roman" w:cs="Times New Roman"/>
        </w:rPr>
        <w:t xml:space="preserve"> because systems disruptions make it difficult for organizational managers to perform well.  In effect, once the impact of the crisis is felt, decision makers can make it worse if they do not deal with it effectively.  </w:t>
      </w:r>
      <w:r w:rsidR="004C3DD5" w:rsidRPr="007706AF">
        <w:rPr>
          <w:rFonts w:ascii="Times New Roman" w:hAnsi="Times New Roman" w:cs="Times New Roman"/>
        </w:rPr>
        <w:t>Matthew Seeger et al.</w:t>
      </w:r>
      <w:r w:rsidRPr="007706AF">
        <w:rPr>
          <w:rFonts w:ascii="Times New Roman" w:hAnsi="Times New Roman" w:cs="Times New Roman"/>
        </w:rPr>
        <w:t xml:space="preserve"> </w:t>
      </w:r>
      <w:r w:rsidR="00FC22A1" w:rsidRPr="007706AF">
        <w:rPr>
          <w:rFonts w:ascii="Times New Roman" w:hAnsi="Times New Roman" w:cs="Times New Roman"/>
        </w:rPr>
        <w:t xml:space="preserve">(2003: 9) </w:t>
      </w:r>
      <w:r w:rsidRPr="007706AF">
        <w:rPr>
          <w:rFonts w:ascii="Times New Roman" w:hAnsi="Times New Roman" w:cs="Times New Roman"/>
        </w:rPr>
        <w:t xml:space="preserve">write, </w:t>
      </w:r>
      <w:r w:rsidR="00B96B6D" w:rsidRPr="007706AF">
        <w:rPr>
          <w:rFonts w:ascii="Times New Roman" w:hAnsi="Times New Roman" w:cs="Times New Roman"/>
        </w:rPr>
        <w:t>‘</w:t>
      </w:r>
      <w:r w:rsidRPr="007706AF">
        <w:rPr>
          <w:rFonts w:ascii="Times New Roman" w:hAnsi="Times New Roman" w:cs="Times New Roman"/>
        </w:rPr>
        <w:t>Organizational members, crisis stake holders, and the public often experience intense emotional arousal, stress, fear, anxiety, and apprehension, which may compromise their ability to make effective decisions.</w:t>
      </w:r>
      <w:r w:rsidR="00B96B6D" w:rsidRPr="007706AF">
        <w:rPr>
          <w:rFonts w:ascii="Times New Roman" w:hAnsi="Times New Roman" w:cs="Times New Roman"/>
        </w:rPr>
        <w:t>’</w:t>
      </w:r>
      <w:r w:rsidRPr="007706AF">
        <w:rPr>
          <w:rFonts w:ascii="Times New Roman" w:hAnsi="Times New Roman" w:cs="Times New Roman"/>
        </w:rPr>
        <w:t xml:space="preserve"> </w:t>
      </w:r>
      <w:r w:rsidR="00FC22A1" w:rsidRPr="007706AF">
        <w:rPr>
          <w:rFonts w:ascii="Times New Roman" w:hAnsi="Times New Roman" w:cs="Times New Roman"/>
        </w:rPr>
        <w:t xml:space="preserve"> </w:t>
      </w:r>
      <w:r w:rsidRPr="007706AF">
        <w:rPr>
          <w:rFonts w:ascii="Times New Roman" w:hAnsi="Times New Roman" w:cs="Times New Roman"/>
        </w:rPr>
        <w:t xml:space="preserve">Thus, much is at stake in the context of crisis.  If leaders appear to be ineffective then negative perceptions about the crisis could intensify, creating a kind of self-fulfilling prophecy dynamic. </w:t>
      </w:r>
      <w:r w:rsidR="00FC22A1" w:rsidRPr="007706AF">
        <w:rPr>
          <w:rFonts w:ascii="Times New Roman" w:hAnsi="Times New Roman" w:cs="Times New Roman"/>
        </w:rPr>
        <w:t xml:space="preserve"> </w:t>
      </w:r>
      <w:r w:rsidRPr="007706AF">
        <w:rPr>
          <w:rFonts w:ascii="Times New Roman" w:hAnsi="Times New Roman" w:cs="Times New Roman"/>
        </w:rPr>
        <w:t xml:space="preserve">Leaders can very quickly lose legitimacy in the eyes of the citizenry, and </w:t>
      </w:r>
      <w:r w:rsidR="00CC0C75" w:rsidRPr="007706AF">
        <w:rPr>
          <w:rFonts w:ascii="Times New Roman" w:hAnsi="Times New Roman" w:cs="Times New Roman"/>
        </w:rPr>
        <w:t xml:space="preserve">along </w:t>
      </w:r>
      <w:r w:rsidRPr="007706AF">
        <w:rPr>
          <w:rFonts w:ascii="Times New Roman" w:hAnsi="Times New Roman" w:cs="Times New Roman"/>
        </w:rPr>
        <w:t>with them</w:t>
      </w:r>
      <w:r w:rsidR="00CC0C75" w:rsidRPr="007706AF">
        <w:rPr>
          <w:rFonts w:ascii="Times New Roman" w:hAnsi="Times New Roman" w:cs="Times New Roman"/>
        </w:rPr>
        <w:t>, so could the governments they represent</w:t>
      </w:r>
      <w:r w:rsidR="00FC22A1" w:rsidRPr="007706AF">
        <w:rPr>
          <w:rFonts w:ascii="Times New Roman" w:hAnsi="Times New Roman" w:cs="Times New Roman"/>
        </w:rPr>
        <w:t xml:space="preserve"> (Boin 2004: 166)</w:t>
      </w:r>
      <w:r w:rsidRPr="007706AF">
        <w:rPr>
          <w:rFonts w:ascii="Times New Roman" w:hAnsi="Times New Roman" w:cs="Times New Roman"/>
        </w:rPr>
        <w:t xml:space="preserve">. </w:t>
      </w:r>
    </w:p>
    <w:p w14:paraId="405C95A1" w14:textId="31E4E5FC" w:rsidR="00251174" w:rsidRPr="007706AF" w:rsidRDefault="00251174" w:rsidP="00ED49B4">
      <w:pPr>
        <w:spacing w:line="480" w:lineRule="auto"/>
        <w:rPr>
          <w:rFonts w:ascii="Times New Roman" w:hAnsi="Times New Roman" w:cs="Times New Roman"/>
        </w:rPr>
      </w:pPr>
      <w:r w:rsidRPr="007706AF">
        <w:rPr>
          <w:rFonts w:ascii="Times New Roman" w:hAnsi="Times New Roman" w:cs="Times New Roman"/>
          <w:b/>
          <w:i/>
        </w:rPr>
        <w:tab/>
      </w:r>
      <w:r w:rsidRPr="007706AF">
        <w:rPr>
          <w:rFonts w:ascii="Times New Roman" w:hAnsi="Times New Roman" w:cs="Times New Roman"/>
        </w:rPr>
        <w:t xml:space="preserve">At the same time, many scholars recognize the </w:t>
      </w:r>
      <w:r w:rsidRPr="007706AF">
        <w:rPr>
          <w:rFonts w:ascii="Times New Roman" w:hAnsi="Times New Roman" w:cs="Times New Roman"/>
          <w:i/>
        </w:rPr>
        <w:t>opportunity</w:t>
      </w:r>
      <w:r w:rsidRPr="007706AF">
        <w:rPr>
          <w:rFonts w:ascii="Times New Roman" w:hAnsi="Times New Roman" w:cs="Times New Roman"/>
        </w:rPr>
        <w:t xml:space="preserve"> inherent in the process of crisis resolution.  Some refer explicitly to a kind of </w:t>
      </w:r>
      <w:r w:rsidR="00B96B6D" w:rsidRPr="007706AF">
        <w:rPr>
          <w:rFonts w:ascii="Times New Roman" w:hAnsi="Times New Roman" w:cs="Times New Roman"/>
        </w:rPr>
        <w:t>‘</w:t>
      </w:r>
      <w:r w:rsidR="00FC22A1" w:rsidRPr="007706AF">
        <w:rPr>
          <w:rFonts w:ascii="Times New Roman" w:hAnsi="Times New Roman" w:cs="Times New Roman"/>
        </w:rPr>
        <w:t>silver lining effect</w:t>
      </w:r>
      <w:r w:rsidR="00B96B6D" w:rsidRPr="007706AF">
        <w:rPr>
          <w:rFonts w:ascii="Times New Roman" w:hAnsi="Times New Roman" w:cs="Times New Roman"/>
        </w:rPr>
        <w:t>’</w:t>
      </w:r>
      <w:r w:rsidR="00FC22A1" w:rsidRPr="007706AF">
        <w:rPr>
          <w:rFonts w:ascii="Times New Roman" w:hAnsi="Times New Roman" w:cs="Times New Roman"/>
        </w:rPr>
        <w:t xml:space="preserve"> (Seeger 2003: 6; Meyers 1986).</w:t>
      </w:r>
      <w:r w:rsidRPr="007706AF">
        <w:rPr>
          <w:rFonts w:ascii="Times New Roman" w:hAnsi="Times New Roman" w:cs="Times New Roman"/>
        </w:rPr>
        <w:t xml:space="preserve"> </w:t>
      </w:r>
      <w:r w:rsidR="00FC22A1" w:rsidRPr="007706AF">
        <w:rPr>
          <w:rFonts w:ascii="Times New Roman" w:hAnsi="Times New Roman" w:cs="Times New Roman"/>
        </w:rPr>
        <w:t xml:space="preserve"> </w:t>
      </w:r>
      <w:r w:rsidRPr="007706AF">
        <w:rPr>
          <w:rFonts w:ascii="Times New Roman" w:hAnsi="Times New Roman" w:cs="Times New Roman"/>
        </w:rPr>
        <w:t>Crises require change to be overcome, and what decision-makers do with this opening provides the potential to make things better in some way.  Several scholars make reference to the opportunity that has followed various crises in the European context.  Anand Menon argues that the Iraq crisis served to make competing preferences explicit</w:t>
      </w:r>
      <w:r w:rsidR="00B962B3" w:rsidRPr="007706AF">
        <w:rPr>
          <w:rFonts w:ascii="Times New Roman" w:hAnsi="Times New Roman" w:cs="Times New Roman"/>
        </w:rPr>
        <w:t>,</w:t>
      </w:r>
      <w:r w:rsidRPr="007706AF">
        <w:rPr>
          <w:rFonts w:ascii="Times New Roman" w:hAnsi="Times New Roman" w:cs="Times New Roman"/>
        </w:rPr>
        <w:t xml:space="preserve"> enabling the achievement of more </w:t>
      </w:r>
      <w:r w:rsidRPr="007706AF">
        <w:rPr>
          <w:rFonts w:ascii="Times New Roman" w:hAnsi="Times New Roman" w:cs="Times New Roman"/>
        </w:rPr>
        <w:lastRenderedPageBreak/>
        <w:t>security cooperation</w:t>
      </w:r>
      <w:r w:rsidR="00FC22A1" w:rsidRPr="007706AF">
        <w:rPr>
          <w:rFonts w:ascii="Times New Roman" w:hAnsi="Times New Roman" w:cs="Times New Roman"/>
        </w:rPr>
        <w:t xml:space="preserve"> (Menon 2004: 631--48)</w:t>
      </w:r>
      <w:r w:rsidRPr="007706AF">
        <w:rPr>
          <w:rFonts w:ascii="Times New Roman" w:hAnsi="Times New Roman" w:cs="Times New Roman"/>
        </w:rPr>
        <w:t xml:space="preserve">. </w:t>
      </w:r>
      <w:r w:rsidR="00FC22A1" w:rsidRPr="007706AF">
        <w:rPr>
          <w:rFonts w:ascii="Times New Roman" w:hAnsi="Times New Roman" w:cs="Times New Roman"/>
        </w:rPr>
        <w:t xml:space="preserve"> </w:t>
      </w:r>
      <w:r w:rsidRPr="007706AF">
        <w:rPr>
          <w:rFonts w:ascii="Times New Roman" w:hAnsi="Times New Roman" w:cs="Times New Roman"/>
        </w:rPr>
        <w:t>Daniel Keohane and Steven Everts</w:t>
      </w:r>
      <w:r w:rsidR="00FC22A1" w:rsidRPr="007706AF">
        <w:rPr>
          <w:rFonts w:ascii="Times New Roman" w:hAnsi="Times New Roman" w:cs="Times New Roman"/>
        </w:rPr>
        <w:t xml:space="preserve"> (2003: 168)</w:t>
      </w:r>
      <w:r w:rsidRPr="007706AF">
        <w:rPr>
          <w:rFonts w:ascii="Times New Roman" w:hAnsi="Times New Roman" w:cs="Times New Roman"/>
        </w:rPr>
        <w:t xml:space="preserve"> argue that the constitutional crisis created an opportunity for self-definition, leading to key institutional reform. Neil Fligstein</w:t>
      </w:r>
      <w:r w:rsidR="00FC22A1" w:rsidRPr="007706AF">
        <w:rPr>
          <w:rFonts w:ascii="Times New Roman" w:hAnsi="Times New Roman" w:cs="Times New Roman"/>
        </w:rPr>
        <w:t xml:space="preserve"> (2001: 266)</w:t>
      </w:r>
      <w:r w:rsidRPr="007706AF">
        <w:rPr>
          <w:rFonts w:ascii="Times New Roman" w:hAnsi="Times New Roman" w:cs="Times New Roman"/>
        </w:rPr>
        <w:t xml:space="preserve"> argues that the integration crisis of the 1980s enabled skilled strategic actors to build new political coalitions and push for the establishment of the Single Market.</w:t>
      </w:r>
      <w:r w:rsidR="00FC22A1" w:rsidRPr="007706AF">
        <w:rPr>
          <w:rFonts w:ascii="Times New Roman" w:hAnsi="Times New Roman" w:cs="Times New Roman"/>
        </w:rPr>
        <w:t xml:space="preserve"> </w:t>
      </w:r>
      <w:r w:rsidRPr="007706AF">
        <w:rPr>
          <w:rFonts w:ascii="Times New Roman" w:hAnsi="Times New Roman" w:cs="Times New Roman"/>
        </w:rPr>
        <w:t xml:space="preserve"> And Thomas Risse</w:t>
      </w:r>
      <w:r w:rsidR="00FC22A1" w:rsidRPr="007706AF">
        <w:rPr>
          <w:rFonts w:ascii="Times New Roman" w:hAnsi="Times New Roman" w:cs="Times New Roman"/>
        </w:rPr>
        <w:t xml:space="preserve"> (2010)</w:t>
      </w:r>
      <w:r w:rsidRPr="007706AF">
        <w:rPr>
          <w:rFonts w:ascii="Times New Roman" w:hAnsi="Times New Roman" w:cs="Times New Roman"/>
        </w:rPr>
        <w:t xml:space="preserve"> suggests that EU crises often contribute to making the European public sphere more robust through politicizing the citizenry around certain issues. </w:t>
      </w:r>
      <w:r w:rsidR="00FC22A1" w:rsidRPr="007706AF">
        <w:rPr>
          <w:rFonts w:ascii="Times New Roman" w:hAnsi="Times New Roman" w:cs="Times New Roman"/>
        </w:rPr>
        <w:t xml:space="preserve"> </w:t>
      </w:r>
      <w:r w:rsidRPr="007706AF">
        <w:rPr>
          <w:rFonts w:ascii="Times New Roman" w:hAnsi="Times New Roman" w:cs="Times New Roman"/>
        </w:rPr>
        <w:t>These studies and others all support the argument that various crises have enabled Europeans to clarify the issues at stake and make agreement a clear priority</w:t>
      </w:r>
      <w:r w:rsidR="00FC22A1" w:rsidRPr="007706AF">
        <w:rPr>
          <w:rFonts w:ascii="Times New Roman" w:hAnsi="Times New Roman" w:cs="Times New Roman"/>
        </w:rPr>
        <w:t xml:space="preserve"> (Crowe 2003: 533--46; Gamble 2006: 34--49; Lewis 2009: 432--450)</w:t>
      </w:r>
      <w:r w:rsidRPr="007706AF">
        <w:rPr>
          <w:rFonts w:ascii="Times New Roman" w:hAnsi="Times New Roman" w:cs="Times New Roman"/>
        </w:rPr>
        <w:t xml:space="preserve">. </w:t>
      </w:r>
      <w:r w:rsidR="00FC22A1" w:rsidRPr="007706AF">
        <w:rPr>
          <w:rFonts w:ascii="Times New Roman" w:hAnsi="Times New Roman" w:cs="Times New Roman"/>
        </w:rPr>
        <w:t xml:space="preserve"> </w:t>
      </w:r>
      <w:r w:rsidRPr="007706AF">
        <w:rPr>
          <w:rFonts w:ascii="Times New Roman" w:hAnsi="Times New Roman" w:cs="Times New Roman"/>
        </w:rPr>
        <w:t>Moreover, they argue that such agreement may not have otherwise been found in the absence of crisis.</w:t>
      </w:r>
    </w:p>
    <w:p w14:paraId="3AE51B7A" w14:textId="77777777" w:rsidR="00251174" w:rsidRPr="007706AF" w:rsidRDefault="00251174" w:rsidP="00ED49B4">
      <w:pPr>
        <w:spacing w:line="480" w:lineRule="auto"/>
        <w:rPr>
          <w:rFonts w:ascii="Times New Roman" w:hAnsi="Times New Roman" w:cs="Times New Roman"/>
        </w:rPr>
      </w:pPr>
    </w:p>
    <w:p w14:paraId="1AFF3355" w14:textId="2BE2B5A4" w:rsidR="00251174" w:rsidRPr="007706AF" w:rsidRDefault="00251174" w:rsidP="00ED49B4">
      <w:pPr>
        <w:spacing w:line="480" w:lineRule="auto"/>
        <w:rPr>
          <w:rFonts w:ascii="Times New Roman" w:hAnsi="Times New Roman" w:cs="Times New Roman"/>
          <w:b/>
          <w:i/>
        </w:rPr>
      </w:pPr>
      <w:r w:rsidRPr="007706AF">
        <w:rPr>
          <w:rFonts w:ascii="Times New Roman" w:hAnsi="Times New Roman" w:cs="Times New Roman"/>
          <w:b/>
          <w:i/>
        </w:rPr>
        <w:t>Crisis Resolution Outcomes</w:t>
      </w:r>
    </w:p>
    <w:p w14:paraId="2E49E600" w14:textId="519857C9" w:rsidR="00251174" w:rsidRPr="007706AF" w:rsidRDefault="00251174" w:rsidP="00ED49B4">
      <w:pPr>
        <w:spacing w:line="480" w:lineRule="auto"/>
        <w:ind w:firstLine="720"/>
        <w:rPr>
          <w:rFonts w:ascii="Times New Roman" w:hAnsi="Times New Roman" w:cs="Times New Roman"/>
        </w:rPr>
      </w:pPr>
      <w:r w:rsidRPr="007706AF">
        <w:rPr>
          <w:rFonts w:ascii="Times New Roman" w:hAnsi="Times New Roman" w:cs="Times New Roman"/>
        </w:rPr>
        <w:t>In the third stage, leaders with decision-making authority take action, and the outcome of a crisis becomes apparent.  Most arguments about crisis resolution naturally prioritize the role of elites or leaders in finding ways out of crises, but they differ in terms of what elites choose to do.</w:t>
      </w:r>
      <w:r w:rsidR="004C3DD5" w:rsidRPr="007706AF">
        <w:rPr>
          <w:rFonts w:ascii="Times New Roman" w:hAnsi="Times New Roman" w:cs="Times New Roman"/>
        </w:rPr>
        <w:t xml:space="preserve">  </w:t>
      </w:r>
      <w:r w:rsidRPr="007706AF">
        <w:rPr>
          <w:rFonts w:ascii="Times New Roman" w:hAnsi="Times New Roman" w:cs="Times New Roman"/>
        </w:rPr>
        <w:t>One possibility is that leaders will take advantage of the crisis to quickly get policies implemented that would otherwise not survive democratic procedures.  In other words, the argument is that they strategically use crises for political ends, such as for increasing state power or furthering EU integration</w:t>
      </w:r>
      <w:r w:rsidR="00FC22A1" w:rsidRPr="007706AF">
        <w:rPr>
          <w:rFonts w:ascii="Times New Roman" w:hAnsi="Times New Roman" w:cs="Times New Roman"/>
        </w:rPr>
        <w:t xml:space="preserve"> (Sala 2010)</w:t>
      </w:r>
      <w:r w:rsidRPr="007706AF">
        <w:rPr>
          <w:rFonts w:ascii="Times New Roman" w:hAnsi="Times New Roman" w:cs="Times New Roman"/>
        </w:rPr>
        <w:t xml:space="preserve">. </w:t>
      </w:r>
      <w:r w:rsidR="00FC22A1" w:rsidRPr="007706AF">
        <w:rPr>
          <w:rFonts w:ascii="Times New Roman" w:hAnsi="Times New Roman" w:cs="Times New Roman"/>
        </w:rPr>
        <w:t xml:space="preserve"> </w:t>
      </w:r>
      <w:r w:rsidRPr="007706AF">
        <w:rPr>
          <w:rFonts w:ascii="Times New Roman" w:hAnsi="Times New Roman" w:cs="Times New Roman"/>
        </w:rPr>
        <w:t>Naomi Klein</w:t>
      </w:r>
      <w:r w:rsidR="00FC22A1" w:rsidRPr="007706AF">
        <w:rPr>
          <w:rFonts w:ascii="Times New Roman" w:hAnsi="Times New Roman" w:cs="Times New Roman"/>
        </w:rPr>
        <w:t xml:space="preserve"> (2011)</w:t>
      </w:r>
      <w:r w:rsidRPr="007706AF">
        <w:rPr>
          <w:rFonts w:ascii="Times New Roman" w:hAnsi="Times New Roman" w:cs="Times New Roman"/>
        </w:rPr>
        <w:t xml:space="preserve"> introduces the idea of the </w:t>
      </w:r>
      <w:r w:rsidRPr="007706AF">
        <w:rPr>
          <w:rFonts w:ascii="Times New Roman" w:hAnsi="Times New Roman" w:cs="Times New Roman"/>
          <w:i/>
        </w:rPr>
        <w:t>shock doctrine</w:t>
      </w:r>
      <w:r w:rsidRPr="007706AF">
        <w:rPr>
          <w:rFonts w:ascii="Times New Roman" w:hAnsi="Times New Roman" w:cs="Times New Roman"/>
        </w:rPr>
        <w:t xml:space="preserve"> to refer to the sinister ways in which leaders get away with pushing through unpopular policies while the public is distracted by a crisis. </w:t>
      </w:r>
      <w:r w:rsidR="00FC22A1" w:rsidRPr="007706AF">
        <w:rPr>
          <w:rFonts w:ascii="Times New Roman" w:hAnsi="Times New Roman" w:cs="Times New Roman"/>
        </w:rPr>
        <w:t xml:space="preserve"> </w:t>
      </w:r>
      <w:r w:rsidRPr="007706AF">
        <w:rPr>
          <w:rFonts w:ascii="Times New Roman" w:hAnsi="Times New Roman" w:cs="Times New Roman"/>
        </w:rPr>
        <w:t>Similarly, Carl Schmitt</w:t>
      </w:r>
      <w:r w:rsidR="00FC22A1" w:rsidRPr="007706AF">
        <w:rPr>
          <w:rFonts w:ascii="Times New Roman" w:hAnsi="Times New Roman" w:cs="Times New Roman"/>
        </w:rPr>
        <w:t xml:space="preserve"> (1922/2004: 5)</w:t>
      </w:r>
      <w:r w:rsidRPr="007706AF">
        <w:rPr>
          <w:rFonts w:ascii="Times New Roman" w:hAnsi="Times New Roman" w:cs="Times New Roman"/>
        </w:rPr>
        <w:t xml:space="preserve"> argues that sovereign decision makers may actually </w:t>
      </w:r>
      <w:r w:rsidRPr="007706AF">
        <w:rPr>
          <w:rFonts w:ascii="Times New Roman" w:hAnsi="Times New Roman" w:cs="Times New Roman"/>
          <w:i/>
        </w:rPr>
        <w:t>create</w:t>
      </w:r>
      <w:r w:rsidRPr="007706AF">
        <w:rPr>
          <w:rFonts w:ascii="Times New Roman" w:hAnsi="Times New Roman" w:cs="Times New Roman"/>
        </w:rPr>
        <w:t xml:space="preserve"> crises to justify certain political actions. </w:t>
      </w:r>
      <w:r w:rsidR="00FC22A1" w:rsidRPr="007706AF">
        <w:rPr>
          <w:rFonts w:ascii="Times New Roman" w:hAnsi="Times New Roman" w:cs="Times New Roman"/>
        </w:rPr>
        <w:t xml:space="preserve"> </w:t>
      </w:r>
      <w:r w:rsidRPr="007706AF">
        <w:rPr>
          <w:rFonts w:ascii="Times New Roman" w:hAnsi="Times New Roman" w:cs="Times New Roman"/>
        </w:rPr>
        <w:t xml:space="preserve">According to this view, when a sovereign defines a crisis as such, he can then disregard the </w:t>
      </w:r>
      <w:r w:rsidRPr="007706AF">
        <w:rPr>
          <w:rFonts w:ascii="Times New Roman" w:hAnsi="Times New Roman" w:cs="Times New Roman"/>
        </w:rPr>
        <w:lastRenderedPageBreak/>
        <w:t>natural principles and laws that normally bind his actions and protect the interests of the people</w:t>
      </w:r>
      <w:r w:rsidR="00FC22A1" w:rsidRPr="007706AF">
        <w:rPr>
          <w:rFonts w:ascii="Times New Roman" w:hAnsi="Times New Roman" w:cs="Times New Roman"/>
        </w:rPr>
        <w:t xml:space="preserve"> (Schmitt 1922/2004: 8)</w:t>
      </w:r>
      <w:r w:rsidRPr="007706AF">
        <w:rPr>
          <w:rFonts w:ascii="Times New Roman" w:hAnsi="Times New Roman" w:cs="Times New Roman"/>
        </w:rPr>
        <w:t xml:space="preserve">. </w:t>
      </w:r>
      <w:r w:rsidR="00FC22A1" w:rsidRPr="007706AF">
        <w:rPr>
          <w:rFonts w:ascii="Times New Roman" w:hAnsi="Times New Roman" w:cs="Times New Roman"/>
        </w:rPr>
        <w:t xml:space="preserve"> </w:t>
      </w:r>
      <w:r w:rsidRPr="007706AF">
        <w:rPr>
          <w:rFonts w:ascii="Times New Roman" w:hAnsi="Times New Roman" w:cs="Times New Roman"/>
        </w:rPr>
        <w:t>Andrew Neal</w:t>
      </w:r>
      <w:r w:rsidR="00FC22A1" w:rsidRPr="007706AF">
        <w:rPr>
          <w:rFonts w:ascii="Times New Roman" w:hAnsi="Times New Roman" w:cs="Times New Roman"/>
        </w:rPr>
        <w:t xml:space="preserve"> (2009:1)</w:t>
      </w:r>
      <w:r w:rsidRPr="007706AF">
        <w:rPr>
          <w:rFonts w:ascii="Times New Roman" w:hAnsi="Times New Roman" w:cs="Times New Roman"/>
        </w:rPr>
        <w:t xml:space="preserve"> also argues that liberal states can act illiberally when statesmen take advantage of the exceptionalism of crises to change the existing order.</w:t>
      </w:r>
      <w:r w:rsidR="00CC0C75" w:rsidRPr="007706AF">
        <w:rPr>
          <w:rFonts w:ascii="Times New Roman" w:hAnsi="Times New Roman" w:cs="Times New Roman"/>
        </w:rPr>
        <w:t xml:space="preserve"> </w:t>
      </w:r>
      <w:r w:rsidR="00FC22A1" w:rsidRPr="007706AF">
        <w:rPr>
          <w:rFonts w:ascii="Times New Roman" w:hAnsi="Times New Roman" w:cs="Times New Roman"/>
        </w:rPr>
        <w:t xml:space="preserve"> </w:t>
      </w:r>
      <w:r w:rsidR="00CC0C75" w:rsidRPr="007706AF">
        <w:rPr>
          <w:rFonts w:ascii="Times New Roman" w:hAnsi="Times New Roman" w:cs="Times New Roman"/>
        </w:rPr>
        <w:t>Indeed, this can become a dangerous, slippery slope towards dictatorship, as has occurred at numerous times through history from Julius Caesar to Napoleon to Hitler.</w:t>
      </w:r>
    </w:p>
    <w:p w14:paraId="57ED5B0B" w14:textId="5F7F3C06" w:rsidR="00251174" w:rsidRPr="007706AF" w:rsidRDefault="00251174" w:rsidP="00ED49B4">
      <w:pPr>
        <w:spacing w:line="480" w:lineRule="auto"/>
        <w:ind w:firstLine="720"/>
        <w:rPr>
          <w:rFonts w:ascii="Times New Roman" w:hAnsi="Times New Roman" w:cs="Times New Roman"/>
        </w:rPr>
      </w:pPr>
      <w:r w:rsidRPr="007706AF">
        <w:rPr>
          <w:rFonts w:ascii="Times New Roman" w:hAnsi="Times New Roman" w:cs="Times New Roman"/>
        </w:rPr>
        <w:t>Another possibility, however, is closer to what happens in the European context.  Leaders could respond to crises through rebuilding and transforming institutions, creating a better-functioning institutional and normative environment.  Indeed, some organizational theorists argue that crises are actually an inherent and natural part of organizational development.  Organizations need change and improvement, and crises provide that opportunity</w:t>
      </w:r>
      <w:r w:rsidR="00FC22A1" w:rsidRPr="007706AF">
        <w:rPr>
          <w:rFonts w:ascii="Times New Roman" w:hAnsi="Times New Roman" w:cs="Times New Roman"/>
        </w:rPr>
        <w:t xml:space="preserve"> (Seeger 2003: 232)</w:t>
      </w:r>
      <w:r w:rsidRPr="007706AF">
        <w:rPr>
          <w:rFonts w:ascii="Times New Roman" w:hAnsi="Times New Roman" w:cs="Times New Roman"/>
        </w:rPr>
        <w:t>.</w:t>
      </w:r>
      <w:r w:rsidR="004C3DD5" w:rsidRPr="007706AF">
        <w:rPr>
          <w:rFonts w:ascii="Times New Roman" w:hAnsi="Times New Roman" w:cs="Times New Roman"/>
        </w:rPr>
        <w:t xml:space="preserve"> </w:t>
      </w:r>
      <w:r w:rsidR="00FC22A1" w:rsidRPr="007706AF">
        <w:rPr>
          <w:rFonts w:ascii="Times New Roman" w:hAnsi="Times New Roman" w:cs="Times New Roman"/>
        </w:rPr>
        <w:t xml:space="preserve"> </w:t>
      </w:r>
      <w:r w:rsidR="004C3DD5" w:rsidRPr="007706AF">
        <w:rPr>
          <w:rFonts w:ascii="Times New Roman" w:hAnsi="Times New Roman" w:cs="Times New Roman"/>
        </w:rPr>
        <w:t>As Gene Rochlin</w:t>
      </w:r>
      <w:r w:rsidR="00DC4047" w:rsidRPr="007706AF">
        <w:rPr>
          <w:rFonts w:ascii="Times New Roman" w:hAnsi="Times New Roman" w:cs="Times New Roman"/>
        </w:rPr>
        <w:t xml:space="preserve"> (1996: 55--59)</w:t>
      </w:r>
      <w:r w:rsidR="004C3DD5" w:rsidRPr="007706AF">
        <w:rPr>
          <w:rFonts w:ascii="Times New Roman" w:hAnsi="Times New Roman" w:cs="Times New Roman"/>
        </w:rPr>
        <w:t xml:space="preserve"> argues</w:t>
      </w:r>
      <w:r w:rsidR="0097200A" w:rsidRPr="007706AF">
        <w:rPr>
          <w:rFonts w:ascii="Times New Roman" w:hAnsi="Times New Roman" w:cs="Times New Roman"/>
        </w:rPr>
        <w:t>,</w:t>
      </w:r>
      <w:r w:rsidRPr="007706AF">
        <w:rPr>
          <w:rFonts w:ascii="Times New Roman" w:hAnsi="Times New Roman" w:cs="Times New Roman"/>
        </w:rPr>
        <w:t xml:space="preserve"> the human errors that crises bring to light allow the creation of better-designed and maintained organizations. </w:t>
      </w:r>
      <w:r w:rsidR="00DC4047" w:rsidRPr="007706AF">
        <w:rPr>
          <w:rFonts w:ascii="Times New Roman" w:hAnsi="Times New Roman" w:cs="Times New Roman"/>
        </w:rPr>
        <w:t xml:space="preserve"> </w:t>
      </w:r>
      <w:r w:rsidRPr="007706AF">
        <w:rPr>
          <w:rFonts w:ascii="Times New Roman" w:hAnsi="Times New Roman" w:cs="Times New Roman"/>
        </w:rPr>
        <w:t xml:space="preserve">The organizational approach tends to see crises as being subject to standard operating procedures.  Built in to the set-up of institutions is the ability to go into </w:t>
      </w:r>
      <w:r w:rsidR="00B96B6D" w:rsidRPr="007706AF">
        <w:rPr>
          <w:rFonts w:ascii="Times New Roman" w:hAnsi="Times New Roman" w:cs="Times New Roman"/>
        </w:rPr>
        <w:t>‘</w:t>
      </w:r>
      <w:r w:rsidRPr="007706AF">
        <w:rPr>
          <w:rFonts w:ascii="Times New Roman" w:hAnsi="Times New Roman" w:cs="Times New Roman"/>
        </w:rPr>
        <w:t>crisis mode</w:t>
      </w:r>
      <w:r w:rsidR="00B96B6D" w:rsidRPr="007706AF">
        <w:rPr>
          <w:rFonts w:ascii="Times New Roman" w:hAnsi="Times New Roman" w:cs="Times New Roman"/>
        </w:rPr>
        <w:t>’</w:t>
      </w:r>
      <w:r w:rsidRPr="007706AF">
        <w:rPr>
          <w:rFonts w:ascii="Times New Roman" w:hAnsi="Times New Roman" w:cs="Times New Roman"/>
        </w:rPr>
        <w:t xml:space="preserve"> when something goes wrong.  These events are thus planned for in advance.  </w:t>
      </w:r>
      <w:r w:rsidR="004C3DD5" w:rsidRPr="007706AF">
        <w:rPr>
          <w:rFonts w:ascii="Times New Roman" w:hAnsi="Times New Roman" w:cs="Times New Roman"/>
        </w:rPr>
        <w:t xml:space="preserve">Richard </w:t>
      </w:r>
      <w:r w:rsidRPr="007706AF">
        <w:rPr>
          <w:rFonts w:ascii="Times New Roman" w:hAnsi="Times New Roman" w:cs="Times New Roman"/>
        </w:rPr>
        <w:t>Rosecrance</w:t>
      </w:r>
      <w:r w:rsidR="00DC4047" w:rsidRPr="007706AF">
        <w:rPr>
          <w:rFonts w:ascii="Times New Roman" w:hAnsi="Times New Roman" w:cs="Times New Roman"/>
        </w:rPr>
        <w:t xml:space="preserve"> (1963)</w:t>
      </w:r>
      <w:r w:rsidRPr="007706AF">
        <w:rPr>
          <w:rFonts w:ascii="Times New Roman" w:hAnsi="Times New Roman" w:cs="Times New Roman"/>
        </w:rPr>
        <w:t xml:space="preserve">, for example, suggests that systems that survive repeated crises have a strong variety of regulatory mechanisms in place. </w:t>
      </w:r>
      <w:r w:rsidR="00DC4047" w:rsidRPr="007706AF">
        <w:rPr>
          <w:rFonts w:ascii="Times New Roman" w:hAnsi="Times New Roman" w:cs="Times New Roman"/>
        </w:rPr>
        <w:t xml:space="preserve"> </w:t>
      </w:r>
      <w:r w:rsidRPr="007706AF">
        <w:rPr>
          <w:rFonts w:ascii="Times New Roman" w:hAnsi="Times New Roman" w:cs="Times New Roman"/>
        </w:rPr>
        <w:t>Thus, if institutions already have built-in safeguards and mechanisms for handling crises, leaders are more likely to make adjustments to the system in place rather than trying to transform the existing order entirely.</w:t>
      </w:r>
    </w:p>
    <w:p w14:paraId="10A2F951" w14:textId="6D76679B" w:rsidR="00251174" w:rsidRPr="007706AF" w:rsidRDefault="00251174" w:rsidP="00B813A8">
      <w:pPr>
        <w:spacing w:line="480" w:lineRule="auto"/>
        <w:ind w:firstLine="720"/>
        <w:rPr>
          <w:rFonts w:ascii="Times New Roman" w:hAnsi="Times New Roman" w:cs="Times New Roman"/>
        </w:rPr>
      </w:pPr>
      <w:r w:rsidRPr="007706AF">
        <w:rPr>
          <w:rFonts w:ascii="Times New Roman" w:hAnsi="Times New Roman" w:cs="Times New Roman"/>
        </w:rPr>
        <w:t xml:space="preserve">In cases of international crises that seemingly threaten cooperation or integration among states, leaders are often even </w:t>
      </w:r>
      <w:r w:rsidRPr="007706AF">
        <w:rPr>
          <w:rFonts w:ascii="Times New Roman" w:hAnsi="Times New Roman" w:cs="Times New Roman"/>
          <w:i/>
        </w:rPr>
        <w:t>less</w:t>
      </w:r>
      <w:r w:rsidRPr="007706AF">
        <w:rPr>
          <w:rFonts w:ascii="Times New Roman" w:hAnsi="Times New Roman" w:cs="Times New Roman"/>
        </w:rPr>
        <w:t xml:space="preserve"> constrained because they are expected to prioritize the sovereignty and </w:t>
      </w:r>
      <w:proofErr w:type="gramStart"/>
      <w:r w:rsidR="0097200A" w:rsidRPr="007706AF">
        <w:rPr>
          <w:rFonts w:ascii="Times New Roman" w:hAnsi="Times New Roman" w:cs="Times New Roman"/>
        </w:rPr>
        <w:t>well-being</w:t>
      </w:r>
      <w:proofErr w:type="gramEnd"/>
      <w:r w:rsidR="0097200A" w:rsidRPr="007706AF">
        <w:rPr>
          <w:rFonts w:ascii="Times New Roman" w:hAnsi="Times New Roman" w:cs="Times New Roman"/>
        </w:rPr>
        <w:t xml:space="preserve"> </w:t>
      </w:r>
      <w:r w:rsidRPr="007706AF">
        <w:rPr>
          <w:rFonts w:ascii="Times New Roman" w:hAnsi="Times New Roman" w:cs="Times New Roman"/>
        </w:rPr>
        <w:t>of their own territory and citizens.  Thus, they could (1) roll back,</w:t>
      </w:r>
      <w:r w:rsidRPr="007706AF">
        <w:rPr>
          <w:rFonts w:ascii="Times New Roman" w:hAnsi="Times New Roman" w:cs="Times New Roman"/>
          <w:i/>
        </w:rPr>
        <w:t xml:space="preserve"> </w:t>
      </w:r>
      <w:r w:rsidRPr="007706AF">
        <w:rPr>
          <w:rFonts w:ascii="Times New Roman" w:hAnsi="Times New Roman" w:cs="Times New Roman"/>
        </w:rPr>
        <w:t>(2) freeze,</w:t>
      </w:r>
      <w:r w:rsidRPr="007706AF">
        <w:rPr>
          <w:rFonts w:ascii="Times New Roman" w:hAnsi="Times New Roman" w:cs="Times New Roman"/>
          <w:i/>
        </w:rPr>
        <w:t xml:space="preserve"> </w:t>
      </w:r>
      <w:r w:rsidRPr="007706AF">
        <w:rPr>
          <w:rFonts w:ascii="Times New Roman" w:hAnsi="Times New Roman" w:cs="Times New Roman"/>
        </w:rPr>
        <w:t xml:space="preserve">or (3) push forward cooperation and integration.  Leaders might choose to </w:t>
      </w:r>
      <w:r w:rsidRPr="007706AF">
        <w:rPr>
          <w:rFonts w:ascii="Times New Roman" w:hAnsi="Times New Roman" w:cs="Times New Roman"/>
          <w:i/>
        </w:rPr>
        <w:t>roll back</w:t>
      </w:r>
      <w:r w:rsidRPr="007706AF">
        <w:rPr>
          <w:rFonts w:ascii="Times New Roman" w:hAnsi="Times New Roman" w:cs="Times New Roman"/>
        </w:rPr>
        <w:t xml:space="preserve"> </w:t>
      </w:r>
      <w:r w:rsidRPr="007706AF">
        <w:rPr>
          <w:rFonts w:ascii="Times New Roman" w:hAnsi="Times New Roman" w:cs="Times New Roman"/>
        </w:rPr>
        <w:lastRenderedPageBreak/>
        <w:t xml:space="preserve">cooperation if they interpret a crisis as a signal that their cooperative arrangement no longer works.  For example, some experts argue that the Eurozone crisis meant that the Euro was doomed and should be dropped in favor of national currencies.  Leaders might alternatively choose to </w:t>
      </w:r>
      <w:r w:rsidRPr="007706AF">
        <w:rPr>
          <w:rFonts w:ascii="Times New Roman" w:hAnsi="Times New Roman" w:cs="Times New Roman"/>
          <w:i/>
        </w:rPr>
        <w:t>freeze</w:t>
      </w:r>
      <w:r w:rsidRPr="007706AF">
        <w:rPr>
          <w:rFonts w:ascii="Times New Roman" w:hAnsi="Times New Roman" w:cs="Times New Roman"/>
        </w:rPr>
        <w:t xml:space="preserve"> the level of cooperation that has already been achieved if they interpret a crisis as a signal that pushing for more cooperation would be dangerous.  For example, in the 2003 Iraq crisis </w:t>
      </w:r>
      <w:r w:rsidR="00A52173" w:rsidRPr="007706AF">
        <w:rPr>
          <w:rFonts w:ascii="Times New Roman" w:hAnsi="Times New Roman" w:cs="Times New Roman"/>
        </w:rPr>
        <w:t xml:space="preserve">for the EU, </w:t>
      </w:r>
      <w:r w:rsidRPr="007706AF">
        <w:rPr>
          <w:rFonts w:ascii="Times New Roman" w:hAnsi="Times New Roman" w:cs="Times New Roman"/>
        </w:rPr>
        <w:t>when there was an initial failure to achieve a common stance</w:t>
      </w:r>
      <w:r w:rsidR="00A52173" w:rsidRPr="007706AF">
        <w:rPr>
          <w:rFonts w:ascii="Times New Roman" w:hAnsi="Times New Roman" w:cs="Times New Roman"/>
        </w:rPr>
        <w:t xml:space="preserve"> and the crisis narrative played up deep East-West (or </w:t>
      </w:r>
      <w:r w:rsidR="0018714B" w:rsidRPr="007706AF">
        <w:rPr>
          <w:rFonts w:ascii="Times New Roman" w:hAnsi="Times New Roman" w:cs="Times New Roman"/>
        </w:rPr>
        <w:t>so-called old-new</w:t>
      </w:r>
      <w:r w:rsidR="00A52173" w:rsidRPr="007706AF">
        <w:rPr>
          <w:rFonts w:ascii="Times New Roman" w:hAnsi="Times New Roman" w:cs="Times New Roman"/>
        </w:rPr>
        <w:t>) divisions</w:t>
      </w:r>
      <w:r w:rsidRPr="007706AF">
        <w:rPr>
          <w:rFonts w:ascii="Times New Roman" w:hAnsi="Times New Roman" w:cs="Times New Roman"/>
        </w:rPr>
        <w:t xml:space="preserve">, some elites argued that any enhancement of CFSP would be impossible, and </w:t>
      </w:r>
      <w:r w:rsidR="0097200A" w:rsidRPr="007706AF">
        <w:rPr>
          <w:rFonts w:ascii="Times New Roman" w:hAnsi="Times New Roman" w:cs="Times New Roman"/>
        </w:rPr>
        <w:t xml:space="preserve">that </w:t>
      </w:r>
      <w:r w:rsidRPr="007706AF">
        <w:rPr>
          <w:rFonts w:ascii="Times New Roman" w:hAnsi="Times New Roman" w:cs="Times New Roman"/>
        </w:rPr>
        <w:t xml:space="preserve">Europeans were not capable of improving their approach to foreign policy.  Finally, another reaction to a crisis could be for leaders to </w:t>
      </w:r>
      <w:r w:rsidRPr="007706AF">
        <w:rPr>
          <w:rFonts w:ascii="Times New Roman" w:hAnsi="Times New Roman" w:cs="Times New Roman"/>
          <w:i/>
        </w:rPr>
        <w:t>push forward</w:t>
      </w:r>
      <w:r w:rsidRPr="007706AF">
        <w:rPr>
          <w:rFonts w:ascii="Times New Roman" w:hAnsi="Times New Roman" w:cs="Times New Roman"/>
        </w:rPr>
        <w:t xml:space="preserve"> with more integration</w:t>
      </w:r>
      <w:r w:rsidRPr="007706AF">
        <w:rPr>
          <w:rFonts w:ascii="Times New Roman" w:hAnsi="Times New Roman" w:cs="Times New Roman"/>
          <w:b/>
          <w:i/>
        </w:rPr>
        <w:t xml:space="preserve"> </w:t>
      </w:r>
      <w:r w:rsidRPr="007706AF">
        <w:rPr>
          <w:rFonts w:ascii="Times New Roman" w:hAnsi="Times New Roman" w:cs="Times New Roman"/>
        </w:rPr>
        <w:t xml:space="preserve">in response to crises.  In theory, this would seem to be </w:t>
      </w:r>
      <w:r w:rsidR="0097200A" w:rsidRPr="007706AF">
        <w:rPr>
          <w:rFonts w:ascii="Times New Roman" w:hAnsi="Times New Roman" w:cs="Times New Roman"/>
        </w:rPr>
        <w:t xml:space="preserve">the </w:t>
      </w:r>
      <w:r w:rsidRPr="007706AF">
        <w:rPr>
          <w:rFonts w:ascii="Times New Roman" w:hAnsi="Times New Roman" w:cs="Times New Roman"/>
        </w:rPr>
        <w:t>least likely</w:t>
      </w:r>
      <w:r w:rsidR="0097200A" w:rsidRPr="007706AF">
        <w:rPr>
          <w:rFonts w:ascii="Times New Roman" w:hAnsi="Times New Roman" w:cs="Times New Roman"/>
        </w:rPr>
        <w:t xml:space="preserve"> outcome</w:t>
      </w:r>
      <w:r w:rsidRPr="007706AF">
        <w:rPr>
          <w:rFonts w:ascii="Times New Roman" w:hAnsi="Times New Roman" w:cs="Times New Roman"/>
        </w:rPr>
        <w:t xml:space="preserve"> because in an international system based on state sovereignty, we might expect leaders to take a </w:t>
      </w:r>
      <w:r w:rsidR="00B96B6D" w:rsidRPr="007706AF">
        <w:rPr>
          <w:rFonts w:ascii="Times New Roman" w:hAnsi="Times New Roman" w:cs="Times New Roman"/>
        </w:rPr>
        <w:t>‘</w:t>
      </w:r>
      <w:r w:rsidRPr="007706AF">
        <w:rPr>
          <w:rFonts w:ascii="Times New Roman" w:hAnsi="Times New Roman" w:cs="Times New Roman"/>
        </w:rPr>
        <w:t>safer</w:t>
      </w:r>
      <w:r w:rsidR="00B96B6D" w:rsidRPr="007706AF">
        <w:rPr>
          <w:rFonts w:ascii="Times New Roman" w:hAnsi="Times New Roman" w:cs="Times New Roman"/>
        </w:rPr>
        <w:t>’</w:t>
      </w:r>
      <w:r w:rsidRPr="007706AF">
        <w:rPr>
          <w:rFonts w:ascii="Times New Roman" w:hAnsi="Times New Roman" w:cs="Times New Roman"/>
        </w:rPr>
        <w:t xml:space="preserve"> route that restores sovereignty</w:t>
      </w:r>
      <w:r w:rsidR="0097200A" w:rsidRPr="007706AF">
        <w:rPr>
          <w:rFonts w:ascii="Times New Roman" w:hAnsi="Times New Roman" w:cs="Times New Roman"/>
        </w:rPr>
        <w:t>, in order</w:t>
      </w:r>
      <w:r w:rsidRPr="007706AF">
        <w:rPr>
          <w:rFonts w:ascii="Times New Roman" w:hAnsi="Times New Roman" w:cs="Times New Roman"/>
        </w:rPr>
        <w:t xml:space="preserve"> to avoid future crises and </w:t>
      </w:r>
      <w:r w:rsidR="0097200A" w:rsidRPr="007706AF">
        <w:rPr>
          <w:rFonts w:ascii="Times New Roman" w:hAnsi="Times New Roman" w:cs="Times New Roman"/>
        </w:rPr>
        <w:t xml:space="preserve">to reduce </w:t>
      </w:r>
      <w:r w:rsidRPr="007706AF">
        <w:rPr>
          <w:rFonts w:ascii="Times New Roman" w:hAnsi="Times New Roman" w:cs="Times New Roman"/>
        </w:rPr>
        <w:t>the vulnerability that comes with int</w:t>
      </w:r>
      <w:r w:rsidR="00EB7894" w:rsidRPr="007706AF">
        <w:rPr>
          <w:rFonts w:ascii="Times New Roman" w:hAnsi="Times New Roman" w:cs="Times New Roman"/>
        </w:rPr>
        <w:t>erdependence</w:t>
      </w:r>
      <w:r w:rsidR="00DC4047" w:rsidRPr="007706AF">
        <w:rPr>
          <w:rFonts w:ascii="Times New Roman" w:hAnsi="Times New Roman" w:cs="Times New Roman"/>
        </w:rPr>
        <w:t xml:space="preserve"> (Gilpin 1975: 37--60)</w:t>
      </w:r>
      <w:r w:rsidRPr="007706AF">
        <w:rPr>
          <w:rFonts w:ascii="Times New Roman" w:hAnsi="Times New Roman" w:cs="Times New Roman"/>
        </w:rPr>
        <w:t xml:space="preserve">. </w:t>
      </w:r>
      <w:r w:rsidR="00A52173" w:rsidRPr="007706AF">
        <w:rPr>
          <w:rFonts w:ascii="Times New Roman" w:hAnsi="Times New Roman" w:cs="Times New Roman"/>
        </w:rPr>
        <w:t xml:space="preserve"> These various routes to crisis resolution present</w:t>
      </w:r>
      <w:r w:rsidRPr="007706AF">
        <w:rPr>
          <w:rFonts w:ascii="Times New Roman" w:hAnsi="Times New Roman" w:cs="Times New Roman"/>
        </w:rPr>
        <w:t xml:space="preserve"> a puzzle: </w:t>
      </w:r>
      <w:r w:rsidR="00A52173" w:rsidRPr="007706AF">
        <w:rPr>
          <w:rFonts w:ascii="Times New Roman" w:hAnsi="Times New Roman" w:cs="Times New Roman"/>
        </w:rPr>
        <w:t>In the case of the EU, w</w:t>
      </w:r>
      <w:r w:rsidRPr="007706AF">
        <w:rPr>
          <w:rFonts w:ascii="Times New Roman" w:hAnsi="Times New Roman" w:cs="Times New Roman"/>
        </w:rPr>
        <w:t xml:space="preserve">hy have crises served as opportunities to </w:t>
      </w:r>
      <w:r w:rsidR="00A73FA3" w:rsidRPr="007706AF">
        <w:rPr>
          <w:rFonts w:ascii="Times New Roman" w:hAnsi="Times New Roman" w:cs="Times New Roman"/>
        </w:rPr>
        <w:t xml:space="preserve">find new </w:t>
      </w:r>
      <w:r w:rsidR="00843C07" w:rsidRPr="007706AF">
        <w:rPr>
          <w:rFonts w:ascii="Times New Roman" w:hAnsi="Times New Roman" w:cs="Times New Roman"/>
        </w:rPr>
        <w:t xml:space="preserve">areas of </w:t>
      </w:r>
      <w:r w:rsidR="00A73FA3" w:rsidRPr="007706AF">
        <w:rPr>
          <w:rFonts w:ascii="Times New Roman" w:hAnsi="Times New Roman" w:cs="Times New Roman"/>
        </w:rPr>
        <w:t xml:space="preserve">consensus among </w:t>
      </w:r>
      <w:r w:rsidR="00A52173" w:rsidRPr="007706AF">
        <w:rPr>
          <w:rFonts w:ascii="Times New Roman" w:hAnsi="Times New Roman" w:cs="Times New Roman"/>
        </w:rPr>
        <w:t xml:space="preserve">member </w:t>
      </w:r>
      <w:r w:rsidR="00A73FA3" w:rsidRPr="007706AF">
        <w:rPr>
          <w:rFonts w:ascii="Times New Roman" w:hAnsi="Times New Roman" w:cs="Times New Roman"/>
        </w:rPr>
        <w:t>states</w:t>
      </w:r>
      <w:r w:rsidRPr="007706AF">
        <w:rPr>
          <w:rFonts w:ascii="Times New Roman" w:hAnsi="Times New Roman" w:cs="Times New Roman"/>
        </w:rPr>
        <w:t xml:space="preserve">?  </w:t>
      </w:r>
    </w:p>
    <w:p w14:paraId="574343E2" w14:textId="77777777" w:rsidR="00251174" w:rsidRPr="007706AF" w:rsidRDefault="00251174" w:rsidP="00B813A8">
      <w:pPr>
        <w:spacing w:line="480" w:lineRule="auto"/>
        <w:rPr>
          <w:rFonts w:ascii="Times New Roman" w:hAnsi="Times New Roman" w:cs="Times New Roman"/>
        </w:rPr>
      </w:pPr>
    </w:p>
    <w:p w14:paraId="59FFD89E" w14:textId="472614F7" w:rsidR="00251174" w:rsidRPr="007706AF" w:rsidRDefault="00251174" w:rsidP="00B813A8">
      <w:pPr>
        <w:spacing w:line="480" w:lineRule="auto"/>
        <w:rPr>
          <w:rFonts w:ascii="Times New Roman" w:hAnsi="Times New Roman" w:cs="Times New Roman"/>
          <w:b/>
          <w:i/>
        </w:rPr>
      </w:pPr>
      <w:r w:rsidRPr="007706AF">
        <w:rPr>
          <w:rFonts w:ascii="Times New Roman" w:hAnsi="Times New Roman" w:cs="Times New Roman"/>
          <w:b/>
          <w:i/>
        </w:rPr>
        <w:t>Catharsis</w:t>
      </w:r>
    </w:p>
    <w:p w14:paraId="55BD0453" w14:textId="2BFB69BD" w:rsidR="00251174" w:rsidRPr="007706AF" w:rsidRDefault="00251174" w:rsidP="00ED49B4">
      <w:pPr>
        <w:spacing w:line="480" w:lineRule="auto"/>
        <w:ind w:firstLine="720"/>
        <w:rPr>
          <w:rFonts w:ascii="Times New Roman" w:hAnsi="Times New Roman" w:cs="Times New Roman"/>
        </w:rPr>
      </w:pPr>
      <w:r w:rsidRPr="007706AF">
        <w:rPr>
          <w:rFonts w:ascii="Times New Roman" w:hAnsi="Times New Roman" w:cs="Times New Roman"/>
        </w:rPr>
        <w:t xml:space="preserve">Organizations, leaders, and elites are important actors in resolving crises, but there are also broader societal processes at work that must be considered to explain </w:t>
      </w:r>
      <w:r w:rsidR="003C780B" w:rsidRPr="007706AF">
        <w:rPr>
          <w:rFonts w:ascii="Times New Roman" w:hAnsi="Times New Roman" w:cs="Times New Roman"/>
        </w:rPr>
        <w:t>EU resilience in the face of</w:t>
      </w:r>
      <w:r w:rsidR="00843C07" w:rsidRPr="007706AF">
        <w:rPr>
          <w:rFonts w:ascii="Times New Roman" w:hAnsi="Times New Roman" w:cs="Times New Roman"/>
        </w:rPr>
        <w:t xml:space="preserve"> perceived</w:t>
      </w:r>
      <w:r w:rsidR="003C780B" w:rsidRPr="007706AF">
        <w:rPr>
          <w:rFonts w:ascii="Times New Roman" w:hAnsi="Times New Roman" w:cs="Times New Roman"/>
        </w:rPr>
        <w:t xml:space="preserve"> existential </w:t>
      </w:r>
      <w:r w:rsidR="00552779" w:rsidRPr="007706AF">
        <w:rPr>
          <w:rFonts w:ascii="Times New Roman" w:hAnsi="Times New Roman" w:cs="Times New Roman"/>
        </w:rPr>
        <w:t>threat</w:t>
      </w:r>
      <w:r w:rsidRPr="007706AF">
        <w:rPr>
          <w:rFonts w:ascii="Times New Roman" w:hAnsi="Times New Roman" w:cs="Times New Roman"/>
        </w:rPr>
        <w:t>.</w:t>
      </w:r>
      <w:r w:rsidR="003C780B" w:rsidRPr="007706AF">
        <w:rPr>
          <w:rFonts w:ascii="Times New Roman" w:hAnsi="Times New Roman" w:cs="Times New Roman"/>
        </w:rPr>
        <w:t xml:space="preserve"> </w:t>
      </w:r>
      <w:r w:rsidRPr="007706AF">
        <w:rPr>
          <w:rFonts w:ascii="Times New Roman" w:hAnsi="Times New Roman" w:cs="Times New Roman"/>
        </w:rPr>
        <w:t xml:space="preserve"> I argue that</w:t>
      </w:r>
      <w:r w:rsidR="003C780B" w:rsidRPr="007706AF">
        <w:rPr>
          <w:rFonts w:ascii="Times New Roman" w:hAnsi="Times New Roman" w:cs="Times New Roman"/>
        </w:rPr>
        <w:t xml:space="preserve"> the concept of</w:t>
      </w:r>
      <w:r w:rsidRPr="007706AF">
        <w:rPr>
          <w:rFonts w:ascii="Times New Roman" w:hAnsi="Times New Roman" w:cs="Times New Roman"/>
        </w:rPr>
        <w:t xml:space="preserve"> </w:t>
      </w:r>
      <w:r w:rsidR="003C780B" w:rsidRPr="007706AF">
        <w:rPr>
          <w:rFonts w:ascii="Times New Roman" w:hAnsi="Times New Roman" w:cs="Times New Roman"/>
          <w:i/>
        </w:rPr>
        <w:t>societal</w:t>
      </w:r>
      <w:r w:rsidR="003C780B" w:rsidRPr="007706AF">
        <w:rPr>
          <w:rFonts w:ascii="Times New Roman" w:hAnsi="Times New Roman" w:cs="Times New Roman"/>
        </w:rPr>
        <w:t xml:space="preserve"> </w:t>
      </w:r>
      <w:r w:rsidRPr="007706AF">
        <w:rPr>
          <w:rFonts w:ascii="Times New Roman" w:hAnsi="Times New Roman" w:cs="Times New Roman"/>
          <w:i/>
        </w:rPr>
        <w:t>catharsis</w:t>
      </w:r>
      <w:r w:rsidR="003C780B" w:rsidRPr="007706AF">
        <w:rPr>
          <w:rFonts w:ascii="Times New Roman" w:hAnsi="Times New Roman" w:cs="Times New Roman"/>
        </w:rPr>
        <w:t xml:space="preserve"> fills</w:t>
      </w:r>
      <w:r w:rsidRPr="007706AF">
        <w:rPr>
          <w:rFonts w:ascii="Times New Roman" w:hAnsi="Times New Roman" w:cs="Times New Roman"/>
        </w:rPr>
        <w:t xml:space="preserve"> </w:t>
      </w:r>
      <w:r w:rsidR="005A47A7" w:rsidRPr="007706AF">
        <w:rPr>
          <w:rFonts w:ascii="Times New Roman" w:hAnsi="Times New Roman" w:cs="Times New Roman"/>
        </w:rPr>
        <w:t>an important</w:t>
      </w:r>
      <w:r w:rsidRPr="007706AF">
        <w:rPr>
          <w:rFonts w:ascii="Times New Roman" w:hAnsi="Times New Roman" w:cs="Times New Roman"/>
        </w:rPr>
        <w:t xml:space="preserve"> gap in the existing literature on crisis resolution.  The field of psychology</w:t>
      </w:r>
      <w:r w:rsidR="000472AB" w:rsidRPr="007706AF">
        <w:rPr>
          <w:rFonts w:ascii="Times New Roman" w:hAnsi="Times New Roman" w:cs="Times New Roman"/>
        </w:rPr>
        <w:t>, drawing on Greek drama,</w:t>
      </w:r>
      <w:r w:rsidRPr="007706AF">
        <w:rPr>
          <w:rFonts w:ascii="Times New Roman" w:hAnsi="Times New Roman" w:cs="Times New Roman"/>
        </w:rPr>
        <w:t xml:space="preserve"> defines catharsis as a kind of Freudian-style process in which individuals seek to more fully recognize and express emotions about past events that they typically repress as a </w:t>
      </w:r>
      <w:r w:rsidRPr="007706AF">
        <w:rPr>
          <w:rFonts w:ascii="Times New Roman" w:hAnsi="Times New Roman" w:cs="Times New Roman"/>
        </w:rPr>
        <w:lastRenderedPageBreak/>
        <w:t>result of a personal crisis.  I</w:t>
      </w:r>
      <w:r w:rsidR="005A47A7" w:rsidRPr="007706AF">
        <w:rPr>
          <w:rFonts w:ascii="Times New Roman" w:hAnsi="Times New Roman" w:cs="Times New Roman"/>
        </w:rPr>
        <w:t>t can be a painful experience, but i</w:t>
      </w:r>
      <w:r w:rsidRPr="007706AF">
        <w:rPr>
          <w:rFonts w:ascii="Times New Roman" w:hAnsi="Times New Roman" w:cs="Times New Roman"/>
        </w:rPr>
        <w:t xml:space="preserve">n releasing these tensions, they are able to move beyond sources of psychological stress.  </w:t>
      </w:r>
      <w:r w:rsidR="00172103" w:rsidRPr="007706AF">
        <w:rPr>
          <w:rFonts w:ascii="Times New Roman" w:hAnsi="Times New Roman" w:cs="Times New Roman"/>
        </w:rPr>
        <w:t xml:space="preserve">At the leadership level, catharsis often accompanies intense pressure to resolve the crisis, recognition of disjunctures in previous reasoning or preferences, and/or the realization that past behavior was flawed.  </w:t>
      </w:r>
      <w:r w:rsidRPr="007706AF">
        <w:rPr>
          <w:rFonts w:ascii="Times New Roman" w:hAnsi="Times New Roman" w:cs="Times New Roman"/>
        </w:rPr>
        <w:t>The result is often new and sudden insight, a more positive attitude about oneself, and the end of destructive or counter-productive behavior that deviates from the norm.  This can also happen at the group level, although I use the concept here as a kind of analogy for what happens in European society more generally during EU existential crises</w:t>
      </w:r>
      <w:r w:rsidR="00DC4047" w:rsidRPr="007706AF">
        <w:rPr>
          <w:rFonts w:ascii="Times New Roman" w:hAnsi="Times New Roman" w:cs="Times New Roman"/>
        </w:rPr>
        <w:t xml:space="preserve"> (Hodgskin 1941: 184--192)</w:t>
      </w:r>
      <w:r w:rsidRPr="007706AF">
        <w:rPr>
          <w:rFonts w:ascii="Times New Roman" w:hAnsi="Times New Roman" w:cs="Times New Roman"/>
        </w:rPr>
        <w:t>.</w:t>
      </w:r>
    </w:p>
    <w:p w14:paraId="1CE0F365" w14:textId="77777777" w:rsidR="00733DF6" w:rsidRDefault="00735B90" w:rsidP="000D029F">
      <w:pPr>
        <w:spacing w:line="480" w:lineRule="auto"/>
        <w:ind w:firstLine="720"/>
        <w:rPr>
          <w:rFonts w:ascii="Times New Roman" w:hAnsi="Times New Roman" w:cs="Times New Roman"/>
        </w:rPr>
      </w:pPr>
      <w:r w:rsidRPr="007706AF">
        <w:rPr>
          <w:rFonts w:ascii="Times New Roman" w:hAnsi="Times New Roman" w:cs="Times New Roman"/>
        </w:rPr>
        <w:t>As</w:t>
      </w:r>
      <w:r w:rsidR="00251174" w:rsidRPr="007706AF">
        <w:rPr>
          <w:rFonts w:ascii="Times New Roman" w:hAnsi="Times New Roman" w:cs="Times New Roman"/>
        </w:rPr>
        <w:t xml:space="preserve"> EU crises build and reach their height, if catharsis is at work we should expect societal actors – both at the public and elite levels – to craft narratives </w:t>
      </w:r>
      <w:r w:rsidR="009A143B" w:rsidRPr="007706AF">
        <w:rPr>
          <w:rFonts w:ascii="Times New Roman" w:hAnsi="Times New Roman" w:cs="Times New Roman"/>
        </w:rPr>
        <w:t>around their</w:t>
      </w:r>
      <w:r w:rsidR="003C780B" w:rsidRPr="007706AF">
        <w:rPr>
          <w:rFonts w:ascii="Times New Roman" w:hAnsi="Times New Roman" w:cs="Times New Roman"/>
        </w:rPr>
        <w:t xml:space="preserve"> dominant </w:t>
      </w:r>
      <w:r w:rsidR="009A143B" w:rsidRPr="007706AF">
        <w:rPr>
          <w:rFonts w:ascii="Times New Roman" w:hAnsi="Times New Roman" w:cs="Times New Roman"/>
        </w:rPr>
        <w:t>pre-</w:t>
      </w:r>
      <w:r w:rsidR="003C780B" w:rsidRPr="007706AF">
        <w:rPr>
          <w:rFonts w:ascii="Times New Roman" w:hAnsi="Times New Roman" w:cs="Times New Roman"/>
        </w:rPr>
        <w:t>crisis</w:t>
      </w:r>
      <w:r w:rsidR="009A143B" w:rsidRPr="007706AF">
        <w:rPr>
          <w:rFonts w:ascii="Times New Roman" w:hAnsi="Times New Roman" w:cs="Times New Roman"/>
        </w:rPr>
        <w:t xml:space="preserve"> tensions</w:t>
      </w:r>
      <w:r w:rsidR="00251174" w:rsidRPr="007706AF">
        <w:rPr>
          <w:rFonts w:ascii="Times New Roman" w:hAnsi="Times New Roman" w:cs="Times New Roman"/>
        </w:rPr>
        <w:t xml:space="preserve">. </w:t>
      </w:r>
      <w:r w:rsidR="009A143B" w:rsidRPr="007706AF">
        <w:rPr>
          <w:rFonts w:ascii="Times New Roman" w:hAnsi="Times New Roman" w:cs="Times New Roman"/>
        </w:rPr>
        <w:t xml:space="preserve"> </w:t>
      </w:r>
      <w:r w:rsidR="00251174" w:rsidRPr="007706AF">
        <w:rPr>
          <w:rFonts w:ascii="Times New Roman" w:hAnsi="Times New Roman" w:cs="Times New Roman"/>
        </w:rPr>
        <w:t>It is in the very urgency of this</w:t>
      </w:r>
      <w:r w:rsidR="009A143B" w:rsidRPr="007706AF">
        <w:rPr>
          <w:rFonts w:ascii="Times New Roman" w:hAnsi="Times New Roman" w:cs="Times New Roman"/>
        </w:rPr>
        <w:t xml:space="preserve"> emotional,</w:t>
      </w:r>
      <w:r w:rsidR="00251174" w:rsidRPr="007706AF">
        <w:rPr>
          <w:rFonts w:ascii="Times New Roman" w:hAnsi="Times New Roman" w:cs="Times New Roman"/>
        </w:rPr>
        <w:t xml:space="preserve"> crisis atmosphere that the impetus towards crisis resolution takes place.  If pre-existing tensions shape the terms of a crisis’s dominant narrative, turning these episodes into opportunities to speak frankly, then Europeans are more likely to overcome certain differences that would have otherwise served as obstacles to</w:t>
      </w:r>
      <w:r w:rsidR="009A143B" w:rsidRPr="007706AF">
        <w:rPr>
          <w:rFonts w:ascii="Times New Roman" w:hAnsi="Times New Roman" w:cs="Times New Roman"/>
        </w:rPr>
        <w:t xml:space="preserve"> reaching</w:t>
      </w:r>
      <w:r w:rsidR="00251174" w:rsidRPr="007706AF">
        <w:rPr>
          <w:rFonts w:ascii="Times New Roman" w:hAnsi="Times New Roman" w:cs="Times New Roman"/>
        </w:rPr>
        <w:t xml:space="preserve"> </w:t>
      </w:r>
      <w:r w:rsidR="009A143B" w:rsidRPr="007706AF">
        <w:rPr>
          <w:rFonts w:ascii="Times New Roman" w:hAnsi="Times New Roman" w:cs="Times New Roman"/>
        </w:rPr>
        <w:t>consensus about EU policy</w:t>
      </w:r>
      <w:r w:rsidR="00251174" w:rsidRPr="007706AF">
        <w:rPr>
          <w:rFonts w:ascii="Times New Roman" w:hAnsi="Times New Roman" w:cs="Times New Roman"/>
        </w:rPr>
        <w:t xml:space="preserve">.  </w:t>
      </w:r>
      <w:r w:rsidR="00F957E2" w:rsidRPr="007706AF">
        <w:rPr>
          <w:rFonts w:ascii="Times New Roman" w:hAnsi="Times New Roman" w:cs="Times New Roman"/>
        </w:rPr>
        <w:t>Tensions</w:t>
      </w:r>
      <w:r w:rsidR="00251174" w:rsidRPr="007706AF">
        <w:rPr>
          <w:rFonts w:ascii="Times New Roman" w:hAnsi="Times New Roman" w:cs="Times New Roman"/>
        </w:rPr>
        <w:t xml:space="preserve"> are released that would otherwise remain under the surface. </w:t>
      </w:r>
      <w:r w:rsidR="000D029F" w:rsidRPr="007706AF">
        <w:rPr>
          <w:rFonts w:ascii="Times New Roman" w:hAnsi="Times New Roman" w:cs="Times New Roman"/>
        </w:rPr>
        <w:t xml:space="preserve"> </w:t>
      </w:r>
      <w:r w:rsidR="00251174" w:rsidRPr="007706AF">
        <w:rPr>
          <w:rFonts w:ascii="Times New Roman" w:hAnsi="Times New Roman" w:cs="Times New Roman"/>
        </w:rPr>
        <w:t xml:space="preserve">Thus, we should expect to find evidence of convergence in societal attitudes </w:t>
      </w:r>
      <w:r w:rsidR="00F45AB3" w:rsidRPr="007706AF">
        <w:rPr>
          <w:rFonts w:ascii="Times New Roman" w:hAnsi="Times New Roman" w:cs="Times New Roman"/>
        </w:rPr>
        <w:t>as crise</w:t>
      </w:r>
      <w:r w:rsidR="00251174" w:rsidRPr="007706AF">
        <w:rPr>
          <w:rFonts w:ascii="Times New Roman" w:hAnsi="Times New Roman" w:cs="Times New Roman"/>
        </w:rPr>
        <w:t>s</w:t>
      </w:r>
      <w:r w:rsidR="00F45AB3" w:rsidRPr="007706AF">
        <w:rPr>
          <w:rFonts w:ascii="Times New Roman" w:hAnsi="Times New Roman" w:cs="Times New Roman"/>
        </w:rPr>
        <w:t xml:space="preserve"> wind down</w:t>
      </w:r>
      <w:r w:rsidR="009B5580" w:rsidRPr="007706AF">
        <w:rPr>
          <w:rFonts w:ascii="Times New Roman" w:hAnsi="Times New Roman" w:cs="Times New Roman"/>
        </w:rPr>
        <w:t>.</w:t>
      </w:r>
      <w:r w:rsidR="00172103" w:rsidRPr="007706AF">
        <w:rPr>
          <w:rFonts w:ascii="Times New Roman" w:hAnsi="Times New Roman" w:cs="Times New Roman"/>
        </w:rPr>
        <w:t xml:space="preserve">  </w:t>
      </w:r>
    </w:p>
    <w:p w14:paraId="248C5BE4" w14:textId="77777777" w:rsidR="007706AF" w:rsidRDefault="007706AF" w:rsidP="000D029F">
      <w:pPr>
        <w:spacing w:line="480" w:lineRule="auto"/>
        <w:ind w:firstLine="720"/>
        <w:rPr>
          <w:rFonts w:ascii="Times New Roman" w:hAnsi="Times New Roman" w:cs="Times New Roman"/>
        </w:rPr>
      </w:pPr>
    </w:p>
    <w:p w14:paraId="37ADF133" w14:textId="77777777" w:rsidR="007706AF" w:rsidRDefault="007706AF" w:rsidP="000D029F">
      <w:pPr>
        <w:spacing w:line="480" w:lineRule="auto"/>
        <w:ind w:firstLine="720"/>
        <w:rPr>
          <w:rFonts w:ascii="Times New Roman" w:hAnsi="Times New Roman" w:cs="Times New Roman"/>
        </w:rPr>
      </w:pPr>
    </w:p>
    <w:p w14:paraId="270B1449" w14:textId="77777777" w:rsidR="007706AF" w:rsidRDefault="007706AF" w:rsidP="000D029F">
      <w:pPr>
        <w:spacing w:line="480" w:lineRule="auto"/>
        <w:ind w:firstLine="720"/>
        <w:rPr>
          <w:rFonts w:ascii="Times New Roman" w:hAnsi="Times New Roman" w:cs="Times New Roman"/>
        </w:rPr>
      </w:pPr>
    </w:p>
    <w:p w14:paraId="6F15F76E" w14:textId="77777777" w:rsidR="007706AF" w:rsidRDefault="007706AF" w:rsidP="000D029F">
      <w:pPr>
        <w:spacing w:line="480" w:lineRule="auto"/>
        <w:ind w:firstLine="720"/>
        <w:rPr>
          <w:rFonts w:ascii="Times New Roman" w:hAnsi="Times New Roman" w:cs="Times New Roman"/>
        </w:rPr>
      </w:pPr>
    </w:p>
    <w:p w14:paraId="38C218AB" w14:textId="77777777" w:rsidR="007706AF" w:rsidRDefault="007706AF" w:rsidP="000D029F">
      <w:pPr>
        <w:spacing w:line="480" w:lineRule="auto"/>
        <w:ind w:firstLine="720"/>
        <w:rPr>
          <w:rFonts w:ascii="Times New Roman" w:hAnsi="Times New Roman" w:cs="Times New Roman"/>
        </w:rPr>
      </w:pPr>
    </w:p>
    <w:p w14:paraId="09392C92" w14:textId="77777777" w:rsidR="007706AF" w:rsidRDefault="007706AF" w:rsidP="000D029F">
      <w:pPr>
        <w:spacing w:line="480" w:lineRule="auto"/>
        <w:ind w:firstLine="720"/>
        <w:rPr>
          <w:rFonts w:ascii="Times New Roman" w:hAnsi="Times New Roman" w:cs="Times New Roman"/>
        </w:rPr>
      </w:pPr>
    </w:p>
    <w:p w14:paraId="716F8559" w14:textId="77777777" w:rsidR="007706AF" w:rsidRPr="007706AF" w:rsidRDefault="007706AF" w:rsidP="000D029F">
      <w:pPr>
        <w:spacing w:line="480" w:lineRule="auto"/>
        <w:ind w:firstLine="720"/>
        <w:rPr>
          <w:rFonts w:ascii="Times New Roman" w:hAnsi="Times New Roman" w:cs="Times New Roman"/>
        </w:rPr>
      </w:pPr>
    </w:p>
    <w:p w14:paraId="226CF2A2" w14:textId="61B6FE4B" w:rsidR="00733DF6" w:rsidRPr="007706AF" w:rsidRDefault="00733DF6" w:rsidP="00733DF6">
      <w:pPr>
        <w:spacing w:line="480" w:lineRule="auto"/>
        <w:rPr>
          <w:rFonts w:ascii="Times New Roman" w:hAnsi="Times New Roman" w:cs="Times New Roman"/>
          <w:b/>
        </w:rPr>
      </w:pPr>
      <w:r w:rsidRPr="007706AF">
        <w:rPr>
          <w:rFonts w:ascii="Times New Roman" w:hAnsi="Times New Roman" w:cs="Times New Roman"/>
          <w:b/>
        </w:rPr>
        <w:t>Figure 1: Framework of Analysis</w:t>
      </w:r>
    </w:p>
    <w:p w14:paraId="48A4EE11" w14:textId="73B389AC" w:rsidR="00733DF6" w:rsidRPr="007706AF" w:rsidRDefault="00733DF6" w:rsidP="00733DF6">
      <w:pPr>
        <w:spacing w:line="480" w:lineRule="auto"/>
        <w:rPr>
          <w:rFonts w:ascii="Times New Roman" w:hAnsi="Times New Roman" w:cs="Times New Roman"/>
        </w:rPr>
      </w:pPr>
      <w:r w:rsidRPr="007706AF">
        <w:rPr>
          <w:noProof/>
        </w:rPr>
        <w:drawing>
          <wp:inline distT="0" distB="0" distL="0" distR="0" wp14:anchorId="49B58312" wp14:editId="53721F7B">
            <wp:extent cx="5486400" cy="3016885"/>
            <wp:effectExtent l="50800" t="25400" r="50800" b="8191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242937B" w14:textId="1A67BDBA" w:rsidR="009B5580" w:rsidRPr="007706AF" w:rsidRDefault="00A8289A" w:rsidP="00733DF6">
      <w:pPr>
        <w:spacing w:line="480" w:lineRule="auto"/>
        <w:rPr>
          <w:rFonts w:ascii="Times New Roman" w:hAnsi="Times New Roman" w:cs="Times New Roman"/>
        </w:rPr>
      </w:pPr>
      <w:r w:rsidRPr="007706AF">
        <w:rPr>
          <w:rFonts w:ascii="Times New Roman" w:hAnsi="Times New Roman" w:cs="Times New Roman"/>
        </w:rPr>
        <w:t>Of course, these tensions rarely go away entirely – North-South tensions clearly persist years after the height of existential crisis.  But the build-up of pressure can be released during a crisis, making these tensions less percepti</w:t>
      </w:r>
      <w:r w:rsidR="00FF47CF" w:rsidRPr="007706AF">
        <w:rPr>
          <w:rFonts w:ascii="Times New Roman" w:hAnsi="Times New Roman" w:cs="Times New Roman"/>
        </w:rPr>
        <w:t xml:space="preserve">ble afterwards, and opening up </w:t>
      </w:r>
      <w:r w:rsidRPr="007706AF">
        <w:rPr>
          <w:rFonts w:ascii="Times New Roman" w:hAnsi="Times New Roman" w:cs="Times New Roman"/>
        </w:rPr>
        <w:t xml:space="preserve">new pathways for consensus.  </w:t>
      </w:r>
      <w:r w:rsidR="00172103" w:rsidRPr="007706AF">
        <w:rPr>
          <w:rFonts w:ascii="Times New Roman" w:hAnsi="Times New Roman" w:cs="Times New Roman"/>
        </w:rPr>
        <w:t>At the elite level, I hypothesize that the causal mechanism behind this is the ability to act beyond strict national interest, and instead to be seen as contributing to a solution.  At the societal level, the causal mechanism could involve rediscovery and reaffirmation that the existence of the EU is a good thing, and should be preserved.</w:t>
      </w:r>
    </w:p>
    <w:p w14:paraId="4F71DC91" w14:textId="77777777" w:rsidR="00FA1FA4" w:rsidRPr="007706AF" w:rsidRDefault="00FA1FA4" w:rsidP="00B813A8">
      <w:pPr>
        <w:spacing w:line="480" w:lineRule="auto"/>
        <w:rPr>
          <w:rFonts w:ascii="Times New Roman" w:hAnsi="Times New Roman" w:cs="Times New Roman"/>
          <w:b/>
        </w:rPr>
      </w:pPr>
    </w:p>
    <w:p w14:paraId="4382BC02" w14:textId="2C6C5CF2" w:rsidR="00251174" w:rsidRPr="007706AF" w:rsidRDefault="00251174" w:rsidP="00B813A8">
      <w:pPr>
        <w:spacing w:line="480" w:lineRule="auto"/>
        <w:rPr>
          <w:rFonts w:ascii="Times New Roman" w:hAnsi="Times New Roman" w:cs="Times New Roman"/>
          <w:b/>
        </w:rPr>
      </w:pPr>
      <w:r w:rsidRPr="007706AF">
        <w:rPr>
          <w:rFonts w:ascii="Times New Roman" w:hAnsi="Times New Roman" w:cs="Times New Roman"/>
          <w:b/>
        </w:rPr>
        <w:t>The Eurozone Crisis</w:t>
      </w:r>
    </w:p>
    <w:p w14:paraId="1A09F52F" w14:textId="2F4EEE7B" w:rsidR="00251174" w:rsidRPr="007706AF" w:rsidRDefault="00251174" w:rsidP="00ED49B4">
      <w:pPr>
        <w:spacing w:line="480" w:lineRule="auto"/>
        <w:ind w:firstLine="720"/>
        <w:rPr>
          <w:rFonts w:ascii="Times New Roman" w:hAnsi="Times New Roman" w:cs="Times New Roman"/>
        </w:rPr>
      </w:pPr>
      <w:r w:rsidRPr="007706AF">
        <w:rPr>
          <w:rFonts w:ascii="Times New Roman" w:hAnsi="Times New Roman" w:cs="Times New Roman"/>
        </w:rPr>
        <w:t xml:space="preserve">The case of the 2010-12 Eurozone </w:t>
      </w:r>
      <w:proofErr w:type="gramStart"/>
      <w:r w:rsidRPr="007706AF">
        <w:rPr>
          <w:rFonts w:ascii="Times New Roman" w:hAnsi="Times New Roman" w:cs="Times New Roman"/>
        </w:rPr>
        <w:t>crisis</w:t>
      </w:r>
      <w:proofErr w:type="gramEnd"/>
      <w:r w:rsidRPr="007706AF">
        <w:rPr>
          <w:rFonts w:ascii="Times New Roman" w:hAnsi="Times New Roman" w:cs="Times New Roman"/>
        </w:rPr>
        <w:t xml:space="preserve"> is valuable in illustrating this </w:t>
      </w:r>
      <w:r w:rsidR="00A8289A" w:rsidRPr="007706AF">
        <w:rPr>
          <w:rFonts w:ascii="Times New Roman" w:hAnsi="Times New Roman" w:cs="Times New Roman"/>
        </w:rPr>
        <w:t>catharsis dimension of</w:t>
      </w:r>
      <w:r w:rsidRPr="007706AF">
        <w:rPr>
          <w:rFonts w:ascii="Times New Roman" w:hAnsi="Times New Roman" w:cs="Times New Roman"/>
        </w:rPr>
        <w:t xml:space="preserve"> crisis resolution in Europe.</w:t>
      </w:r>
      <w:r w:rsidRPr="007706AF">
        <w:rPr>
          <w:rStyle w:val="EndnoteReference"/>
          <w:rFonts w:ascii="Times New Roman" w:hAnsi="Times New Roman" w:cs="Times New Roman"/>
        </w:rPr>
        <w:endnoteReference w:id="5"/>
      </w:r>
      <w:r w:rsidRPr="007706AF">
        <w:rPr>
          <w:rFonts w:ascii="Times New Roman" w:hAnsi="Times New Roman" w:cs="Times New Roman"/>
        </w:rPr>
        <w:t xml:space="preserve">  In this case study, I first identify the pre-existing societal tensions of the time.  Second, I compare these pre-existing tensions to societal narratives </w:t>
      </w:r>
      <w:r w:rsidRPr="007706AF">
        <w:rPr>
          <w:rFonts w:ascii="Times New Roman" w:hAnsi="Times New Roman" w:cs="Times New Roman"/>
        </w:rPr>
        <w:lastRenderedPageBreak/>
        <w:t>during the crisis.  The expectation is that if European society airs these tensions</w:t>
      </w:r>
      <w:r w:rsidR="006C5A03" w:rsidRPr="007706AF">
        <w:rPr>
          <w:rFonts w:ascii="Times New Roman" w:hAnsi="Times New Roman" w:cs="Times New Roman"/>
        </w:rPr>
        <w:t>,</w:t>
      </w:r>
      <w:r w:rsidRPr="007706AF">
        <w:rPr>
          <w:rFonts w:ascii="Times New Roman" w:hAnsi="Times New Roman" w:cs="Times New Roman"/>
        </w:rPr>
        <w:t xml:space="preserve"> then some degree of catharsis is achieved.  </w:t>
      </w:r>
      <w:r w:rsidR="004852C7" w:rsidRPr="007706AF">
        <w:rPr>
          <w:rFonts w:ascii="Times New Roman" w:hAnsi="Times New Roman" w:cs="Times New Roman"/>
        </w:rPr>
        <w:t xml:space="preserve">Catharsis is not an easy process to observe empirically, but </w:t>
      </w:r>
      <w:r w:rsidRPr="007706AF">
        <w:rPr>
          <w:rFonts w:ascii="Times New Roman" w:hAnsi="Times New Roman" w:cs="Times New Roman"/>
        </w:rPr>
        <w:t xml:space="preserve">I consider media coverage during the crisis as an indicator of the main crisis narrative, as well as Eurobarometer polls to establish the change in attitudes before and after the crisis. </w:t>
      </w:r>
      <w:r w:rsidR="00636DCE" w:rsidRPr="007706AF">
        <w:rPr>
          <w:rFonts w:ascii="Times New Roman" w:hAnsi="Times New Roman" w:cs="Times New Roman"/>
        </w:rPr>
        <w:t xml:space="preserve"> </w:t>
      </w:r>
      <w:r w:rsidRPr="007706AF">
        <w:rPr>
          <w:rFonts w:ascii="Times New Roman" w:hAnsi="Times New Roman" w:cs="Times New Roman"/>
        </w:rPr>
        <w:t xml:space="preserve">I </w:t>
      </w:r>
      <w:r w:rsidR="00636DCE" w:rsidRPr="007706AF">
        <w:rPr>
          <w:rFonts w:ascii="Times New Roman" w:hAnsi="Times New Roman" w:cs="Times New Roman"/>
        </w:rPr>
        <w:t xml:space="preserve">also </w:t>
      </w:r>
      <w:r w:rsidRPr="007706AF">
        <w:rPr>
          <w:rFonts w:ascii="Times New Roman" w:hAnsi="Times New Roman" w:cs="Times New Roman"/>
        </w:rPr>
        <w:t xml:space="preserve">assess the extent to which leaders </w:t>
      </w:r>
      <w:r w:rsidR="00E572CC" w:rsidRPr="007706AF">
        <w:rPr>
          <w:rFonts w:ascii="Times New Roman" w:hAnsi="Times New Roman" w:cs="Times New Roman"/>
        </w:rPr>
        <w:t>find new areas of consen</w:t>
      </w:r>
      <w:r w:rsidR="00BC294D" w:rsidRPr="007706AF">
        <w:rPr>
          <w:rFonts w:ascii="Times New Roman" w:hAnsi="Times New Roman" w:cs="Times New Roman"/>
        </w:rPr>
        <w:t>s</w:t>
      </w:r>
      <w:r w:rsidR="00E572CC" w:rsidRPr="007706AF">
        <w:rPr>
          <w:rFonts w:ascii="Times New Roman" w:hAnsi="Times New Roman" w:cs="Times New Roman"/>
        </w:rPr>
        <w:t>us</w:t>
      </w:r>
      <w:r w:rsidRPr="007706AF">
        <w:rPr>
          <w:rFonts w:ascii="Times New Roman" w:hAnsi="Times New Roman" w:cs="Times New Roman"/>
        </w:rPr>
        <w:t xml:space="preserve"> as they seek to resolve the crisis. </w:t>
      </w:r>
      <w:r w:rsidR="005553F8" w:rsidRPr="007706AF">
        <w:rPr>
          <w:rFonts w:ascii="Times New Roman" w:hAnsi="Times New Roman" w:cs="Times New Roman"/>
        </w:rPr>
        <w:t xml:space="preserve"> Although I briefly visit some aspects of the origins and build-up of this crisis, the main purpose of this case study is to examine any evidence that catharsis took place. </w:t>
      </w:r>
    </w:p>
    <w:p w14:paraId="0427031E" w14:textId="540DF815" w:rsidR="00251174" w:rsidRPr="007706AF" w:rsidRDefault="00251174" w:rsidP="00ED49B4">
      <w:pPr>
        <w:spacing w:line="480" w:lineRule="auto"/>
        <w:rPr>
          <w:rFonts w:ascii="Times New Roman" w:hAnsi="Times New Roman" w:cs="Times New Roman"/>
        </w:rPr>
      </w:pPr>
    </w:p>
    <w:p w14:paraId="29F8A0CB" w14:textId="4CB87B4B" w:rsidR="00251174" w:rsidRPr="007706AF" w:rsidRDefault="00251174" w:rsidP="00ED49B4">
      <w:pPr>
        <w:spacing w:line="480" w:lineRule="auto"/>
        <w:rPr>
          <w:rFonts w:ascii="Times New Roman" w:hAnsi="Times New Roman" w:cs="Times New Roman"/>
          <w:b/>
          <w:i/>
        </w:rPr>
      </w:pPr>
      <w:r w:rsidRPr="007706AF">
        <w:rPr>
          <w:rFonts w:ascii="Times New Roman" w:hAnsi="Times New Roman" w:cs="Times New Roman"/>
          <w:b/>
          <w:i/>
        </w:rPr>
        <w:t>Pre-Existing Tensions</w:t>
      </w:r>
    </w:p>
    <w:p w14:paraId="078E111F" w14:textId="11C3DAFF" w:rsidR="00251174" w:rsidRPr="007706AF" w:rsidRDefault="00251174" w:rsidP="00ED49B4">
      <w:pPr>
        <w:spacing w:line="480" w:lineRule="auto"/>
        <w:ind w:firstLine="720"/>
        <w:rPr>
          <w:rFonts w:ascii="Times New Roman" w:hAnsi="Times New Roman" w:cs="Times New Roman"/>
        </w:rPr>
      </w:pPr>
      <w:r w:rsidRPr="007706AF">
        <w:rPr>
          <w:rFonts w:ascii="Times New Roman" w:hAnsi="Times New Roman" w:cs="Times New Roman"/>
        </w:rPr>
        <w:t xml:space="preserve">EU member states have spent many decades crafting </w:t>
      </w:r>
      <w:proofErr w:type="gramStart"/>
      <w:r w:rsidRPr="007706AF">
        <w:rPr>
          <w:rFonts w:ascii="Times New Roman" w:hAnsi="Times New Roman" w:cs="Times New Roman"/>
        </w:rPr>
        <w:t xml:space="preserve">an </w:t>
      </w:r>
      <w:r w:rsidR="00B96B6D" w:rsidRPr="007706AF">
        <w:rPr>
          <w:rFonts w:ascii="Times New Roman" w:hAnsi="Times New Roman" w:cs="Times New Roman"/>
        </w:rPr>
        <w:t>‘</w:t>
      </w:r>
      <w:r w:rsidRPr="007706AF">
        <w:rPr>
          <w:rFonts w:ascii="Times New Roman" w:hAnsi="Times New Roman" w:cs="Times New Roman"/>
        </w:rPr>
        <w:t>ever</w:t>
      </w:r>
      <w:proofErr w:type="gramEnd"/>
      <w:r w:rsidRPr="007706AF">
        <w:rPr>
          <w:rFonts w:ascii="Times New Roman" w:hAnsi="Times New Roman" w:cs="Times New Roman"/>
        </w:rPr>
        <w:t xml:space="preserve"> closer union,</w:t>
      </w:r>
      <w:r w:rsidR="00B96B6D" w:rsidRPr="007706AF">
        <w:rPr>
          <w:rFonts w:ascii="Times New Roman" w:hAnsi="Times New Roman" w:cs="Times New Roman"/>
        </w:rPr>
        <w:t>’</w:t>
      </w:r>
      <w:r w:rsidRPr="007706AF">
        <w:rPr>
          <w:rFonts w:ascii="Times New Roman" w:hAnsi="Times New Roman" w:cs="Times New Roman"/>
        </w:rPr>
        <w:t xml:space="preserve"> particularly in the economic and monetary area.  However, they have followed a strategy of gradualism, creating close targets, and maintaining flexibility in achieving them</w:t>
      </w:r>
      <w:r w:rsidR="00DC4047" w:rsidRPr="007706AF">
        <w:rPr>
          <w:rFonts w:ascii="Times New Roman" w:hAnsi="Times New Roman" w:cs="Times New Roman"/>
        </w:rPr>
        <w:t xml:space="preserve"> (Dinan 2003)</w:t>
      </w:r>
      <w:r w:rsidRPr="007706AF">
        <w:rPr>
          <w:rFonts w:ascii="Times New Roman" w:hAnsi="Times New Roman" w:cs="Times New Roman"/>
        </w:rPr>
        <w:t xml:space="preserve">. </w:t>
      </w:r>
      <w:r w:rsidR="00DC4047" w:rsidRPr="007706AF">
        <w:rPr>
          <w:rFonts w:ascii="Times New Roman" w:hAnsi="Times New Roman" w:cs="Times New Roman"/>
        </w:rPr>
        <w:t xml:space="preserve"> </w:t>
      </w:r>
      <w:r w:rsidRPr="007706AF">
        <w:rPr>
          <w:rFonts w:ascii="Times New Roman" w:hAnsi="Times New Roman" w:cs="Times New Roman"/>
        </w:rPr>
        <w:t>This strategy had worked well for some time, especially because there was little reason for an urgent pace of integration, and the European economy was generally healthy, maintaining steady growth until the worldwide economic contraction in 2009</w:t>
      </w:r>
      <w:r w:rsidR="00DC4047" w:rsidRPr="007706AF">
        <w:rPr>
          <w:rFonts w:ascii="Times New Roman" w:hAnsi="Times New Roman" w:cs="Times New Roman"/>
        </w:rPr>
        <w:t xml:space="preserve"> (Eurostat)</w:t>
      </w:r>
      <w:r w:rsidRPr="007706AF">
        <w:rPr>
          <w:rFonts w:ascii="Times New Roman" w:hAnsi="Times New Roman" w:cs="Times New Roman"/>
        </w:rPr>
        <w:t xml:space="preserve">. </w:t>
      </w:r>
      <w:r w:rsidR="00DC4047" w:rsidRPr="007706AF">
        <w:rPr>
          <w:rFonts w:ascii="Times New Roman" w:hAnsi="Times New Roman" w:cs="Times New Roman"/>
        </w:rPr>
        <w:t xml:space="preserve"> </w:t>
      </w:r>
      <w:r w:rsidRPr="007706AF">
        <w:rPr>
          <w:rFonts w:ascii="Times New Roman" w:hAnsi="Times New Roman" w:cs="Times New Roman"/>
        </w:rPr>
        <w:t xml:space="preserve">EU leaders naturally favored this gradualist approach because they knew that there were certain obstacles in the way of completing the goal of a truly single market, and that they would have to be dismantled piecemeal.  </w:t>
      </w:r>
    </w:p>
    <w:p w14:paraId="197147D5" w14:textId="685B196E" w:rsidR="00251174" w:rsidRPr="007706AF" w:rsidRDefault="00251174" w:rsidP="00ED49B4">
      <w:pPr>
        <w:spacing w:line="480" w:lineRule="auto"/>
        <w:ind w:firstLine="720"/>
        <w:rPr>
          <w:rFonts w:ascii="Times New Roman" w:hAnsi="Times New Roman" w:cs="Times New Roman"/>
        </w:rPr>
      </w:pPr>
      <w:r w:rsidRPr="007706AF">
        <w:rPr>
          <w:rFonts w:ascii="Times New Roman" w:hAnsi="Times New Roman" w:cs="Times New Roman"/>
        </w:rPr>
        <w:t>In the lead</w:t>
      </w:r>
      <w:r w:rsidR="006C5A03" w:rsidRPr="007706AF">
        <w:rPr>
          <w:rFonts w:ascii="Times New Roman" w:hAnsi="Times New Roman" w:cs="Times New Roman"/>
        </w:rPr>
        <w:t>-</w:t>
      </w:r>
      <w:r w:rsidRPr="007706AF">
        <w:rPr>
          <w:rFonts w:ascii="Times New Roman" w:hAnsi="Times New Roman" w:cs="Times New Roman"/>
        </w:rPr>
        <w:t>up to the Eurozone crisis, North-South tensions had emerged as an inc</w:t>
      </w:r>
      <w:r w:rsidR="00DC4047" w:rsidRPr="007706AF">
        <w:rPr>
          <w:rFonts w:ascii="Times New Roman" w:hAnsi="Times New Roman" w:cs="Times New Roman"/>
        </w:rPr>
        <w:t>reasing source of concern</w:t>
      </w:r>
      <w:r w:rsidRPr="007706AF">
        <w:rPr>
          <w:rFonts w:ascii="Times New Roman" w:hAnsi="Times New Roman" w:cs="Times New Roman"/>
        </w:rPr>
        <w:t>.</w:t>
      </w:r>
      <w:r w:rsidRPr="007706AF">
        <w:rPr>
          <w:rStyle w:val="EndnoteReference"/>
          <w:rFonts w:ascii="Times New Roman" w:hAnsi="Times New Roman" w:cs="Times New Roman"/>
        </w:rPr>
        <w:endnoteReference w:id="6"/>
      </w:r>
      <w:r w:rsidRPr="007706AF">
        <w:rPr>
          <w:rFonts w:ascii="Times New Roman" w:hAnsi="Times New Roman" w:cs="Times New Roman"/>
        </w:rPr>
        <w:t xml:space="preserve">  These tensions </w:t>
      </w:r>
      <w:r w:rsidR="006C5A03" w:rsidRPr="007706AF">
        <w:rPr>
          <w:rFonts w:ascii="Times New Roman" w:hAnsi="Times New Roman" w:cs="Times New Roman"/>
        </w:rPr>
        <w:t xml:space="preserve">had been </w:t>
      </w:r>
      <w:r w:rsidRPr="007706AF">
        <w:rPr>
          <w:rFonts w:ascii="Times New Roman" w:hAnsi="Times New Roman" w:cs="Times New Roman"/>
        </w:rPr>
        <w:t>arguably present since the early years of economic integration, but they intensified in 2008.  There were several reasons for this.  First, the global economic crisis put the entire European economy on shakier ground.  Second, there was increasing evidence that the South was not being as fiscally conservative as the North</w:t>
      </w:r>
      <w:r w:rsidR="006A44A8" w:rsidRPr="007706AF">
        <w:rPr>
          <w:rFonts w:ascii="Times New Roman" w:hAnsi="Times New Roman" w:cs="Times New Roman"/>
        </w:rPr>
        <w:t xml:space="preserve"> (Verney 2009: 2)</w:t>
      </w:r>
      <w:r w:rsidR="001530F6" w:rsidRPr="007706AF">
        <w:rPr>
          <w:rFonts w:ascii="Times New Roman" w:hAnsi="Times New Roman" w:cs="Times New Roman"/>
        </w:rPr>
        <w:t xml:space="preserve">, and that southern member states strongly favored higher subsidies and less regulation </w:t>
      </w:r>
      <w:r w:rsidR="001530F6" w:rsidRPr="007706AF">
        <w:rPr>
          <w:rFonts w:ascii="Times New Roman" w:hAnsi="Times New Roman" w:cs="Times New Roman"/>
        </w:rPr>
        <w:lastRenderedPageBreak/>
        <w:t>for producers (Thomson 2009)</w:t>
      </w:r>
      <w:r w:rsidRPr="007706AF">
        <w:rPr>
          <w:rFonts w:ascii="Times New Roman" w:hAnsi="Times New Roman" w:cs="Times New Roman"/>
        </w:rPr>
        <w:t>.</w:t>
      </w:r>
      <w:r w:rsidR="004A6886" w:rsidRPr="007706AF">
        <w:rPr>
          <w:rFonts w:ascii="Times New Roman" w:hAnsi="Times New Roman" w:cs="Times New Roman"/>
        </w:rPr>
        <w:t xml:space="preserve"> </w:t>
      </w:r>
      <w:r w:rsidRPr="007706AF">
        <w:rPr>
          <w:rFonts w:ascii="Times New Roman" w:hAnsi="Times New Roman" w:cs="Times New Roman"/>
        </w:rPr>
        <w:t xml:space="preserve"> Third, there was a growin</w:t>
      </w:r>
      <w:r w:rsidR="006A44A8" w:rsidRPr="007706AF">
        <w:rPr>
          <w:rFonts w:ascii="Times New Roman" w:hAnsi="Times New Roman" w:cs="Times New Roman"/>
        </w:rPr>
        <w:t xml:space="preserve">g sense of divide between those </w:t>
      </w:r>
      <w:r w:rsidRPr="007706AF">
        <w:rPr>
          <w:rFonts w:ascii="Times New Roman" w:hAnsi="Times New Roman" w:cs="Times New Roman"/>
        </w:rPr>
        <w:t>EU countries that had adopted the Euro and those</w:t>
      </w:r>
      <w:r w:rsidR="006A44A8" w:rsidRPr="007706AF">
        <w:rPr>
          <w:rFonts w:ascii="Times New Roman" w:hAnsi="Times New Roman" w:cs="Times New Roman"/>
        </w:rPr>
        <w:t xml:space="preserve"> northern countries</w:t>
      </w:r>
      <w:r w:rsidR="004A6886" w:rsidRPr="007706AF">
        <w:rPr>
          <w:rFonts w:ascii="Times New Roman" w:hAnsi="Times New Roman" w:cs="Times New Roman"/>
        </w:rPr>
        <w:t xml:space="preserve"> (UK, Sweden, and Denmark)</w:t>
      </w:r>
      <w:r w:rsidRPr="007706AF">
        <w:rPr>
          <w:rFonts w:ascii="Times New Roman" w:hAnsi="Times New Roman" w:cs="Times New Roman"/>
        </w:rPr>
        <w:t xml:space="preserve"> that had not.  British Prime Minister David Cameron emphasized this aspect with his rhetoric about preventing the Eurozone from controlling the destiny of the EU</w:t>
      </w:r>
      <w:r w:rsidR="00DC4047" w:rsidRPr="007706AF">
        <w:rPr>
          <w:rFonts w:ascii="Times New Roman" w:hAnsi="Times New Roman" w:cs="Times New Roman"/>
        </w:rPr>
        <w:t xml:space="preserve"> (Milliband 2011)</w:t>
      </w:r>
      <w:r w:rsidRPr="007706AF">
        <w:rPr>
          <w:rFonts w:ascii="Times New Roman" w:hAnsi="Times New Roman" w:cs="Times New Roman"/>
        </w:rPr>
        <w:t xml:space="preserve">. </w:t>
      </w:r>
      <w:r w:rsidR="00DC4047" w:rsidRPr="007706AF">
        <w:rPr>
          <w:rFonts w:ascii="Times New Roman" w:hAnsi="Times New Roman" w:cs="Times New Roman"/>
        </w:rPr>
        <w:t xml:space="preserve"> </w:t>
      </w:r>
      <w:r w:rsidRPr="007706AF">
        <w:rPr>
          <w:rFonts w:ascii="Times New Roman" w:hAnsi="Times New Roman" w:cs="Times New Roman"/>
        </w:rPr>
        <w:t>Fourth, the rise of German economic power alongside growing German economic leadership</w:t>
      </w:r>
      <w:r w:rsidR="004730D3" w:rsidRPr="007706AF">
        <w:rPr>
          <w:rFonts w:ascii="Times New Roman" w:hAnsi="Times New Roman" w:cs="Times New Roman"/>
        </w:rPr>
        <w:t xml:space="preserve"> (Dees 2005)</w:t>
      </w:r>
      <w:r w:rsidRPr="007706AF">
        <w:rPr>
          <w:rFonts w:ascii="Times New Roman" w:hAnsi="Times New Roman" w:cs="Times New Roman"/>
        </w:rPr>
        <w:t xml:space="preserve"> raised concerns and insecurity in other member states</w:t>
      </w:r>
      <w:r w:rsidR="00E81C89" w:rsidRPr="007706AF">
        <w:rPr>
          <w:rFonts w:ascii="Times New Roman" w:hAnsi="Times New Roman" w:cs="Times New Roman"/>
        </w:rPr>
        <w:t xml:space="preserve"> (Kulish 2010)</w:t>
      </w:r>
      <w:r w:rsidRPr="007706AF">
        <w:rPr>
          <w:rFonts w:ascii="Times New Roman" w:hAnsi="Times New Roman" w:cs="Times New Roman"/>
        </w:rPr>
        <w:t>.  Finally, with the tightening of domestic budgets and enlargement of EU membership, the division between net contributors and net detractors to the EU budget became more contentious</w:t>
      </w:r>
      <w:r w:rsidR="003F227C" w:rsidRPr="007706AF">
        <w:rPr>
          <w:rFonts w:ascii="Times New Roman" w:hAnsi="Times New Roman" w:cs="Times New Roman"/>
        </w:rPr>
        <w:t xml:space="preserve"> (Zimmer et al</w:t>
      </w:r>
      <w:r w:rsidR="001530F6" w:rsidRPr="007706AF">
        <w:rPr>
          <w:rFonts w:ascii="Times New Roman" w:hAnsi="Times New Roman" w:cs="Times New Roman"/>
        </w:rPr>
        <w:t>.</w:t>
      </w:r>
      <w:r w:rsidR="003F227C" w:rsidRPr="007706AF">
        <w:rPr>
          <w:rFonts w:ascii="Times New Roman" w:hAnsi="Times New Roman" w:cs="Times New Roman"/>
        </w:rPr>
        <w:t xml:space="preserve">, </w:t>
      </w:r>
      <w:r w:rsidR="001530F6" w:rsidRPr="007706AF">
        <w:rPr>
          <w:rFonts w:ascii="Times New Roman" w:hAnsi="Times New Roman" w:cs="Times New Roman"/>
        </w:rPr>
        <w:t>2005)</w:t>
      </w:r>
      <w:r w:rsidRPr="007706AF">
        <w:rPr>
          <w:rFonts w:ascii="Times New Roman" w:hAnsi="Times New Roman" w:cs="Times New Roman"/>
        </w:rPr>
        <w:t>.  Thus, before the onset of the Eurozone crisis, these tensions stood as obstacles to major innovations in the economic and financial spheres.</w:t>
      </w:r>
    </w:p>
    <w:p w14:paraId="31A82066" w14:textId="77777777" w:rsidR="00251174" w:rsidRPr="007706AF" w:rsidRDefault="00251174" w:rsidP="00B813A8">
      <w:pPr>
        <w:spacing w:line="480" w:lineRule="auto"/>
        <w:ind w:firstLine="720"/>
        <w:rPr>
          <w:rFonts w:ascii="Times New Roman" w:hAnsi="Times New Roman" w:cs="Times New Roman"/>
        </w:rPr>
      </w:pPr>
    </w:p>
    <w:p w14:paraId="1CC4BB05" w14:textId="03AF63A4" w:rsidR="00251174" w:rsidRPr="007706AF" w:rsidRDefault="00251174" w:rsidP="00ED49B4">
      <w:pPr>
        <w:spacing w:line="480" w:lineRule="auto"/>
        <w:rPr>
          <w:rFonts w:ascii="Times New Roman" w:hAnsi="Times New Roman" w:cs="Times New Roman"/>
        </w:rPr>
      </w:pPr>
      <w:r w:rsidRPr="007706AF">
        <w:rPr>
          <w:rFonts w:ascii="Times New Roman" w:hAnsi="Times New Roman" w:cs="Times New Roman"/>
          <w:b/>
          <w:i/>
        </w:rPr>
        <w:t>Crisis Narrative</w:t>
      </w:r>
    </w:p>
    <w:p w14:paraId="1C31588F" w14:textId="649CB862" w:rsidR="0012027D" w:rsidRPr="007706AF" w:rsidRDefault="00251174" w:rsidP="00ED49B4">
      <w:pPr>
        <w:spacing w:line="480" w:lineRule="auto"/>
        <w:rPr>
          <w:rFonts w:ascii="Times New Roman" w:hAnsi="Times New Roman" w:cs="Times New Roman"/>
        </w:rPr>
      </w:pPr>
      <w:r w:rsidRPr="007706AF">
        <w:rPr>
          <w:rFonts w:ascii="Times New Roman" w:hAnsi="Times New Roman" w:cs="Times New Roman"/>
        </w:rPr>
        <w:tab/>
        <w:t>The origi</w:t>
      </w:r>
      <w:r w:rsidR="00F365D4" w:rsidRPr="007706AF">
        <w:rPr>
          <w:rFonts w:ascii="Times New Roman" w:hAnsi="Times New Roman" w:cs="Times New Roman"/>
        </w:rPr>
        <w:t xml:space="preserve">ns of the Eurozone crisis were </w:t>
      </w:r>
      <w:r w:rsidRPr="007706AF">
        <w:rPr>
          <w:rFonts w:ascii="Times New Roman" w:hAnsi="Times New Roman" w:cs="Times New Roman"/>
        </w:rPr>
        <w:t xml:space="preserve">not a consequence of these underlying tensions stemming from differences in economic culture.  Dozens of articles, books, and opinion pieces have been published about the build-up, intensification, and contagion effect of the Eurozone crisis.  </w:t>
      </w:r>
      <w:r w:rsidR="00121E97" w:rsidRPr="007706AF">
        <w:rPr>
          <w:rFonts w:ascii="Times New Roman" w:hAnsi="Times New Roman" w:cs="Times New Roman"/>
        </w:rPr>
        <w:t>One argument is that the global financial system with its emphasis on market fundamentalism is inherently flawed, and this is what made the financial crisis in Europe possible</w:t>
      </w:r>
      <w:r w:rsidR="0012027D" w:rsidRPr="007706AF">
        <w:rPr>
          <w:rFonts w:ascii="Times New Roman" w:hAnsi="Times New Roman" w:cs="Times New Roman"/>
        </w:rPr>
        <w:t xml:space="preserve"> (Kouvelakis 2012, Soros 2012)</w:t>
      </w:r>
      <w:r w:rsidR="00121E97" w:rsidRPr="007706AF">
        <w:rPr>
          <w:rFonts w:ascii="Times New Roman" w:hAnsi="Times New Roman" w:cs="Times New Roman"/>
        </w:rPr>
        <w:t>.  A second argument is that the Euro itself was a bad idea from the beginning and was inevitably heading towards crisis</w:t>
      </w:r>
      <w:r w:rsidR="0012027D" w:rsidRPr="007706AF">
        <w:rPr>
          <w:rFonts w:ascii="Times New Roman" w:hAnsi="Times New Roman" w:cs="Times New Roman"/>
        </w:rPr>
        <w:t xml:space="preserve"> (Overtveldt 2011, Eichengreen 2012, Ash 2012)</w:t>
      </w:r>
      <w:r w:rsidR="00121E97" w:rsidRPr="007706AF">
        <w:rPr>
          <w:rFonts w:ascii="Times New Roman" w:hAnsi="Times New Roman" w:cs="Times New Roman"/>
        </w:rPr>
        <w:t>.  And a third argument is that the central economic problems were really centered on Greece, but that the crisis picked up momentum when a variety of other weaknesses rose to the surface in other member states, creating a general crisis of confidence in the European economy</w:t>
      </w:r>
      <w:r w:rsidR="00526B4D" w:rsidRPr="007706AF">
        <w:rPr>
          <w:rFonts w:ascii="Times New Roman" w:hAnsi="Times New Roman" w:cs="Times New Roman"/>
        </w:rPr>
        <w:t xml:space="preserve"> (Manolopoulos 2011)</w:t>
      </w:r>
      <w:r w:rsidR="00121E97" w:rsidRPr="007706AF">
        <w:rPr>
          <w:rFonts w:ascii="Times New Roman" w:hAnsi="Times New Roman" w:cs="Times New Roman"/>
        </w:rPr>
        <w:t xml:space="preserve">.  </w:t>
      </w:r>
    </w:p>
    <w:p w14:paraId="2184165F" w14:textId="7E29BD49" w:rsidR="00251174" w:rsidRPr="007706AF" w:rsidRDefault="00EF76EA" w:rsidP="0012027D">
      <w:pPr>
        <w:spacing w:line="480" w:lineRule="auto"/>
        <w:ind w:firstLine="720"/>
        <w:rPr>
          <w:rFonts w:ascii="Times New Roman" w:hAnsi="Times New Roman" w:cs="Times New Roman"/>
        </w:rPr>
      </w:pPr>
      <w:r w:rsidRPr="007706AF">
        <w:rPr>
          <w:rFonts w:ascii="Times New Roman" w:hAnsi="Times New Roman" w:cs="Times New Roman"/>
        </w:rPr>
        <w:lastRenderedPageBreak/>
        <w:t xml:space="preserve">The debate on the causes and consequences of the Eurozone crisis is complex, and beyond the scope of this </w:t>
      </w:r>
      <w:r w:rsidR="00935D0C" w:rsidRPr="007706AF">
        <w:rPr>
          <w:rFonts w:ascii="Times New Roman" w:hAnsi="Times New Roman" w:cs="Times New Roman"/>
        </w:rPr>
        <w:t>article</w:t>
      </w:r>
      <w:r w:rsidRPr="007706AF">
        <w:rPr>
          <w:rFonts w:ascii="Times New Roman" w:hAnsi="Times New Roman" w:cs="Times New Roman"/>
        </w:rPr>
        <w:t>,</w:t>
      </w:r>
      <w:r w:rsidR="008A0877" w:rsidRPr="007706AF">
        <w:rPr>
          <w:rFonts w:ascii="Times New Roman" w:hAnsi="Times New Roman" w:cs="Times New Roman"/>
        </w:rPr>
        <w:t xml:space="preserve"> </w:t>
      </w:r>
      <w:r w:rsidRPr="007706AF">
        <w:rPr>
          <w:rFonts w:ascii="Times New Roman" w:hAnsi="Times New Roman" w:cs="Times New Roman"/>
        </w:rPr>
        <w:t>but i</w:t>
      </w:r>
      <w:r w:rsidR="00251174" w:rsidRPr="007706AF">
        <w:rPr>
          <w:rFonts w:ascii="Times New Roman" w:hAnsi="Times New Roman" w:cs="Times New Roman"/>
        </w:rPr>
        <w:t>t is clear that once the crisis was underway, many factors contributed to aggravating it, such as the media, specula</w:t>
      </w:r>
      <w:r w:rsidR="00391A18" w:rsidRPr="007706AF">
        <w:rPr>
          <w:rFonts w:ascii="Times New Roman" w:hAnsi="Times New Roman" w:cs="Times New Roman"/>
        </w:rPr>
        <w:t>tors, rating agencies</w:t>
      </w:r>
      <w:r w:rsidR="00251174" w:rsidRPr="007706AF">
        <w:rPr>
          <w:rFonts w:ascii="Times New Roman" w:hAnsi="Times New Roman" w:cs="Times New Roman"/>
        </w:rPr>
        <w:t>, and so on.  The widespread perception that the crisis would not be confined to Greece led to a contagion effect</w:t>
      </w:r>
      <w:r w:rsidR="00F365D4" w:rsidRPr="007706AF">
        <w:rPr>
          <w:rFonts w:ascii="Times New Roman" w:hAnsi="Times New Roman" w:cs="Times New Roman"/>
        </w:rPr>
        <w:t xml:space="preserve"> and crisis of confidence</w:t>
      </w:r>
      <w:r w:rsidR="00251174" w:rsidRPr="007706AF">
        <w:rPr>
          <w:rFonts w:ascii="Times New Roman" w:hAnsi="Times New Roman" w:cs="Times New Roman"/>
        </w:rPr>
        <w:t>, with serious financial woes spreading from Greece to Portugal, and then on to Spain, Italy, France, Cyprus, and others.  EU leaders chose to follow an immediate prescription of austerity, which backfired, adding fuel to the</w:t>
      </w:r>
      <w:r w:rsidR="00986C69" w:rsidRPr="007706AF">
        <w:rPr>
          <w:rFonts w:ascii="Times New Roman" w:hAnsi="Times New Roman" w:cs="Times New Roman"/>
        </w:rPr>
        <w:t xml:space="preserve"> fire of</w:t>
      </w:r>
      <w:r w:rsidR="00251174" w:rsidRPr="007706AF">
        <w:rPr>
          <w:rFonts w:ascii="Times New Roman" w:hAnsi="Times New Roman" w:cs="Times New Roman"/>
        </w:rPr>
        <w:t xml:space="preserve"> self-fulfilling prophecy and negative media coverage.  Ultimately, this was a cris</w:t>
      </w:r>
      <w:r w:rsidR="00610084" w:rsidRPr="007706AF">
        <w:rPr>
          <w:rFonts w:ascii="Times New Roman" w:hAnsi="Times New Roman" w:cs="Times New Roman"/>
        </w:rPr>
        <w:t>is of confidence above all else,</w:t>
      </w:r>
      <w:r w:rsidR="005553F8" w:rsidRPr="007706AF">
        <w:rPr>
          <w:rFonts w:ascii="Times New Roman" w:hAnsi="Times New Roman" w:cs="Times New Roman"/>
        </w:rPr>
        <w:t xml:space="preserve"> </w:t>
      </w:r>
      <w:r w:rsidR="00251174" w:rsidRPr="007706AF">
        <w:rPr>
          <w:rFonts w:ascii="Times New Roman" w:hAnsi="Times New Roman" w:cs="Times New Roman"/>
        </w:rPr>
        <w:t xml:space="preserve">but it is clear that the pre-existing societal tensions between northern and southern member states emerged as the dominant narrative during the crisis.  </w:t>
      </w:r>
    </w:p>
    <w:p w14:paraId="594419C6" w14:textId="25ADF5D6" w:rsidR="00251174" w:rsidRPr="007706AF" w:rsidRDefault="00986C69" w:rsidP="00ED49B4">
      <w:pPr>
        <w:spacing w:line="480" w:lineRule="auto"/>
        <w:ind w:firstLine="720"/>
        <w:rPr>
          <w:rFonts w:ascii="Times New Roman" w:hAnsi="Times New Roman" w:cs="Times New Roman"/>
        </w:rPr>
      </w:pPr>
      <w:r w:rsidRPr="007706AF">
        <w:rPr>
          <w:rFonts w:ascii="Times New Roman" w:hAnsi="Times New Roman" w:cs="Times New Roman"/>
        </w:rPr>
        <w:t>Although these tensions did not cause the crisis, t</w:t>
      </w:r>
      <w:r w:rsidR="00251174" w:rsidRPr="007706AF">
        <w:rPr>
          <w:rFonts w:ascii="Times New Roman" w:hAnsi="Times New Roman" w:cs="Times New Roman"/>
        </w:rPr>
        <w:t>he crisis became an excuse to discuss these specific tensions openly.  Of course, at the outset, there were a variety of ways in which Europeans could have talked about the Greek debt crisis, and this narrative did not necessarily have to center on North-South tensions.  Other tensions about the crisis that arguably would have made much more sense in this context were: blame for US neglect in upholding financial regulation, anger towards Wall Street, criticism of the global banking sector for greed and corruption, questioning of capitalism in general, or complaining of growing inequality between the rich and the poor.  As with all crises, there are multiple narratives at work, but the one that stood out</w:t>
      </w:r>
      <w:r w:rsidRPr="007706AF">
        <w:rPr>
          <w:rFonts w:ascii="Times New Roman" w:hAnsi="Times New Roman" w:cs="Times New Roman"/>
        </w:rPr>
        <w:t xml:space="preserve"> most in the media and public debate</w:t>
      </w:r>
      <w:r w:rsidR="00251174" w:rsidRPr="007706AF">
        <w:rPr>
          <w:rFonts w:ascii="Times New Roman" w:hAnsi="Times New Roman" w:cs="Times New Roman"/>
        </w:rPr>
        <w:t xml:space="preserve"> was hostility between the North and the South, reflecting the pre-existing tensions of the time.  As indicative of this, from</w:t>
      </w:r>
      <w:r w:rsidR="00391A18" w:rsidRPr="007706AF">
        <w:rPr>
          <w:rFonts w:ascii="Times New Roman" w:hAnsi="Times New Roman" w:cs="Times New Roman"/>
        </w:rPr>
        <w:t xml:space="preserve"> 1 May </w:t>
      </w:r>
      <w:r w:rsidR="00251174" w:rsidRPr="007706AF">
        <w:rPr>
          <w:rFonts w:ascii="Times New Roman" w:hAnsi="Times New Roman" w:cs="Times New Roman"/>
        </w:rPr>
        <w:t xml:space="preserve">to </w:t>
      </w:r>
      <w:r w:rsidR="00391A18" w:rsidRPr="007706AF">
        <w:rPr>
          <w:rFonts w:ascii="Times New Roman" w:hAnsi="Times New Roman" w:cs="Times New Roman"/>
        </w:rPr>
        <w:t>30 November</w:t>
      </w:r>
      <w:r w:rsidR="00251174" w:rsidRPr="007706AF">
        <w:rPr>
          <w:rFonts w:ascii="Times New Roman" w:hAnsi="Times New Roman" w:cs="Times New Roman"/>
        </w:rPr>
        <w:t xml:space="preserve"> 2011 the most common tension highlighted in the </w:t>
      </w:r>
      <w:r w:rsidR="00251174" w:rsidRPr="007706AF">
        <w:rPr>
          <w:rFonts w:ascii="Times New Roman" w:hAnsi="Times New Roman" w:cs="Times New Roman"/>
          <w:i/>
        </w:rPr>
        <w:t>Financial Times</w:t>
      </w:r>
      <w:r w:rsidR="00251174" w:rsidRPr="007706AF">
        <w:rPr>
          <w:rFonts w:ascii="Times New Roman" w:hAnsi="Times New Roman" w:cs="Times New Roman"/>
        </w:rPr>
        <w:t xml:space="preserve"> was that of division between northe</w:t>
      </w:r>
      <w:r w:rsidR="00B96B6D" w:rsidRPr="007706AF">
        <w:rPr>
          <w:rFonts w:ascii="Times New Roman" w:hAnsi="Times New Roman" w:cs="Times New Roman"/>
        </w:rPr>
        <w:t>rn and southern Europe.  Only 2 per cent</w:t>
      </w:r>
      <w:r w:rsidR="00251174" w:rsidRPr="007706AF">
        <w:rPr>
          <w:rFonts w:ascii="Times New Roman" w:hAnsi="Times New Roman" w:cs="Times New Roman"/>
        </w:rPr>
        <w:t xml:space="preserve"> of the time did coverage mention US-EU tensions, even though this was the main cause of global economic crisis, </w:t>
      </w:r>
      <w:r w:rsidR="00E46937" w:rsidRPr="007706AF">
        <w:rPr>
          <w:rFonts w:ascii="Times New Roman" w:hAnsi="Times New Roman" w:cs="Times New Roman"/>
        </w:rPr>
        <w:t xml:space="preserve">which </w:t>
      </w:r>
      <w:r w:rsidR="00E46937" w:rsidRPr="007706AF">
        <w:rPr>
          <w:rFonts w:ascii="Times New Roman" w:hAnsi="Times New Roman" w:cs="Times New Roman"/>
        </w:rPr>
        <w:lastRenderedPageBreak/>
        <w:t>served as an external trigger for the contagion effect that ensued within Europe</w:t>
      </w:r>
      <w:r w:rsidR="00251174" w:rsidRPr="007706AF">
        <w:rPr>
          <w:rFonts w:ascii="Times New Roman" w:hAnsi="Times New Roman" w:cs="Times New Roman"/>
        </w:rPr>
        <w:t xml:space="preserve"> </w:t>
      </w:r>
      <w:r w:rsidR="00AF1F4E" w:rsidRPr="007706AF">
        <w:rPr>
          <w:rFonts w:ascii="Times New Roman" w:hAnsi="Times New Roman" w:cs="Times New Roman"/>
        </w:rPr>
        <w:t>(Cross and Ma 2015</w:t>
      </w:r>
      <w:r w:rsidR="00DC4047" w:rsidRPr="007706AF">
        <w:rPr>
          <w:rFonts w:ascii="Times New Roman" w:hAnsi="Times New Roman" w:cs="Times New Roman"/>
        </w:rPr>
        <w:t>)</w:t>
      </w:r>
      <w:proofErr w:type="gramStart"/>
      <w:r w:rsidR="00251174" w:rsidRPr="007706AF">
        <w:rPr>
          <w:rFonts w:ascii="Times New Roman" w:hAnsi="Times New Roman" w:cs="Times New Roman"/>
        </w:rPr>
        <w:t>.</w:t>
      </w:r>
      <w:proofErr w:type="gramEnd"/>
      <w:r w:rsidR="00251174" w:rsidRPr="007706AF">
        <w:rPr>
          <w:rFonts w:ascii="Times New Roman" w:hAnsi="Times New Roman" w:cs="Times New Roman"/>
        </w:rPr>
        <w:t xml:space="preserve"> </w:t>
      </w:r>
      <w:r w:rsidR="00DC4047" w:rsidRPr="007706AF">
        <w:rPr>
          <w:rFonts w:ascii="Times New Roman" w:hAnsi="Times New Roman" w:cs="Times New Roman"/>
        </w:rPr>
        <w:t xml:space="preserve"> </w:t>
      </w:r>
      <w:r w:rsidR="00251174" w:rsidRPr="007706AF">
        <w:rPr>
          <w:rFonts w:ascii="Times New Roman" w:hAnsi="Times New Roman" w:cs="Times New Roman"/>
        </w:rPr>
        <w:t>Even tensions between Brussels and the member states or tensions within member states appeared far less frequently in coverage compared to North-South tensions.</w:t>
      </w:r>
      <w:r w:rsidR="00F365D4" w:rsidRPr="007706AF">
        <w:rPr>
          <w:rStyle w:val="EndnoteReference"/>
          <w:rFonts w:ascii="Times New Roman" w:hAnsi="Times New Roman" w:cs="Times New Roman"/>
        </w:rPr>
        <w:endnoteReference w:id="7"/>
      </w:r>
    </w:p>
    <w:p w14:paraId="61A39D9D" w14:textId="77777777" w:rsidR="00FA1E17" w:rsidRPr="007706AF" w:rsidRDefault="00251174" w:rsidP="00FA1E17">
      <w:pPr>
        <w:spacing w:line="480" w:lineRule="auto"/>
        <w:ind w:firstLine="720"/>
        <w:rPr>
          <w:rFonts w:ascii="Times New Roman" w:hAnsi="Times New Roman" w:cs="Times New Roman"/>
        </w:rPr>
      </w:pPr>
      <w:r w:rsidRPr="007706AF">
        <w:rPr>
          <w:rFonts w:ascii="Times New Roman" w:hAnsi="Times New Roman" w:cs="Times New Roman"/>
        </w:rPr>
        <w:t xml:space="preserve">Beyond news coverage, Europeans (except for those in the South) often talked about these tensions through the language of stereotypes.  Northern European were assumed to be </w:t>
      </w:r>
      <w:r w:rsidR="00B96B6D" w:rsidRPr="007706AF">
        <w:rPr>
          <w:rFonts w:ascii="Times New Roman" w:hAnsi="Times New Roman" w:cs="Times New Roman"/>
        </w:rPr>
        <w:t>‘</w:t>
      </w:r>
      <w:r w:rsidRPr="007706AF">
        <w:rPr>
          <w:rFonts w:ascii="Times New Roman" w:hAnsi="Times New Roman" w:cs="Times New Roman"/>
        </w:rPr>
        <w:t>hard-working, law-abiding people who live within their means,</w:t>
      </w:r>
      <w:r w:rsidR="00B96B6D" w:rsidRPr="007706AF">
        <w:rPr>
          <w:rFonts w:ascii="Times New Roman" w:hAnsi="Times New Roman" w:cs="Times New Roman"/>
        </w:rPr>
        <w:t>’</w:t>
      </w:r>
      <w:r w:rsidRPr="007706AF">
        <w:rPr>
          <w:rFonts w:ascii="Times New Roman" w:hAnsi="Times New Roman" w:cs="Times New Roman"/>
        </w:rPr>
        <w:t xml:space="preserve"> while Southern Europeans were </w:t>
      </w:r>
      <w:r w:rsidR="00B96B6D" w:rsidRPr="007706AF">
        <w:rPr>
          <w:rFonts w:ascii="Times New Roman" w:hAnsi="Times New Roman" w:cs="Times New Roman"/>
        </w:rPr>
        <w:t>‘</w:t>
      </w:r>
      <w:r w:rsidRPr="007706AF">
        <w:rPr>
          <w:rFonts w:ascii="Times New Roman" w:hAnsi="Times New Roman" w:cs="Times New Roman"/>
        </w:rPr>
        <w:t>work-sh</w:t>
      </w:r>
      <w:r w:rsidR="00DC4047" w:rsidRPr="007706AF">
        <w:rPr>
          <w:rFonts w:ascii="Times New Roman" w:hAnsi="Times New Roman" w:cs="Times New Roman"/>
        </w:rPr>
        <w:t>y, rule-bending, and profligate</w:t>
      </w:r>
      <w:r w:rsidR="00B96B6D" w:rsidRPr="007706AF">
        <w:rPr>
          <w:rFonts w:ascii="Times New Roman" w:hAnsi="Times New Roman" w:cs="Times New Roman"/>
        </w:rPr>
        <w:t>’</w:t>
      </w:r>
      <w:r w:rsidR="00DC4047" w:rsidRPr="007706AF">
        <w:rPr>
          <w:rFonts w:ascii="Times New Roman" w:hAnsi="Times New Roman" w:cs="Times New Roman"/>
        </w:rPr>
        <w:t xml:space="preserve"> (Mahony 2012).</w:t>
      </w:r>
      <w:r w:rsidRPr="007706AF">
        <w:rPr>
          <w:rFonts w:ascii="Times New Roman" w:hAnsi="Times New Roman" w:cs="Times New Roman"/>
        </w:rPr>
        <w:t xml:space="preserve"> </w:t>
      </w:r>
      <w:r w:rsidR="00DC4047" w:rsidRPr="007706AF">
        <w:rPr>
          <w:rFonts w:ascii="Times New Roman" w:hAnsi="Times New Roman" w:cs="Times New Roman"/>
        </w:rPr>
        <w:t xml:space="preserve"> </w:t>
      </w:r>
      <w:r w:rsidRPr="007706AF">
        <w:rPr>
          <w:rFonts w:ascii="Times New Roman" w:hAnsi="Times New Roman" w:cs="Times New Roman"/>
        </w:rPr>
        <w:t xml:space="preserve">These stereotypes sharpened and became widespread as the dominant narrative during 2010 and 2011.  </w:t>
      </w:r>
      <w:r w:rsidR="00FA1E17" w:rsidRPr="007706AF">
        <w:rPr>
          <w:rFonts w:ascii="Times New Roman" w:hAnsi="Times New Roman" w:cs="Times New Roman"/>
        </w:rPr>
        <w:t>The media again played a major role in spreading and sharpening the stereotypes and tensions that were being openly aired in the public sphere through its focus on this aspect as underlying the growing problems in the Eurozone:</w:t>
      </w:r>
    </w:p>
    <w:p w14:paraId="2EB0D535" w14:textId="388AA351" w:rsidR="00610084" w:rsidRPr="007706AF" w:rsidRDefault="00610084" w:rsidP="00FA1E17">
      <w:pPr>
        <w:ind w:left="720"/>
        <w:rPr>
          <w:rFonts w:ascii="Times New Roman" w:hAnsi="Times New Roman" w:cs="Times New Roman"/>
        </w:rPr>
      </w:pPr>
      <w:r w:rsidRPr="007706AF">
        <w:rPr>
          <w:rFonts w:ascii="Times New Roman" w:hAnsi="Times New Roman" w:cs="Times New Roman"/>
        </w:rPr>
        <w:t>Taxpayers of northern Europe do not want to bail out what they perceive to be profligate and lazy southern Europeans. Yet their elected politicians cannot contemplate the alternative of sovereign default because that would put the whole European banking syst</w:t>
      </w:r>
      <w:r w:rsidR="008A0877" w:rsidRPr="007706AF">
        <w:rPr>
          <w:rFonts w:ascii="Times New Roman" w:hAnsi="Times New Roman" w:cs="Times New Roman"/>
        </w:rPr>
        <w:t>em at risk (Plender 2011).</w:t>
      </w:r>
    </w:p>
    <w:p w14:paraId="75D9540F" w14:textId="77777777" w:rsidR="00FA1E17" w:rsidRPr="007706AF" w:rsidRDefault="00FA1E17" w:rsidP="00FA1E17">
      <w:pPr>
        <w:rPr>
          <w:rFonts w:ascii="Times New Roman" w:hAnsi="Times New Roman" w:cs="Times New Roman"/>
        </w:rPr>
      </w:pPr>
    </w:p>
    <w:p w14:paraId="275CD377" w14:textId="4D74A43D" w:rsidR="00FA1E17" w:rsidRPr="007706AF" w:rsidRDefault="00FA1E17" w:rsidP="00FA1E17">
      <w:pPr>
        <w:rPr>
          <w:rFonts w:ascii="Times New Roman" w:hAnsi="Times New Roman" w:cs="Times New Roman"/>
        </w:rPr>
      </w:pPr>
      <w:r w:rsidRPr="007706AF">
        <w:rPr>
          <w:rFonts w:ascii="Times New Roman" w:hAnsi="Times New Roman" w:cs="Times New Roman"/>
        </w:rPr>
        <w:t>Some events bordered on the absurd:</w:t>
      </w:r>
    </w:p>
    <w:p w14:paraId="40653540" w14:textId="77777777" w:rsidR="00FA1E17" w:rsidRPr="007706AF" w:rsidRDefault="00FA1E17" w:rsidP="00FA1E17">
      <w:pPr>
        <w:rPr>
          <w:rFonts w:ascii="Times New Roman" w:hAnsi="Times New Roman" w:cs="Times New Roman"/>
        </w:rPr>
      </w:pPr>
    </w:p>
    <w:p w14:paraId="40F3AF69" w14:textId="3080AB2F" w:rsidR="0018714B" w:rsidRPr="007706AF" w:rsidRDefault="00FA1E17" w:rsidP="0018714B">
      <w:pPr>
        <w:ind w:left="720"/>
        <w:rPr>
          <w:rFonts w:ascii="Times New Roman" w:hAnsi="Times New Roman" w:cs="Times New Roman"/>
        </w:rPr>
      </w:pPr>
      <w:r w:rsidRPr="007706AF">
        <w:rPr>
          <w:rFonts w:ascii="Times New Roman" w:hAnsi="Times New Roman" w:cs="Times New Roman"/>
        </w:rPr>
        <w:t>European Union policymakers were bickering about the latest unhelpful proposal for tackling the crisis: flying the flags of states with high budget deficits at half</w:t>
      </w:r>
      <w:r w:rsidRPr="007706AF">
        <w:rPr>
          <w:rFonts w:ascii="Noteworthy Bold" w:hAnsi="Noteworthy Bold" w:cs="Noteworthy Bold"/>
        </w:rPr>
        <w:t>‐</w:t>
      </w:r>
      <w:r w:rsidRPr="007706AF">
        <w:rPr>
          <w:rFonts w:ascii="Times New Roman" w:hAnsi="Times New Roman" w:cs="Times New Roman"/>
        </w:rPr>
        <w:t>mast. The origins of this bizarre idea lie in the northern European, Protestant notion that debts are sinful and demand public humiliation. Treating economics as a morality play is one reason th</w:t>
      </w:r>
      <w:r w:rsidR="00F365D4" w:rsidRPr="007706AF">
        <w:rPr>
          <w:rFonts w:ascii="Times New Roman" w:hAnsi="Times New Roman" w:cs="Times New Roman"/>
        </w:rPr>
        <w:t>e European crisis is not over (Editorial 2011).</w:t>
      </w:r>
    </w:p>
    <w:p w14:paraId="5333F7ED" w14:textId="77777777" w:rsidR="0018714B" w:rsidRPr="007706AF" w:rsidRDefault="0018714B" w:rsidP="0018714B">
      <w:pPr>
        <w:ind w:left="720"/>
        <w:rPr>
          <w:rFonts w:ascii="Times New Roman" w:hAnsi="Times New Roman" w:cs="Times New Roman"/>
        </w:rPr>
      </w:pPr>
    </w:p>
    <w:p w14:paraId="0A5F6409" w14:textId="39639857" w:rsidR="0018714B" w:rsidRPr="007706AF" w:rsidRDefault="0018714B" w:rsidP="0018714B">
      <w:pPr>
        <w:spacing w:line="480" w:lineRule="auto"/>
        <w:rPr>
          <w:rFonts w:ascii="Times New Roman" w:hAnsi="Times New Roman" w:cs="Times New Roman"/>
        </w:rPr>
      </w:pPr>
      <w:r w:rsidRPr="007706AF">
        <w:rPr>
          <w:rFonts w:ascii="Times New Roman" w:hAnsi="Times New Roman" w:cs="Times New Roman"/>
        </w:rPr>
        <w:t>Of course, tensions between Greece and Germany were at the heart of the North-South divide:</w:t>
      </w:r>
    </w:p>
    <w:p w14:paraId="0BBB0E60" w14:textId="60C83578" w:rsidR="0018714B" w:rsidRPr="007706AF" w:rsidRDefault="0018714B" w:rsidP="0018714B">
      <w:pPr>
        <w:ind w:left="720"/>
        <w:rPr>
          <w:rFonts w:ascii="Times New Roman" w:hAnsi="Times New Roman" w:cs="Times New Roman"/>
        </w:rPr>
      </w:pPr>
      <w:r w:rsidRPr="007706AF">
        <w:rPr>
          <w:rFonts w:ascii="Times New Roman" w:hAnsi="Times New Roman" w:cs="Times New Roman"/>
          <w:bCs/>
        </w:rPr>
        <w:t>Some German economists argue that others in the 17-nation currency union, like Portugal or even Italy, might need to leave as well...Meanwhile, Germany’s attitudes draw plenty of publicity in Greece and other stricken euro countries, where they feed stereotypes of arrogant, domineering Germans and stoke the resentments that are already deeply straining European unity...“People believe Greeks don’t pay our taxes and we don’t want to work,” said Christos Manolas, a Greek businessman. “That’s a myth perpetuated by the Germans</w:t>
      </w:r>
      <w:r w:rsidR="00B1000C" w:rsidRPr="007706AF">
        <w:rPr>
          <w:rFonts w:ascii="Times New Roman" w:hAnsi="Times New Roman" w:cs="Times New Roman"/>
          <w:bCs/>
        </w:rPr>
        <w:t>.”</w:t>
      </w:r>
      <w:r w:rsidR="007B18BA" w:rsidRPr="007706AF">
        <w:rPr>
          <w:rFonts w:ascii="Times New Roman" w:hAnsi="Times New Roman" w:cs="Times New Roman"/>
          <w:bCs/>
        </w:rPr>
        <w:t xml:space="preserve"> (Ewing and Alderman 2011).</w:t>
      </w:r>
    </w:p>
    <w:p w14:paraId="5F9D1B58" w14:textId="77777777" w:rsidR="0018714B" w:rsidRPr="007706AF" w:rsidRDefault="0018714B" w:rsidP="007B18BA">
      <w:pPr>
        <w:rPr>
          <w:rFonts w:ascii="Times New Roman" w:hAnsi="Times New Roman" w:cs="Times New Roman"/>
        </w:rPr>
      </w:pPr>
    </w:p>
    <w:p w14:paraId="12CB1C66" w14:textId="37B333FD" w:rsidR="00251174" w:rsidRPr="007706AF" w:rsidRDefault="00251174" w:rsidP="00610084">
      <w:pPr>
        <w:spacing w:line="480" w:lineRule="auto"/>
        <w:rPr>
          <w:rFonts w:ascii="Times New Roman" w:hAnsi="Times New Roman" w:cs="Times New Roman"/>
        </w:rPr>
      </w:pPr>
      <w:r w:rsidRPr="007706AF">
        <w:rPr>
          <w:rFonts w:ascii="Times New Roman" w:hAnsi="Times New Roman" w:cs="Times New Roman"/>
        </w:rPr>
        <w:lastRenderedPageBreak/>
        <w:t xml:space="preserve">As the crisis progressed, France and Germany clearly took the lead in trying to find a solution.  This was a natural development given that they have the biggest Eurozone economies, and have been traditional leaders throughout the evolution of the EU.  In reaction to their leadership during the Eurozone crisis, however, many southern Europeans were highly critical, especially when it came to German Chancellor Angela Merkel’s role.  At various points in the crisis, the backlash from some southern member states became so severe that for the first time since the founding of the European Coal and Steel Community there was open talk of </w:t>
      </w:r>
      <w:r w:rsidR="00B96B6D" w:rsidRPr="007706AF">
        <w:rPr>
          <w:rFonts w:ascii="Times New Roman" w:hAnsi="Times New Roman" w:cs="Times New Roman"/>
        </w:rPr>
        <w:t>‘</w:t>
      </w:r>
      <w:r w:rsidRPr="007706AF">
        <w:rPr>
          <w:rFonts w:ascii="Times New Roman" w:hAnsi="Times New Roman" w:cs="Times New Roman"/>
        </w:rPr>
        <w:t>the German problem</w:t>
      </w:r>
      <w:r w:rsidR="00B96B6D" w:rsidRPr="007706AF">
        <w:rPr>
          <w:rFonts w:ascii="Times New Roman" w:hAnsi="Times New Roman" w:cs="Times New Roman"/>
        </w:rPr>
        <w:t>’</w:t>
      </w:r>
      <w:r w:rsidRPr="007706AF">
        <w:rPr>
          <w:rFonts w:ascii="Times New Roman" w:hAnsi="Times New Roman" w:cs="Times New Roman"/>
        </w:rPr>
        <w:t xml:space="preserve"> again, and various other forms of highly controversial German-bashing.  Op-ed columnist Gideon Rachman </w:t>
      </w:r>
      <w:r w:rsidR="00DC4047" w:rsidRPr="007706AF">
        <w:rPr>
          <w:rFonts w:ascii="Times New Roman" w:hAnsi="Times New Roman" w:cs="Times New Roman"/>
        </w:rPr>
        <w:t xml:space="preserve">(2012: 9) </w:t>
      </w:r>
      <w:r w:rsidRPr="007706AF">
        <w:rPr>
          <w:rFonts w:ascii="Times New Roman" w:hAnsi="Times New Roman" w:cs="Times New Roman"/>
        </w:rPr>
        <w:t xml:space="preserve">wrote, </w:t>
      </w:r>
      <w:r w:rsidR="00B96B6D" w:rsidRPr="007706AF">
        <w:rPr>
          <w:rFonts w:ascii="Times New Roman" w:hAnsi="Times New Roman" w:cs="Times New Roman"/>
        </w:rPr>
        <w:t>‘</w:t>
      </w:r>
      <w:proofErr w:type="gramStart"/>
      <w:r w:rsidRPr="007706AF">
        <w:rPr>
          <w:rFonts w:ascii="Times New Roman" w:hAnsi="Times New Roman" w:cs="Times New Roman"/>
        </w:rPr>
        <w:t>Any</w:t>
      </w:r>
      <w:proofErr w:type="gramEnd"/>
      <w:r w:rsidRPr="007706AF">
        <w:rPr>
          <w:rFonts w:ascii="Times New Roman" w:hAnsi="Times New Roman" w:cs="Times New Roman"/>
        </w:rPr>
        <w:t xml:space="preserve"> taboos about references to the Nazi occupation of Greece have been dropped long ago.  Across southern Europe, the </w:t>
      </w:r>
      <w:r w:rsidR="009C280A" w:rsidRPr="007706AF">
        <w:rPr>
          <w:rFonts w:ascii="Times New Roman" w:hAnsi="Times New Roman" w:cs="Times New Roman"/>
        </w:rPr>
        <w:t>“</w:t>
      </w:r>
      <w:r w:rsidRPr="007706AF">
        <w:rPr>
          <w:rFonts w:ascii="Times New Roman" w:hAnsi="Times New Roman" w:cs="Times New Roman"/>
        </w:rPr>
        <w:t>ugly German</w:t>
      </w:r>
      <w:r w:rsidR="009C280A" w:rsidRPr="007706AF">
        <w:rPr>
          <w:rFonts w:ascii="Times New Roman" w:hAnsi="Times New Roman" w:cs="Times New Roman"/>
        </w:rPr>
        <w:t>”</w:t>
      </w:r>
      <w:r w:rsidR="00DC4047" w:rsidRPr="007706AF">
        <w:rPr>
          <w:rFonts w:ascii="Times New Roman" w:hAnsi="Times New Roman" w:cs="Times New Roman"/>
        </w:rPr>
        <w:t xml:space="preserve"> is back.</w:t>
      </w:r>
      <w:r w:rsidR="00B96B6D" w:rsidRPr="007706AF">
        <w:rPr>
          <w:rFonts w:ascii="Times New Roman" w:hAnsi="Times New Roman" w:cs="Times New Roman"/>
        </w:rPr>
        <w:t>’</w:t>
      </w:r>
      <w:r w:rsidRPr="007706AF">
        <w:rPr>
          <w:rFonts w:ascii="Times New Roman" w:hAnsi="Times New Roman" w:cs="Times New Roman"/>
        </w:rPr>
        <w:t xml:space="preserve"> </w:t>
      </w:r>
      <w:r w:rsidR="00DC4047" w:rsidRPr="007706AF">
        <w:rPr>
          <w:rFonts w:ascii="Times New Roman" w:hAnsi="Times New Roman" w:cs="Times New Roman"/>
        </w:rPr>
        <w:t xml:space="preserve"> </w:t>
      </w:r>
      <w:r w:rsidRPr="007706AF">
        <w:rPr>
          <w:rFonts w:ascii="Times New Roman" w:hAnsi="Times New Roman" w:cs="Times New Roman"/>
        </w:rPr>
        <w:t xml:space="preserve">Thus, Europeans were talking about these pre-existing tensions in far more blunt and exaggerated terms than they were before the crisis. </w:t>
      </w:r>
      <w:r w:rsidR="00FA1E17" w:rsidRPr="007706AF">
        <w:rPr>
          <w:rFonts w:ascii="Times New Roman" w:hAnsi="Times New Roman" w:cs="Times New Roman"/>
        </w:rPr>
        <w:t xml:space="preserve"> It was not that the underlying nature of these tensions was new, but that they had become far more intensified.</w:t>
      </w:r>
    </w:p>
    <w:p w14:paraId="75A6616E" w14:textId="597EB40F" w:rsidR="00251174" w:rsidRPr="007706AF" w:rsidRDefault="00251174" w:rsidP="00ED49B4">
      <w:pPr>
        <w:spacing w:line="480" w:lineRule="auto"/>
        <w:ind w:firstLine="720"/>
        <w:rPr>
          <w:rFonts w:ascii="Times New Roman" w:hAnsi="Times New Roman" w:cs="Times New Roman"/>
        </w:rPr>
      </w:pPr>
      <w:r w:rsidRPr="007706AF">
        <w:rPr>
          <w:rFonts w:ascii="Times New Roman" w:hAnsi="Times New Roman" w:cs="Times New Roman"/>
        </w:rPr>
        <w:t>Breaking down the North-South narrative further, media content analysis of international coverage of the crisis indicates that there were four main aspects to it: (1) criticism of the South for being fiscally irresponsible, (2) criticism of Germany for being too iron-fisted, (3) tension between net detractors and net contributors to the EU budget, and (4) tension between Euro and non-Euro member states</w:t>
      </w:r>
      <w:r w:rsidR="00AF1F4E" w:rsidRPr="007706AF">
        <w:rPr>
          <w:rFonts w:ascii="Times New Roman" w:hAnsi="Times New Roman" w:cs="Times New Roman"/>
        </w:rPr>
        <w:t xml:space="preserve"> (Cross and Ma 2015</w:t>
      </w:r>
      <w:r w:rsidR="00DC4047" w:rsidRPr="007706AF">
        <w:rPr>
          <w:rFonts w:ascii="Times New Roman" w:hAnsi="Times New Roman" w:cs="Times New Roman"/>
        </w:rPr>
        <w:t>)</w:t>
      </w:r>
      <w:r w:rsidRPr="007706AF">
        <w:rPr>
          <w:rFonts w:ascii="Times New Roman" w:hAnsi="Times New Roman" w:cs="Times New Roman"/>
        </w:rPr>
        <w:t xml:space="preserve">. </w:t>
      </w:r>
      <w:r w:rsidR="00DC4047" w:rsidRPr="007706AF">
        <w:rPr>
          <w:rFonts w:ascii="Times New Roman" w:hAnsi="Times New Roman" w:cs="Times New Roman"/>
        </w:rPr>
        <w:t xml:space="preserve"> </w:t>
      </w:r>
      <w:r w:rsidRPr="007706AF">
        <w:rPr>
          <w:rFonts w:ascii="Times New Roman" w:hAnsi="Times New Roman" w:cs="Times New Roman"/>
        </w:rPr>
        <w:t>But when the international media frenzy surrounding the crisis reached its height in November 2011, the specific narrative expressed in the media was the problem with Germany’s behavior</w:t>
      </w:r>
      <w:r w:rsidR="009C280A" w:rsidRPr="007706AF">
        <w:rPr>
          <w:rFonts w:ascii="Times New Roman" w:hAnsi="Times New Roman" w:cs="Times New Roman"/>
        </w:rPr>
        <w:t>, more than any other</w:t>
      </w:r>
      <w:r w:rsidRPr="007706AF">
        <w:rPr>
          <w:rFonts w:ascii="Times New Roman" w:hAnsi="Times New Roman" w:cs="Times New Roman"/>
        </w:rPr>
        <w:t>.  45</w:t>
      </w:r>
      <w:r w:rsidR="00B96B6D" w:rsidRPr="007706AF">
        <w:rPr>
          <w:rFonts w:ascii="Times New Roman" w:hAnsi="Times New Roman" w:cs="Times New Roman"/>
        </w:rPr>
        <w:t xml:space="preserve"> per cent</w:t>
      </w:r>
      <w:r w:rsidRPr="007706AF">
        <w:rPr>
          <w:rFonts w:ascii="Times New Roman" w:hAnsi="Times New Roman" w:cs="Times New Roman"/>
        </w:rPr>
        <w:t xml:space="preserve"> of the coverage</w:t>
      </w:r>
      <w:r w:rsidR="00ED49B4" w:rsidRPr="007706AF">
        <w:rPr>
          <w:rFonts w:ascii="Times New Roman" w:hAnsi="Times New Roman" w:cs="Times New Roman"/>
        </w:rPr>
        <w:t xml:space="preserve"> of North-South tensions</w:t>
      </w:r>
      <w:r w:rsidRPr="007706AF">
        <w:rPr>
          <w:rFonts w:ascii="Times New Roman" w:hAnsi="Times New Roman" w:cs="Times New Roman"/>
        </w:rPr>
        <w:t xml:space="preserve"> in </w:t>
      </w:r>
      <w:r w:rsidRPr="007706AF">
        <w:rPr>
          <w:rFonts w:ascii="Times New Roman" w:hAnsi="Times New Roman" w:cs="Times New Roman"/>
          <w:i/>
        </w:rPr>
        <w:t>TIME Magazine</w:t>
      </w:r>
      <w:r w:rsidRPr="007706AF">
        <w:rPr>
          <w:rFonts w:ascii="Times New Roman" w:hAnsi="Times New Roman" w:cs="Times New Roman"/>
        </w:rPr>
        <w:t>, 54</w:t>
      </w:r>
      <w:r w:rsidR="00B96B6D" w:rsidRPr="007706AF">
        <w:rPr>
          <w:rFonts w:ascii="Times New Roman" w:hAnsi="Times New Roman" w:cs="Times New Roman"/>
        </w:rPr>
        <w:t xml:space="preserve"> per cent</w:t>
      </w:r>
      <w:r w:rsidRPr="007706AF">
        <w:rPr>
          <w:rFonts w:ascii="Times New Roman" w:hAnsi="Times New Roman" w:cs="Times New Roman"/>
        </w:rPr>
        <w:t xml:space="preserve"> in </w:t>
      </w:r>
      <w:r w:rsidRPr="007706AF">
        <w:rPr>
          <w:rFonts w:ascii="Times New Roman" w:hAnsi="Times New Roman" w:cs="Times New Roman"/>
          <w:i/>
        </w:rPr>
        <w:t>The Economist</w:t>
      </w:r>
      <w:r w:rsidR="00B96B6D" w:rsidRPr="007706AF">
        <w:rPr>
          <w:rFonts w:ascii="Times New Roman" w:hAnsi="Times New Roman" w:cs="Times New Roman"/>
        </w:rPr>
        <w:t>, 48 per cent</w:t>
      </w:r>
      <w:r w:rsidRPr="007706AF">
        <w:rPr>
          <w:rFonts w:ascii="Times New Roman" w:hAnsi="Times New Roman" w:cs="Times New Roman"/>
        </w:rPr>
        <w:t xml:space="preserve"> in the </w:t>
      </w:r>
      <w:r w:rsidRPr="007706AF">
        <w:rPr>
          <w:rFonts w:ascii="Times New Roman" w:hAnsi="Times New Roman" w:cs="Times New Roman"/>
          <w:i/>
        </w:rPr>
        <w:t>International Herald Tribune</w:t>
      </w:r>
      <w:r w:rsidR="00B96B6D" w:rsidRPr="007706AF">
        <w:rPr>
          <w:rFonts w:ascii="Times New Roman" w:hAnsi="Times New Roman" w:cs="Times New Roman"/>
        </w:rPr>
        <w:t>, and 39 per cent</w:t>
      </w:r>
      <w:r w:rsidRPr="007706AF">
        <w:rPr>
          <w:rFonts w:ascii="Times New Roman" w:hAnsi="Times New Roman" w:cs="Times New Roman"/>
        </w:rPr>
        <w:t xml:space="preserve"> in the </w:t>
      </w:r>
      <w:r w:rsidRPr="007706AF">
        <w:rPr>
          <w:rFonts w:ascii="Times New Roman" w:hAnsi="Times New Roman" w:cs="Times New Roman"/>
          <w:i/>
        </w:rPr>
        <w:t>Financial Times</w:t>
      </w:r>
      <w:r w:rsidRPr="007706AF">
        <w:rPr>
          <w:rFonts w:ascii="Times New Roman" w:hAnsi="Times New Roman" w:cs="Times New Roman"/>
        </w:rPr>
        <w:t xml:space="preserve"> focused on this</w:t>
      </w:r>
      <w:r w:rsidR="00DC4047" w:rsidRPr="007706AF">
        <w:rPr>
          <w:rFonts w:ascii="Times New Roman" w:hAnsi="Times New Roman" w:cs="Times New Roman"/>
        </w:rPr>
        <w:t xml:space="preserve"> (Ibid.)</w:t>
      </w:r>
      <w:r w:rsidRPr="007706AF">
        <w:rPr>
          <w:rFonts w:ascii="Times New Roman" w:hAnsi="Times New Roman" w:cs="Times New Roman"/>
        </w:rPr>
        <w:t>.</w:t>
      </w:r>
      <w:r w:rsidR="00DC4047" w:rsidRPr="007706AF">
        <w:rPr>
          <w:rFonts w:ascii="Times New Roman" w:hAnsi="Times New Roman" w:cs="Times New Roman"/>
        </w:rPr>
        <w:t xml:space="preserve"> </w:t>
      </w:r>
      <w:r w:rsidR="00E16516" w:rsidRPr="007706AF">
        <w:rPr>
          <w:rFonts w:ascii="Times New Roman" w:hAnsi="Times New Roman" w:cs="Times New Roman"/>
        </w:rPr>
        <w:t xml:space="preserve"> </w:t>
      </w:r>
      <w:r w:rsidRPr="007706AF">
        <w:rPr>
          <w:rFonts w:ascii="Times New Roman" w:hAnsi="Times New Roman" w:cs="Times New Roman"/>
        </w:rPr>
        <w:t xml:space="preserve">This seems to indicate a shift from blaming the South for being fiscally irresponsible to </w:t>
      </w:r>
      <w:r w:rsidRPr="007706AF">
        <w:rPr>
          <w:rFonts w:ascii="Times New Roman" w:hAnsi="Times New Roman" w:cs="Times New Roman"/>
        </w:rPr>
        <w:lastRenderedPageBreak/>
        <w:t>blaming the North for not offering its support, and in particular, blaming Germany for being too iron-fisted.</w:t>
      </w:r>
    </w:p>
    <w:p w14:paraId="1D09356F" w14:textId="3FB20A8A" w:rsidR="00251174" w:rsidRPr="007706AF" w:rsidRDefault="00251174" w:rsidP="00ED49B4">
      <w:pPr>
        <w:spacing w:line="480" w:lineRule="auto"/>
        <w:ind w:firstLine="720"/>
        <w:rPr>
          <w:rFonts w:ascii="Times New Roman" w:hAnsi="Times New Roman" w:cs="Times New Roman"/>
        </w:rPr>
      </w:pPr>
      <w:r w:rsidRPr="007706AF">
        <w:rPr>
          <w:rFonts w:ascii="Times New Roman" w:hAnsi="Times New Roman" w:cs="Times New Roman"/>
        </w:rPr>
        <w:t xml:space="preserve">This emphasis on Germany as the main problem may be somewhat surprising, given that the German economy itself was not suffering directly in light of the Eurozone crisis, nor were Germans </w:t>
      </w:r>
      <w:r w:rsidR="001813BC" w:rsidRPr="007706AF">
        <w:rPr>
          <w:rFonts w:ascii="Times New Roman" w:hAnsi="Times New Roman" w:cs="Times New Roman"/>
        </w:rPr>
        <w:t xml:space="preserve">seemingly involved in </w:t>
      </w:r>
      <w:r w:rsidRPr="007706AF">
        <w:rPr>
          <w:rFonts w:ascii="Times New Roman" w:hAnsi="Times New Roman" w:cs="Times New Roman"/>
        </w:rPr>
        <w:t xml:space="preserve">destabilizing the Euro.  But Germany – as the </w:t>
      </w:r>
      <w:r w:rsidR="00B96B6D" w:rsidRPr="007706AF">
        <w:rPr>
          <w:rFonts w:ascii="Times New Roman" w:hAnsi="Times New Roman" w:cs="Times New Roman"/>
        </w:rPr>
        <w:t>‘</w:t>
      </w:r>
      <w:r w:rsidRPr="007706AF">
        <w:rPr>
          <w:rFonts w:ascii="Times New Roman" w:hAnsi="Times New Roman" w:cs="Times New Roman"/>
        </w:rPr>
        <w:t>pack leader</w:t>
      </w:r>
      <w:r w:rsidR="00B96B6D" w:rsidRPr="007706AF">
        <w:rPr>
          <w:rFonts w:ascii="Times New Roman" w:hAnsi="Times New Roman" w:cs="Times New Roman"/>
        </w:rPr>
        <w:t>’</w:t>
      </w:r>
      <w:r w:rsidRPr="007706AF">
        <w:rPr>
          <w:rFonts w:ascii="Times New Roman" w:hAnsi="Times New Roman" w:cs="Times New Roman"/>
        </w:rPr>
        <w:t xml:space="preserve"> of the northern member states – was criticized for its unwillingness to act quickly enough, </w:t>
      </w:r>
      <w:r w:rsidR="001813BC" w:rsidRPr="007706AF">
        <w:rPr>
          <w:rFonts w:ascii="Times New Roman" w:hAnsi="Times New Roman" w:cs="Times New Roman"/>
        </w:rPr>
        <w:t xml:space="preserve">for </w:t>
      </w:r>
      <w:r w:rsidRPr="007706AF">
        <w:rPr>
          <w:rFonts w:ascii="Times New Roman" w:hAnsi="Times New Roman" w:cs="Times New Roman"/>
        </w:rPr>
        <w:t xml:space="preserve">the austerity measures it required, and </w:t>
      </w:r>
      <w:r w:rsidR="001813BC" w:rsidRPr="007706AF">
        <w:rPr>
          <w:rFonts w:ascii="Times New Roman" w:hAnsi="Times New Roman" w:cs="Times New Roman"/>
        </w:rPr>
        <w:t xml:space="preserve">for </w:t>
      </w:r>
      <w:r w:rsidRPr="007706AF">
        <w:rPr>
          <w:rFonts w:ascii="Times New Roman" w:hAnsi="Times New Roman" w:cs="Times New Roman"/>
        </w:rPr>
        <w:t>the control from Brussels that was a condition for a</w:t>
      </w:r>
      <w:r w:rsidR="00100855" w:rsidRPr="007706AF">
        <w:rPr>
          <w:rFonts w:ascii="Times New Roman" w:hAnsi="Times New Roman" w:cs="Times New Roman"/>
        </w:rPr>
        <w:t xml:space="preserve">ny bailout. </w:t>
      </w:r>
      <w:r w:rsidR="00EE4D85" w:rsidRPr="007706AF">
        <w:rPr>
          <w:rFonts w:ascii="Times New Roman" w:hAnsi="Times New Roman" w:cs="Times New Roman"/>
        </w:rPr>
        <w:t xml:space="preserve"> </w:t>
      </w:r>
      <w:r w:rsidRPr="007706AF">
        <w:rPr>
          <w:rFonts w:ascii="Times New Roman" w:hAnsi="Times New Roman" w:cs="Times New Roman"/>
        </w:rPr>
        <w:t>All of these narratives contributed to an elevated sense of North-South tensions during the crisis.</w:t>
      </w:r>
    </w:p>
    <w:p w14:paraId="0170BA7C" w14:textId="77777777" w:rsidR="00251174" w:rsidRPr="007706AF" w:rsidRDefault="00251174" w:rsidP="00ED49B4">
      <w:pPr>
        <w:spacing w:line="480" w:lineRule="auto"/>
        <w:rPr>
          <w:rFonts w:ascii="Times New Roman" w:hAnsi="Times New Roman" w:cs="Times New Roman"/>
        </w:rPr>
      </w:pPr>
    </w:p>
    <w:p w14:paraId="249A20CD" w14:textId="48236CB2" w:rsidR="00251174" w:rsidRPr="007706AF" w:rsidRDefault="00251174" w:rsidP="00ED49B4">
      <w:pPr>
        <w:spacing w:line="480" w:lineRule="auto"/>
        <w:rPr>
          <w:rFonts w:ascii="Times New Roman" w:hAnsi="Times New Roman" w:cs="Times New Roman"/>
          <w:b/>
          <w:i/>
        </w:rPr>
      </w:pPr>
      <w:r w:rsidRPr="007706AF">
        <w:rPr>
          <w:rFonts w:ascii="Times New Roman" w:hAnsi="Times New Roman" w:cs="Times New Roman"/>
          <w:b/>
          <w:i/>
        </w:rPr>
        <w:t>Catharsis &amp; Crisis Resolution</w:t>
      </w:r>
    </w:p>
    <w:p w14:paraId="68AAA983" w14:textId="3E66D524" w:rsidR="00251174" w:rsidRPr="007706AF" w:rsidRDefault="00251174" w:rsidP="00ED49B4">
      <w:pPr>
        <w:spacing w:line="480" w:lineRule="auto"/>
        <w:rPr>
          <w:rFonts w:ascii="Times New Roman" w:hAnsi="Times New Roman" w:cs="Times New Roman"/>
          <w:i/>
        </w:rPr>
      </w:pPr>
      <w:r w:rsidRPr="007706AF">
        <w:rPr>
          <w:rFonts w:ascii="Times New Roman" w:hAnsi="Times New Roman" w:cs="Times New Roman"/>
        </w:rPr>
        <w:tab/>
        <w:t xml:space="preserve">As the worst of the crisis began to wind down, there was growing talk among leaders of the greater importance of Europe for preserving peace, and enabling all European countries to prosper.  </w:t>
      </w:r>
      <w:r w:rsidR="00610084" w:rsidRPr="007706AF">
        <w:rPr>
          <w:rFonts w:ascii="Times New Roman" w:hAnsi="Times New Roman" w:cs="Times New Roman"/>
        </w:rPr>
        <w:t>The</w:t>
      </w:r>
      <w:r w:rsidRPr="007706AF">
        <w:rPr>
          <w:rFonts w:ascii="Times New Roman" w:hAnsi="Times New Roman" w:cs="Times New Roman"/>
        </w:rPr>
        <w:t xml:space="preserve"> overarching narrative featured less talk of the North-South divide, and started showing more signs of solidarity.</w:t>
      </w:r>
      <w:r w:rsidR="00A83401" w:rsidRPr="007706AF">
        <w:rPr>
          <w:rFonts w:ascii="Times New Roman" w:hAnsi="Times New Roman" w:cs="Times New Roman"/>
        </w:rPr>
        <w:t xml:space="preserve"> </w:t>
      </w:r>
      <w:r w:rsidRPr="007706AF">
        <w:rPr>
          <w:rFonts w:ascii="Times New Roman" w:hAnsi="Times New Roman" w:cs="Times New Roman"/>
        </w:rPr>
        <w:t xml:space="preserve"> Leaders made explicit ties between the survival of the Euro and the survival of Europe, among other things.  By early 2012, the </w:t>
      </w:r>
      <w:r w:rsidR="00B96B6D" w:rsidRPr="007706AF">
        <w:rPr>
          <w:rFonts w:ascii="Times New Roman" w:hAnsi="Times New Roman" w:cs="Times New Roman"/>
        </w:rPr>
        <w:t>‘</w:t>
      </w:r>
      <w:r w:rsidRPr="007706AF">
        <w:rPr>
          <w:rFonts w:ascii="Times New Roman" w:hAnsi="Times New Roman" w:cs="Times New Roman"/>
        </w:rPr>
        <w:t>end of Europe</w:t>
      </w:r>
      <w:r w:rsidR="00B96B6D" w:rsidRPr="007706AF">
        <w:rPr>
          <w:rFonts w:ascii="Times New Roman" w:hAnsi="Times New Roman" w:cs="Times New Roman"/>
        </w:rPr>
        <w:t>’</w:t>
      </w:r>
      <w:r w:rsidRPr="007706AF">
        <w:rPr>
          <w:rFonts w:ascii="Times New Roman" w:hAnsi="Times New Roman" w:cs="Times New Roman"/>
        </w:rPr>
        <w:t xml:space="preserve"> rhetoric had quickly disappeared.  As indicative of this turn towards recovery, on </w:t>
      </w:r>
      <w:r w:rsidR="00100855" w:rsidRPr="007706AF">
        <w:rPr>
          <w:rFonts w:ascii="Times New Roman" w:hAnsi="Times New Roman" w:cs="Times New Roman"/>
        </w:rPr>
        <w:t>3 March</w:t>
      </w:r>
      <w:r w:rsidRPr="007706AF">
        <w:rPr>
          <w:rFonts w:ascii="Times New Roman" w:hAnsi="Times New Roman" w:cs="Times New Roman"/>
        </w:rPr>
        <w:t xml:space="preserve"> 2012 French President Nicolas Sarokzy said, </w:t>
      </w:r>
      <w:r w:rsidR="00B96B6D" w:rsidRPr="007706AF">
        <w:rPr>
          <w:rFonts w:ascii="Times New Roman" w:hAnsi="Times New Roman" w:cs="Times New Roman"/>
        </w:rPr>
        <w:t>‘</w:t>
      </w:r>
      <w:r w:rsidRPr="007706AF">
        <w:rPr>
          <w:rFonts w:ascii="Times New Roman" w:hAnsi="Times New Roman" w:cs="Times New Roman"/>
        </w:rPr>
        <w:t>It is the first summit since August 2011 which has not been a crisis summit…It is a huge relief to see European summits dedicated to subjects other than the financial crisis, and a huge relief to see the financial crisis no longer dominat</w:t>
      </w:r>
      <w:r w:rsidR="00DC4047" w:rsidRPr="007706AF">
        <w:rPr>
          <w:rFonts w:ascii="Times New Roman" w:hAnsi="Times New Roman" w:cs="Times New Roman"/>
        </w:rPr>
        <w:t>ing the headlines day after day</w:t>
      </w:r>
      <w:r w:rsidR="00B96B6D" w:rsidRPr="007706AF">
        <w:rPr>
          <w:rFonts w:ascii="Times New Roman" w:hAnsi="Times New Roman" w:cs="Times New Roman"/>
        </w:rPr>
        <w:t>’</w:t>
      </w:r>
      <w:r w:rsidR="00DC4047" w:rsidRPr="007706AF">
        <w:rPr>
          <w:rFonts w:ascii="Times New Roman" w:hAnsi="Times New Roman" w:cs="Times New Roman"/>
        </w:rPr>
        <w:t xml:space="preserve"> (Peel 2012: 2).</w:t>
      </w:r>
    </w:p>
    <w:p w14:paraId="7CB83EC5" w14:textId="21B71F11" w:rsidR="00251174" w:rsidRPr="007706AF" w:rsidRDefault="00251174" w:rsidP="00ED49B4">
      <w:pPr>
        <w:spacing w:line="480" w:lineRule="auto"/>
        <w:ind w:firstLine="720"/>
        <w:rPr>
          <w:rFonts w:ascii="Times New Roman" w:hAnsi="Times New Roman" w:cs="Times New Roman"/>
        </w:rPr>
      </w:pPr>
      <w:r w:rsidRPr="007706AF">
        <w:rPr>
          <w:rFonts w:ascii="Times New Roman" w:hAnsi="Times New Roman" w:cs="Times New Roman"/>
        </w:rPr>
        <w:t xml:space="preserve">European leaders took a number of big steps </w:t>
      </w:r>
      <w:r w:rsidR="00DD184E" w:rsidRPr="007706AF">
        <w:rPr>
          <w:rFonts w:ascii="Times New Roman" w:hAnsi="Times New Roman" w:cs="Times New Roman"/>
        </w:rPr>
        <w:t>towards</w:t>
      </w:r>
      <w:r w:rsidRPr="007706AF">
        <w:rPr>
          <w:rFonts w:ascii="Times New Roman" w:hAnsi="Times New Roman" w:cs="Times New Roman"/>
        </w:rPr>
        <w:t xml:space="preserve"> fiscal integration, including: a European fiscal compact to maintain balanced budgets</w:t>
      </w:r>
      <w:r w:rsidR="00100855" w:rsidRPr="007706AF">
        <w:rPr>
          <w:rFonts w:ascii="Times New Roman" w:hAnsi="Times New Roman" w:cs="Times New Roman"/>
        </w:rPr>
        <w:t>,</w:t>
      </w:r>
      <w:r w:rsidRPr="007706AF">
        <w:rPr>
          <w:rFonts w:ascii="Times New Roman" w:hAnsi="Times New Roman" w:cs="Times New Roman"/>
          <w:vertAlign w:val="superscript"/>
        </w:rPr>
        <w:endnoteReference w:id="8"/>
      </w:r>
      <w:r w:rsidRPr="007706AF">
        <w:rPr>
          <w:rFonts w:ascii="Times New Roman" w:hAnsi="Times New Roman" w:cs="Times New Roman"/>
        </w:rPr>
        <w:t xml:space="preserve"> transparency rules that allow Brussels to </w:t>
      </w:r>
      <w:r w:rsidRPr="007706AF">
        <w:rPr>
          <w:rFonts w:ascii="Times New Roman" w:hAnsi="Times New Roman" w:cs="Times New Roman"/>
        </w:rPr>
        <w:lastRenderedPageBreak/>
        <w:t>monitor national budgets, a permanent European Stability Mechanism</w:t>
      </w:r>
      <w:r w:rsidR="00100855" w:rsidRPr="007706AF">
        <w:rPr>
          <w:rFonts w:ascii="Times New Roman" w:hAnsi="Times New Roman" w:cs="Times New Roman"/>
        </w:rPr>
        <w:t>,</w:t>
      </w:r>
      <w:r w:rsidRPr="007706AF">
        <w:rPr>
          <w:rFonts w:ascii="Times New Roman" w:hAnsi="Times New Roman" w:cs="Times New Roman"/>
          <w:vertAlign w:val="superscript"/>
        </w:rPr>
        <w:endnoteReference w:id="9"/>
      </w:r>
      <w:r w:rsidRPr="007706AF">
        <w:rPr>
          <w:rFonts w:ascii="Times New Roman" w:hAnsi="Times New Roman" w:cs="Times New Roman"/>
        </w:rPr>
        <w:t xml:space="preserve"> the eventual creation of a fiscal union, and increased powers to the European Central Bank.  Some even more far-reaching initiatives that would have never been discussed seriously before the crisis were also put on the table, such as: </w:t>
      </w:r>
      <w:r w:rsidR="004935B1" w:rsidRPr="007706AF">
        <w:rPr>
          <w:rFonts w:ascii="Times New Roman" w:hAnsi="Times New Roman" w:cs="Times New Roman"/>
        </w:rPr>
        <w:t xml:space="preserve">a banking union, </w:t>
      </w:r>
      <w:r w:rsidRPr="007706AF">
        <w:rPr>
          <w:rFonts w:ascii="Times New Roman" w:hAnsi="Times New Roman" w:cs="Times New Roman"/>
        </w:rPr>
        <w:t xml:space="preserve">a financial transaction tax, a European finance minister, Eurobonds, a mechanism to temporarily ban speculative trading, a ban on rating agencies addressing sovereign debt, a European monetary fund, and an EU rating agency.  </w:t>
      </w:r>
      <w:r w:rsidR="00100855" w:rsidRPr="007706AF">
        <w:rPr>
          <w:rFonts w:ascii="Times New Roman" w:hAnsi="Times New Roman" w:cs="Times New Roman"/>
        </w:rPr>
        <w:t xml:space="preserve">These far-ranging initiatives show that </w:t>
      </w:r>
      <w:r w:rsidRPr="007706AF">
        <w:rPr>
          <w:rFonts w:ascii="Times New Roman" w:hAnsi="Times New Roman" w:cs="Times New Roman"/>
        </w:rPr>
        <w:t xml:space="preserve">European leaders used the crisis as an opportunity </w:t>
      </w:r>
      <w:r w:rsidR="00DD184E" w:rsidRPr="007706AF">
        <w:rPr>
          <w:rFonts w:ascii="Times New Roman" w:hAnsi="Times New Roman" w:cs="Times New Roman"/>
        </w:rPr>
        <w:t>to find new areas of consensus</w:t>
      </w:r>
      <w:r w:rsidRPr="007706AF">
        <w:rPr>
          <w:rFonts w:ascii="Times New Roman" w:hAnsi="Times New Roman" w:cs="Times New Roman"/>
        </w:rPr>
        <w:t xml:space="preserve">.  As Germany’s finance minister, Wolfgang Schäuble, put it, </w:t>
      </w:r>
      <w:r w:rsidR="00B96B6D" w:rsidRPr="007706AF">
        <w:rPr>
          <w:rFonts w:ascii="Times New Roman" w:hAnsi="Times New Roman" w:cs="Times New Roman"/>
        </w:rPr>
        <w:t>‘</w:t>
      </w:r>
      <w:r w:rsidRPr="007706AF">
        <w:rPr>
          <w:rFonts w:ascii="Times New Roman" w:hAnsi="Times New Roman" w:cs="Times New Roman"/>
        </w:rPr>
        <w:t xml:space="preserve">We can get things done that we </w:t>
      </w:r>
      <w:r w:rsidR="00DC4047" w:rsidRPr="007706AF">
        <w:rPr>
          <w:rFonts w:ascii="Times New Roman" w:hAnsi="Times New Roman" w:cs="Times New Roman"/>
        </w:rPr>
        <w:t>could not do without the crisis</w:t>
      </w:r>
      <w:r w:rsidR="00B96B6D" w:rsidRPr="007706AF">
        <w:rPr>
          <w:rFonts w:ascii="Times New Roman" w:hAnsi="Times New Roman" w:cs="Times New Roman"/>
        </w:rPr>
        <w:t>’</w:t>
      </w:r>
      <w:r w:rsidR="00DC4047" w:rsidRPr="007706AF">
        <w:rPr>
          <w:rFonts w:ascii="Times New Roman" w:hAnsi="Times New Roman" w:cs="Times New Roman"/>
        </w:rPr>
        <w:t xml:space="preserve"> (Peel and Wiesmann 2011).</w:t>
      </w:r>
      <w:r w:rsidRPr="007706AF">
        <w:rPr>
          <w:rFonts w:ascii="Times New Roman" w:hAnsi="Times New Roman" w:cs="Times New Roman"/>
        </w:rPr>
        <w:t xml:space="preserve"> </w:t>
      </w:r>
      <w:r w:rsidR="00DC4047" w:rsidRPr="007706AF">
        <w:rPr>
          <w:rFonts w:ascii="Times New Roman" w:hAnsi="Times New Roman" w:cs="Times New Roman"/>
        </w:rPr>
        <w:t xml:space="preserve"> </w:t>
      </w:r>
      <w:r w:rsidRPr="007706AF">
        <w:rPr>
          <w:rFonts w:ascii="Times New Roman" w:hAnsi="Times New Roman" w:cs="Times New Roman"/>
        </w:rPr>
        <w:t xml:space="preserve">Before the crisis, talking about these various provisions would have been impossible, in large part because of underlying tensions.  Even uttering the words </w:t>
      </w:r>
      <w:r w:rsidR="00B96B6D" w:rsidRPr="007706AF">
        <w:rPr>
          <w:rFonts w:ascii="Times New Roman" w:hAnsi="Times New Roman" w:cs="Times New Roman"/>
        </w:rPr>
        <w:t>‘</w:t>
      </w:r>
      <w:r w:rsidRPr="007706AF">
        <w:rPr>
          <w:rFonts w:ascii="Times New Roman" w:hAnsi="Times New Roman" w:cs="Times New Roman"/>
        </w:rPr>
        <w:t>fiscal union</w:t>
      </w:r>
      <w:r w:rsidR="00B96B6D" w:rsidRPr="007706AF">
        <w:rPr>
          <w:rFonts w:ascii="Times New Roman" w:hAnsi="Times New Roman" w:cs="Times New Roman"/>
        </w:rPr>
        <w:t>’</w:t>
      </w:r>
      <w:r w:rsidRPr="007706AF">
        <w:rPr>
          <w:rFonts w:ascii="Times New Roman" w:hAnsi="Times New Roman" w:cs="Times New Roman"/>
        </w:rPr>
        <w:t xml:space="preserve"> would have caused deep alarm. </w:t>
      </w:r>
    </w:p>
    <w:p w14:paraId="0FEE3643" w14:textId="718EE3EB" w:rsidR="00251174" w:rsidRPr="007706AF" w:rsidRDefault="00100855" w:rsidP="00B33448">
      <w:pPr>
        <w:spacing w:line="480" w:lineRule="auto"/>
        <w:ind w:firstLine="720"/>
        <w:rPr>
          <w:rFonts w:ascii="Times New Roman" w:hAnsi="Times New Roman" w:cs="Times New Roman"/>
        </w:rPr>
      </w:pPr>
      <w:r w:rsidRPr="007706AF">
        <w:rPr>
          <w:rFonts w:ascii="Times New Roman" w:hAnsi="Times New Roman" w:cs="Times New Roman"/>
        </w:rPr>
        <w:t>W</w:t>
      </w:r>
      <w:r w:rsidR="00251174" w:rsidRPr="007706AF">
        <w:rPr>
          <w:rFonts w:ascii="Times New Roman" w:hAnsi="Times New Roman" w:cs="Times New Roman"/>
        </w:rPr>
        <w:t>hy did EU integration move forward so dramatically in th</w:t>
      </w:r>
      <w:r w:rsidRPr="007706AF">
        <w:rPr>
          <w:rFonts w:ascii="Times New Roman" w:hAnsi="Times New Roman" w:cs="Times New Roman"/>
        </w:rPr>
        <w:t>e w</w:t>
      </w:r>
      <w:r w:rsidR="00102F53" w:rsidRPr="007706AF">
        <w:rPr>
          <w:rFonts w:ascii="Times New Roman" w:hAnsi="Times New Roman" w:cs="Times New Roman"/>
        </w:rPr>
        <w:t>ake of such a severe crisis, and i</w:t>
      </w:r>
      <w:r w:rsidR="00251174" w:rsidRPr="007706AF">
        <w:rPr>
          <w:rFonts w:ascii="Times New Roman" w:hAnsi="Times New Roman" w:cs="Times New Roman"/>
        </w:rPr>
        <w:t xml:space="preserve">s catharsis part of the explanation?  </w:t>
      </w:r>
      <w:r w:rsidR="00102F53" w:rsidRPr="007706AF">
        <w:rPr>
          <w:rFonts w:ascii="Times New Roman" w:hAnsi="Times New Roman" w:cs="Times New Roman"/>
        </w:rPr>
        <w:t xml:space="preserve">Besides the fact that talk of North-South division has declined in the public narrative from its height during the crisis, it is also valuable to compare changes in North-South attitudes before (2008) and after (2013) the crisis.  </w:t>
      </w:r>
      <w:r w:rsidR="00251174" w:rsidRPr="007706AF">
        <w:rPr>
          <w:rFonts w:ascii="Times New Roman" w:hAnsi="Times New Roman" w:cs="Times New Roman"/>
        </w:rPr>
        <w:t xml:space="preserve">One important indicator of </w:t>
      </w:r>
      <w:r w:rsidR="00102F53" w:rsidRPr="007706AF">
        <w:rPr>
          <w:rFonts w:ascii="Times New Roman" w:hAnsi="Times New Roman" w:cs="Times New Roman"/>
        </w:rPr>
        <w:t>this</w:t>
      </w:r>
      <w:r w:rsidR="00251174" w:rsidRPr="007706AF">
        <w:rPr>
          <w:rFonts w:ascii="Times New Roman" w:hAnsi="Times New Roman" w:cs="Times New Roman"/>
        </w:rPr>
        <w:t xml:space="preserve"> is citizens’ </w:t>
      </w:r>
      <w:r w:rsidR="00B96B6D" w:rsidRPr="007706AF">
        <w:rPr>
          <w:rFonts w:ascii="Times New Roman" w:hAnsi="Times New Roman" w:cs="Times New Roman"/>
        </w:rPr>
        <w:t>‘</w:t>
      </w:r>
      <w:r w:rsidR="00251174" w:rsidRPr="007706AF">
        <w:rPr>
          <w:rFonts w:ascii="Times New Roman" w:hAnsi="Times New Roman" w:cs="Times New Roman"/>
        </w:rPr>
        <w:t>desired scope of European policy-making</w:t>
      </w:r>
      <w:r w:rsidR="00B96B6D" w:rsidRPr="007706AF">
        <w:rPr>
          <w:rFonts w:ascii="Times New Roman" w:hAnsi="Times New Roman" w:cs="Times New Roman"/>
        </w:rPr>
        <w:t>’</w:t>
      </w:r>
      <w:r w:rsidR="00425381" w:rsidRPr="007706AF">
        <w:rPr>
          <w:rFonts w:ascii="Times New Roman" w:hAnsi="Times New Roman" w:cs="Times New Roman"/>
        </w:rPr>
        <w:t xml:space="preserve"> (V</w:t>
      </w:r>
      <w:r w:rsidR="00425381" w:rsidRPr="007706AF">
        <w:t>ö</w:t>
      </w:r>
      <w:r w:rsidR="00425381" w:rsidRPr="007706AF">
        <w:rPr>
          <w:rFonts w:ascii="Times New Roman" w:hAnsi="Times New Roman" w:cs="Times New Roman"/>
        </w:rPr>
        <w:t>ssing 2005: 445--67).</w:t>
      </w:r>
      <w:r w:rsidR="00251174" w:rsidRPr="007706AF">
        <w:rPr>
          <w:rFonts w:ascii="Times New Roman" w:hAnsi="Times New Roman" w:cs="Times New Roman"/>
        </w:rPr>
        <w:t xml:space="preserve"> </w:t>
      </w:r>
      <w:r w:rsidR="00425381" w:rsidRPr="007706AF">
        <w:rPr>
          <w:rFonts w:ascii="Times New Roman" w:hAnsi="Times New Roman" w:cs="Times New Roman"/>
        </w:rPr>
        <w:t xml:space="preserve"> </w:t>
      </w:r>
      <w:r w:rsidR="00251174" w:rsidRPr="007706AF">
        <w:rPr>
          <w:rFonts w:ascii="Times New Roman" w:hAnsi="Times New Roman" w:cs="Times New Roman"/>
        </w:rPr>
        <w:t xml:space="preserve">The </w:t>
      </w:r>
      <w:r w:rsidR="00735D80" w:rsidRPr="007706AF">
        <w:rPr>
          <w:rFonts w:ascii="Times New Roman" w:hAnsi="Times New Roman" w:cs="Times New Roman"/>
        </w:rPr>
        <w:t>Spring</w:t>
      </w:r>
      <w:r w:rsidR="00251174" w:rsidRPr="007706AF">
        <w:rPr>
          <w:rFonts w:ascii="Times New Roman" w:hAnsi="Times New Roman" w:cs="Times New Roman"/>
        </w:rPr>
        <w:t xml:space="preserve"> 2008 Eu</w:t>
      </w:r>
      <w:r w:rsidR="00735D80" w:rsidRPr="007706AF">
        <w:rPr>
          <w:rFonts w:ascii="Times New Roman" w:hAnsi="Times New Roman" w:cs="Times New Roman"/>
        </w:rPr>
        <w:t>robarometer survey finds that 49</w:t>
      </w:r>
      <w:r w:rsidR="00B96B6D" w:rsidRPr="007706AF">
        <w:rPr>
          <w:rFonts w:ascii="Times New Roman" w:hAnsi="Times New Roman" w:cs="Times New Roman"/>
        </w:rPr>
        <w:t xml:space="preserve"> per cent</w:t>
      </w:r>
      <w:r w:rsidR="00251174" w:rsidRPr="007706AF">
        <w:rPr>
          <w:rFonts w:ascii="Times New Roman" w:hAnsi="Times New Roman" w:cs="Times New Roman"/>
        </w:rPr>
        <w:t xml:space="preserve"> of EU citizens thought that their own national government alone should make de</w:t>
      </w:r>
      <w:r w:rsidR="00735D80" w:rsidRPr="007706AF">
        <w:rPr>
          <w:rFonts w:ascii="Times New Roman" w:hAnsi="Times New Roman" w:cs="Times New Roman"/>
        </w:rPr>
        <w:t>cisions about the economy and 47</w:t>
      </w:r>
      <w:r w:rsidR="00B96B6D" w:rsidRPr="007706AF">
        <w:rPr>
          <w:rFonts w:ascii="Times New Roman" w:hAnsi="Times New Roman" w:cs="Times New Roman"/>
        </w:rPr>
        <w:t xml:space="preserve"> per cent</w:t>
      </w:r>
      <w:r w:rsidR="00251174" w:rsidRPr="007706AF">
        <w:rPr>
          <w:rFonts w:ascii="Times New Roman" w:hAnsi="Times New Roman" w:cs="Times New Roman"/>
        </w:rPr>
        <w:t xml:space="preserve"> thought that these decisions should be made jointly with the EU</w:t>
      </w:r>
      <w:r w:rsidR="00425381" w:rsidRPr="007706AF">
        <w:rPr>
          <w:rFonts w:ascii="Times New Roman" w:hAnsi="Times New Roman" w:cs="Times New Roman"/>
        </w:rPr>
        <w:t xml:space="preserve"> (Eurobarometer 2008: 8)</w:t>
      </w:r>
      <w:r w:rsidR="00251174" w:rsidRPr="007706AF">
        <w:rPr>
          <w:rFonts w:ascii="Times New Roman" w:hAnsi="Times New Roman" w:cs="Times New Roman"/>
        </w:rPr>
        <w:t xml:space="preserve">. </w:t>
      </w:r>
      <w:r w:rsidR="00425381" w:rsidRPr="007706AF">
        <w:rPr>
          <w:rFonts w:ascii="Times New Roman" w:hAnsi="Times New Roman" w:cs="Times New Roman"/>
        </w:rPr>
        <w:t xml:space="preserve"> </w:t>
      </w:r>
      <w:r w:rsidR="00251174" w:rsidRPr="007706AF">
        <w:rPr>
          <w:rFonts w:ascii="Times New Roman" w:hAnsi="Times New Roman" w:cs="Times New Roman"/>
        </w:rPr>
        <w:t xml:space="preserve">Table 1 breaks this down in terms of northern versus southern member states, and shows that before the crisis southern member states were generally </w:t>
      </w:r>
      <w:r w:rsidR="00251174" w:rsidRPr="007706AF">
        <w:rPr>
          <w:rFonts w:ascii="Times New Roman" w:hAnsi="Times New Roman" w:cs="Times New Roman"/>
          <w:i/>
        </w:rPr>
        <w:t>more</w:t>
      </w:r>
      <w:r w:rsidR="00251174" w:rsidRPr="007706AF">
        <w:rPr>
          <w:rFonts w:ascii="Times New Roman" w:hAnsi="Times New Roman" w:cs="Times New Roman"/>
        </w:rPr>
        <w:t xml:space="preserve"> in favor of EU economic integration than northe</w:t>
      </w:r>
      <w:r w:rsidR="00102F53" w:rsidRPr="007706AF">
        <w:rPr>
          <w:rFonts w:ascii="Times New Roman" w:hAnsi="Times New Roman" w:cs="Times New Roman"/>
        </w:rPr>
        <w:t>rn member states</w:t>
      </w:r>
      <w:r w:rsidR="00F65275" w:rsidRPr="007706AF">
        <w:rPr>
          <w:rFonts w:ascii="Times New Roman" w:hAnsi="Times New Roman" w:cs="Times New Roman"/>
        </w:rPr>
        <w:t xml:space="preserve"> were</w:t>
      </w:r>
      <w:r w:rsidR="00102F53" w:rsidRPr="007706AF">
        <w:rPr>
          <w:rFonts w:ascii="Times New Roman" w:hAnsi="Times New Roman" w:cs="Times New Roman"/>
        </w:rPr>
        <w:t>.  Thus, there wa</w:t>
      </w:r>
      <w:r w:rsidR="00251174" w:rsidRPr="007706AF">
        <w:rPr>
          <w:rFonts w:ascii="Times New Roman" w:hAnsi="Times New Roman" w:cs="Times New Roman"/>
        </w:rPr>
        <w:t>s a clear difference in northern and southern views on this issue.</w:t>
      </w:r>
    </w:p>
    <w:p w14:paraId="472E0080" w14:textId="090D3DEE" w:rsidR="00733DF6" w:rsidRPr="007706AF" w:rsidRDefault="00733DF6" w:rsidP="00733DF6">
      <w:pPr>
        <w:spacing w:line="480" w:lineRule="auto"/>
        <w:rPr>
          <w:rFonts w:ascii="Times New Roman" w:hAnsi="Times New Roman" w:cs="Times New Roman"/>
          <w:b/>
        </w:rPr>
      </w:pPr>
      <w:r w:rsidRPr="007706AF">
        <w:rPr>
          <w:rFonts w:ascii="Times New Roman" w:hAnsi="Times New Roman" w:cs="Times New Roman"/>
          <w:b/>
        </w:rPr>
        <w:lastRenderedPageBreak/>
        <w:t>Table 1. Desired Scope of European policy-making 2008 (Eurobarometer)</w:t>
      </w:r>
    </w:p>
    <w:p w14:paraId="4AD61BD2" w14:textId="77777777" w:rsidR="00733DF6" w:rsidRPr="007706AF" w:rsidRDefault="00733DF6" w:rsidP="00733DF6">
      <w:pPr>
        <w:ind w:left="720"/>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2178"/>
        <w:gridCol w:w="1620"/>
        <w:gridCol w:w="1980"/>
      </w:tblGrid>
      <w:tr w:rsidR="00733DF6" w:rsidRPr="007706AF" w14:paraId="7026DAA9" w14:textId="77777777" w:rsidTr="00CE568F">
        <w:tc>
          <w:tcPr>
            <w:tcW w:w="2178" w:type="dxa"/>
          </w:tcPr>
          <w:p w14:paraId="12F621A8" w14:textId="77777777" w:rsidR="00733DF6" w:rsidRPr="007706AF" w:rsidRDefault="00733DF6" w:rsidP="00CE568F">
            <w:pPr>
              <w:rPr>
                <w:rFonts w:ascii="Times New Roman" w:hAnsi="Times New Roman" w:cs="Times New Roman"/>
                <w:b/>
              </w:rPr>
            </w:pPr>
          </w:p>
        </w:tc>
        <w:tc>
          <w:tcPr>
            <w:tcW w:w="1620" w:type="dxa"/>
          </w:tcPr>
          <w:p w14:paraId="0775DFC2" w14:textId="77777777" w:rsidR="00733DF6" w:rsidRPr="007706AF" w:rsidRDefault="00733DF6" w:rsidP="00CE568F">
            <w:pPr>
              <w:rPr>
                <w:rFonts w:ascii="Times New Roman" w:hAnsi="Times New Roman" w:cs="Times New Roman"/>
                <w:b/>
              </w:rPr>
            </w:pPr>
            <w:r w:rsidRPr="007706AF">
              <w:rPr>
                <w:rFonts w:ascii="Times New Roman" w:hAnsi="Times New Roman" w:cs="Times New Roman"/>
                <w:b/>
              </w:rPr>
              <w:t>Economic decisions should be made at the national level</w:t>
            </w:r>
          </w:p>
        </w:tc>
        <w:tc>
          <w:tcPr>
            <w:tcW w:w="1980" w:type="dxa"/>
          </w:tcPr>
          <w:p w14:paraId="5015D205" w14:textId="77777777" w:rsidR="00733DF6" w:rsidRPr="007706AF" w:rsidRDefault="00733DF6" w:rsidP="00CE568F">
            <w:pPr>
              <w:rPr>
                <w:rFonts w:ascii="Times New Roman" w:hAnsi="Times New Roman" w:cs="Times New Roman"/>
                <w:b/>
              </w:rPr>
            </w:pPr>
            <w:r w:rsidRPr="007706AF">
              <w:rPr>
                <w:rFonts w:ascii="Times New Roman" w:hAnsi="Times New Roman" w:cs="Times New Roman"/>
                <w:b/>
              </w:rPr>
              <w:t>Economic decisions should be made jointly with the EU</w:t>
            </w:r>
          </w:p>
        </w:tc>
      </w:tr>
      <w:tr w:rsidR="00733DF6" w:rsidRPr="007706AF" w14:paraId="0BC6B10E" w14:textId="77777777" w:rsidTr="00CE568F">
        <w:tc>
          <w:tcPr>
            <w:tcW w:w="5778" w:type="dxa"/>
            <w:gridSpan w:val="3"/>
          </w:tcPr>
          <w:p w14:paraId="1D9F853A" w14:textId="77777777" w:rsidR="00733DF6" w:rsidRPr="007706AF" w:rsidRDefault="00733DF6" w:rsidP="00CE568F">
            <w:pPr>
              <w:rPr>
                <w:rFonts w:ascii="Times New Roman" w:hAnsi="Times New Roman" w:cs="Times New Roman"/>
              </w:rPr>
            </w:pPr>
            <w:r w:rsidRPr="007706AF">
              <w:rPr>
                <w:rFonts w:ascii="Times New Roman" w:hAnsi="Times New Roman" w:cs="Times New Roman"/>
                <w:b/>
              </w:rPr>
              <w:t>Core southern member states</w:t>
            </w:r>
          </w:p>
        </w:tc>
      </w:tr>
      <w:tr w:rsidR="00733DF6" w:rsidRPr="007706AF" w14:paraId="3A675FDB" w14:textId="77777777" w:rsidTr="00CE568F">
        <w:tc>
          <w:tcPr>
            <w:tcW w:w="2178" w:type="dxa"/>
          </w:tcPr>
          <w:p w14:paraId="6083154A"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Greece</w:t>
            </w:r>
          </w:p>
        </w:tc>
        <w:tc>
          <w:tcPr>
            <w:tcW w:w="1620" w:type="dxa"/>
          </w:tcPr>
          <w:p w14:paraId="1FD4A25C"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54</w:t>
            </w:r>
          </w:p>
        </w:tc>
        <w:tc>
          <w:tcPr>
            <w:tcW w:w="1980" w:type="dxa"/>
          </w:tcPr>
          <w:p w14:paraId="3B655B2B"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46</w:t>
            </w:r>
          </w:p>
        </w:tc>
      </w:tr>
      <w:tr w:rsidR="00733DF6" w:rsidRPr="007706AF" w14:paraId="5B17359A" w14:textId="77777777" w:rsidTr="00CE568F">
        <w:tc>
          <w:tcPr>
            <w:tcW w:w="2178" w:type="dxa"/>
          </w:tcPr>
          <w:p w14:paraId="2AD5293B"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Spain</w:t>
            </w:r>
          </w:p>
        </w:tc>
        <w:tc>
          <w:tcPr>
            <w:tcW w:w="1620" w:type="dxa"/>
          </w:tcPr>
          <w:p w14:paraId="4E9B79A6"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44</w:t>
            </w:r>
          </w:p>
        </w:tc>
        <w:tc>
          <w:tcPr>
            <w:tcW w:w="1980" w:type="dxa"/>
          </w:tcPr>
          <w:p w14:paraId="3D96BE81"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49</w:t>
            </w:r>
          </w:p>
        </w:tc>
      </w:tr>
      <w:tr w:rsidR="00733DF6" w:rsidRPr="007706AF" w14:paraId="7484DA13" w14:textId="77777777" w:rsidTr="00CE568F">
        <w:tc>
          <w:tcPr>
            <w:tcW w:w="2178" w:type="dxa"/>
          </w:tcPr>
          <w:p w14:paraId="24702D83"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Portugal</w:t>
            </w:r>
          </w:p>
        </w:tc>
        <w:tc>
          <w:tcPr>
            <w:tcW w:w="1620" w:type="dxa"/>
          </w:tcPr>
          <w:p w14:paraId="7E8EC8E3"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45</w:t>
            </w:r>
          </w:p>
        </w:tc>
        <w:tc>
          <w:tcPr>
            <w:tcW w:w="1980" w:type="dxa"/>
          </w:tcPr>
          <w:p w14:paraId="46BDA58D"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50</w:t>
            </w:r>
          </w:p>
        </w:tc>
      </w:tr>
      <w:tr w:rsidR="00733DF6" w:rsidRPr="007706AF" w14:paraId="6B9662FC" w14:textId="77777777" w:rsidTr="00CE568F">
        <w:tc>
          <w:tcPr>
            <w:tcW w:w="2178" w:type="dxa"/>
          </w:tcPr>
          <w:p w14:paraId="27AF1286"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 xml:space="preserve">Cyprus </w:t>
            </w:r>
          </w:p>
        </w:tc>
        <w:tc>
          <w:tcPr>
            <w:tcW w:w="1620" w:type="dxa"/>
          </w:tcPr>
          <w:p w14:paraId="02666FD5"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32</w:t>
            </w:r>
          </w:p>
        </w:tc>
        <w:tc>
          <w:tcPr>
            <w:tcW w:w="1980" w:type="dxa"/>
          </w:tcPr>
          <w:p w14:paraId="2EDCE6FE"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65</w:t>
            </w:r>
          </w:p>
        </w:tc>
      </w:tr>
      <w:tr w:rsidR="00733DF6" w:rsidRPr="007706AF" w14:paraId="603D6375" w14:textId="77777777" w:rsidTr="00CE568F">
        <w:tc>
          <w:tcPr>
            <w:tcW w:w="2178" w:type="dxa"/>
          </w:tcPr>
          <w:p w14:paraId="03603DAF"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Italy</w:t>
            </w:r>
          </w:p>
        </w:tc>
        <w:tc>
          <w:tcPr>
            <w:tcW w:w="1620" w:type="dxa"/>
          </w:tcPr>
          <w:p w14:paraId="1E2B17DA"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40</w:t>
            </w:r>
          </w:p>
        </w:tc>
        <w:tc>
          <w:tcPr>
            <w:tcW w:w="1980" w:type="dxa"/>
          </w:tcPr>
          <w:p w14:paraId="763EBF4A"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53</w:t>
            </w:r>
          </w:p>
        </w:tc>
      </w:tr>
      <w:tr w:rsidR="00733DF6" w:rsidRPr="007706AF" w14:paraId="7DF2136C" w14:textId="77777777" w:rsidTr="00CE568F">
        <w:tc>
          <w:tcPr>
            <w:tcW w:w="2178" w:type="dxa"/>
          </w:tcPr>
          <w:p w14:paraId="2E1D56CC" w14:textId="77777777" w:rsidR="00733DF6" w:rsidRPr="007706AF" w:rsidRDefault="00733DF6" w:rsidP="00CE568F">
            <w:pPr>
              <w:rPr>
                <w:rFonts w:ascii="Times New Roman" w:hAnsi="Times New Roman" w:cs="Times New Roman"/>
                <w:b/>
              </w:rPr>
            </w:pPr>
            <w:r w:rsidRPr="007706AF">
              <w:rPr>
                <w:rFonts w:ascii="Times New Roman" w:hAnsi="Times New Roman" w:cs="Times New Roman"/>
                <w:b/>
              </w:rPr>
              <w:t>Average South</w:t>
            </w:r>
          </w:p>
        </w:tc>
        <w:tc>
          <w:tcPr>
            <w:tcW w:w="1620" w:type="dxa"/>
          </w:tcPr>
          <w:p w14:paraId="36979B0A"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43</w:t>
            </w:r>
          </w:p>
        </w:tc>
        <w:tc>
          <w:tcPr>
            <w:tcW w:w="1980" w:type="dxa"/>
          </w:tcPr>
          <w:p w14:paraId="71239AAF"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52.6</w:t>
            </w:r>
          </w:p>
        </w:tc>
      </w:tr>
      <w:tr w:rsidR="00733DF6" w:rsidRPr="007706AF" w14:paraId="10652879" w14:textId="77777777" w:rsidTr="00CE568F">
        <w:tc>
          <w:tcPr>
            <w:tcW w:w="5778" w:type="dxa"/>
            <w:gridSpan w:val="3"/>
          </w:tcPr>
          <w:p w14:paraId="4AE00D25" w14:textId="77777777" w:rsidR="00733DF6" w:rsidRPr="007706AF" w:rsidRDefault="00733DF6" w:rsidP="00CE568F">
            <w:pPr>
              <w:rPr>
                <w:rFonts w:ascii="Times New Roman" w:hAnsi="Times New Roman" w:cs="Times New Roman"/>
                <w:b/>
              </w:rPr>
            </w:pPr>
          </w:p>
        </w:tc>
      </w:tr>
      <w:tr w:rsidR="00733DF6" w:rsidRPr="007706AF" w14:paraId="71B4BC88" w14:textId="77777777" w:rsidTr="00CE568F">
        <w:tc>
          <w:tcPr>
            <w:tcW w:w="5778" w:type="dxa"/>
            <w:gridSpan w:val="3"/>
          </w:tcPr>
          <w:p w14:paraId="13CE703E" w14:textId="77777777" w:rsidR="00733DF6" w:rsidRPr="007706AF" w:rsidRDefault="00733DF6" w:rsidP="00CE568F">
            <w:pPr>
              <w:rPr>
                <w:rFonts w:ascii="Times New Roman" w:hAnsi="Times New Roman" w:cs="Times New Roman"/>
              </w:rPr>
            </w:pPr>
            <w:r w:rsidRPr="007706AF">
              <w:rPr>
                <w:rFonts w:ascii="Times New Roman" w:hAnsi="Times New Roman" w:cs="Times New Roman"/>
                <w:b/>
              </w:rPr>
              <w:t>Core northern member states</w:t>
            </w:r>
          </w:p>
        </w:tc>
      </w:tr>
      <w:tr w:rsidR="00733DF6" w:rsidRPr="007706AF" w14:paraId="6CBB9248" w14:textId="77777777" w:rsidTr="00CE568F">
        <w:tc>
          <w:tcPr>
            <w:tcW w:w="2178" w:type="dxa"/>
          </w:tcPr>
          <w:p w14:paraId="3DB1AE95"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Austria</w:t>
            </w:r>
          </w:p>
        </w:tc>
        <w:tc>
          <w:tcPr>
            <w:tcW w:w="1620" w:type="dxa"/>
          </w:tcPr>
          <w:p w14:paraId="648369A9"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49</w:t>
            </w:r>
          </w:p>
        </w:tc>
        <w:tc>
          <w:tcPr>
            <w:tcW w:w="1980" w:type="dxa"/>
          </w:tcPr>
          <w:p w14:paraId="207968F0"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47</w:t>
            </w:r>
          </w:p>
        </w:tc>
      </w:tr>
      <w:tr w:rsidR="00733DF6" w:rsidRPr="007706AF" w14:paraId="57E53713" w14:textId="77777777" w:rsidTr="00CE568F">
        <w:tc>
          <w:tcPr>
            <w:tcW w:w="2178" w:type="dxa"/>
          </w:tcPr>
          <w:p w14:paraId="72E7BEDA"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Germany</w:t>
            </w:r>
          </w:p>
        </w:tc>
        <w:tc>
          <w:tcPr>
            <w:tcW w:w="1620" w:type="dxa"/>
          </w:tcPr>
          <w:p w14:paraId="3F91A436"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68</w:t>
            </w:r>
          </w:p>
        </w:tc>
        <w:tc>
          <w:tcPr>
            <w:tcW w:w="1980" w:type="dxa"/>
          </w:tcPr>
          <w:p w14:paraId="51557E90"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29</w:t>
            </w:r>
          </w:p>
        </w:tc>
      </w:tr>
      <w:tr w:rsidR="00733DF6" w:rsidRPr="007706AF" w14:paraId="5D5062ED" w14:textId="77777777" w:rsidTr="00CE568F">
        <w:tc>
          <w:tcPr>
            <w:tcW w:w="2178" w:type="dxa"/>
          </w:tcPr>
          <w:p w14:paraId="0F7EA8CD"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Finland</w:t>
            </w:r>
          </w:p>
        </w:tc>
        <w:tc>
          <w:tcPr>
            <w:tcW w:w="1620" w:type="dxa"/>
          </w:tcPr>
          <w:p w14:paraId="091E6C3C"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76</w:t>
            </w:r>
          </w:p>
        </w:tc>
        <w:tc>
          <w:tcPr>
            <w:tcW w:w="1980" w:type="dxa"/>
          </w:tcPr>
          <w:p w14:paraId="6F2AF044"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23</w:t>
            </w:r>
          </w:p>
        </w:tc>
      </w:tr>
      <w:tr w:rsidR="00733DF6" w:rsidRPr="007706AF" w14:paraId="3085DB37" w14:textId="77777777" w:rsidTr="00CE568F">
        <w:tc>
          <w:tcPr>
            <w:tcW w:w="2178" w:type="dxa"/>
          </w:tcPr>
          <w:p w14:paraId="6FF0129C"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Netherlands</w:t>
            </w:r>
          </w:p>
        </w:tc>
        <w:tc>
          <w:tcPr>
            <w:tcW w:w="1620" w:type="dxa"/>
          </w:tcPr>
          <w:p w14:paraId="6806D5D1"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44</w:t>
            </w:r>
          </w:p>
        </w:tc>
        <w:tc>
          <w:tcPr>
            <w:tcW w:w="1980" w:type="dxa"/>
          </w:tcPr>
          <w:p w14:paraId="6945A989"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55</w:t>
            </w:r>
          </w:p>
        </w:tc>
      </w:tr>
      <w:tr w:rsidR="00733DF6" w:rsidRPr="007706AF" w14:paraId="70BB9287" w14:textId="77777777" w:rsidTr="00CE568F">
        <w:tc>
          <w:tcPr>
            <w:tcW w:w="2178" w:type="dxa"/>
          </w:tcPr>
          <w:p w14:paraId="1A379CC8" w14:textId="77777777" w:rsidR="00733DF6" w:rsidRPr="007706AF" w:rsidRDefault="00733DF6" w:rsidP="00CE568F">
            <w:pPr>
              <w:rPr>
                <w:rFonts w:ascii="Times New Roman" w:hAnsi="Times New Roman" w:cs="Times New Roman"/>
                <w:b/>
              </w:rPr>
            </w:pPr>
            <w:r w:rsidRPr="007706AF">
              <w:rPr>
                <w:rFonts w:ascii="Times New Roman" w:hAnsi="Times New Roman" w:cs="Times New Roman"/>
                <w:b/>
              </w:rPr>
              <w:t>Average North</w:t>
            </w:r>
          </w:p>
        </w:tc>
        <w:tc>
          <w:tcPr>
            <w:tcW w:w="1620" w:type="dxa"/>
          </w:tcPr>
          <w:p w14:paraId="6286694A"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59.25</w:t>
            </w:r>
          </w:p>
        </w:tc>
        <w:tc>
          <w:tcPr>
            <w:tcW w:w="1980" w:type="dxa"/>
          </w:tcPr>
          <w:p w14:paraId="59822468"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38.5</w:t>
            </w:r>
          </w:p>
        </w:tc>
      </w:tr>
    </w:tbl>
    <w:p w14:paraId="66F142B2" w14:textId="77777777" w:rsidR="00733DF6" w:rsidRPr="007706AF" w:rsidRDefault="00733DF6" w:rsidP="00733DF6">
      <w:pPr>
        <w:ind w:firstLine="720"/>
        <w:rPr>
          <w:rFonts w:ascii="Times New Roman" w:hAnsi="Times New Roman" w:cs="Times New Roman"/>
        </w:rPr>
      </w:pPr>
    </w:p>
    <w:p w14:paraId="0F413F0F" w14:textId="1AB6D446" w:rsidR="00251174" w:rsidRPr="007706AF" w:rsidRDefault="00251174" w:rsidP="00B33448">
      <w:pPr>
        <w:spacing w:line="480" w:lineRule="auto"/>
        <w:ind w:firstLine="720"/>
        <w:rPr>
          <w:rFonts w:ascii="Times New Roman" w:hAnsi="Times New Roman" w:cs="Times New Roman"/>
        </w:rPr>
      </w:pPr>
      <w:r w:rsidRPr="007706AF">
        <w:rPr>
          <w:rFonts w:ascii="Times New Roman" w:hAnsi="Times New Roman" w:cs="Times New Roman"/>
        </w:rPr>
        <w:t xml:space="preserve">Did this change after the crisis?  The Eurobarometer survey stopped asking exactly the same question, but a </w:t>
      </w:r>
      <w:r w:rsidR="00607B3F" w:rsidRPr="007706AF">
        <w:rPr>
          <w:rFonts w:ascii="Times New Roman" w:hAnsi="Times New Roman" w:cs="Times New Roman"/>
        </w:rPr>
        <w:t>related</w:t>
      </w:r>
      <w:r w:rsidRPr="007706AF">
        <w:rPr>
          <w:rFonts w:ascii="Times New Roman" w:hAnsi="Times New Roman" w:cs="Times New Roman"/>
        </w:rPr>
        <w:t xml:space="preserve"> question posed in Autumn 2013 is: </w:t>
      </w:r>
      <w:r w:rsidRPr="007706AF">
        <w:rPr>
          <w:rFonts w:ascii="Times New Roman" w:hAnsi="Times New Roman" w:cs="Times New Roman"/>
          <w:i/>
        </w:rPr>
        <w:t>What is the most effective level to tackle the crisis?</w:t>
      </w:r>
      <w:r w:rsidRPr="007706AF">
        <w:rPr>
          <w:rFonts w:ascii="Times New Roman" w:hAnsi="Times New Roman" w:cs="Times New Roman"/>
          <w:b/>
        </w:rPr>
        <w:t xml:space="preserve">  </w:t>
      </w:r>
      <w:r w:rsidRPr="007706AF">
        <w:rPr>
          <w:rFonts w:ascii="Times New Roman" w:hAnsi="Times New Roman" w:cs="Times New Roman"/>
        </w:rPr>
        <w:t xml:space="preserve">Overall, EU citizens stated that the EU is </w:t>
      </w:r>
      <w:r w:rsidR="00B96B6D" w:rsidRPr="007706AF">
        <w:rPr>
          <w:rFonts w:ascii="Times New Roman" w:hAnsi="Times New Roman" w:cs="Times New Roman"/>
        </w:rPr>
        <w:t>‘</w:t>
      </w:r>
      <w:r w:rsidRPr="007706AF">
        <w:rPr>
          <w:rFonts w:ascii="Times New Roman" w:hAnsi="Times New Roman" w:cs="Times New Roman"/>
        </w:rPr>
        <w:t>best able to take effective action against the effects of the financial and economic crisis</w:t>
      </w:r>
      <w:r w:rsidR="00B96B6D" w:rsidRPr="007706AF">
        <w:rPr>
          <w:rFonts w:ascii="Times New Roman" w:hAnsi="Times New Roman" w:cs="Times New Roman"/>
        </w:rPr>
        <w:t>’</w:t>
      </w:r>
      <w:r w:rsidR="00425381" w:rsidRPr="007706AF">
        <w:rPr>
          <w:rFonts w:ascii="Times New Roman" w:hAnsi="Times New Roman" w:cs="Times New Roman"/>
        </w:rPr>
        <w:t xml:space="preserve"> (Eurobarometer 2013: 29).</w:t>
      </w:r>
      <w:r w:rsidRPr="007706AF">
        <w:rPr>
          <w:rFonts w:ascii="Times New Roman" w:hAnsi="Times New Roman" w:cs="Times New Roman"/>
        </w:rPr>
        <w:t xml:space="preserve"> </w:t>
      </w:r>
      <w:r w:rsidR="00425381" w:rsidRPr="007706AF">
        <w:rPr>
          <w:rFonts w:ascii="Times New Roman" w:hAnsi="Times New Roman" w:cs="Times New Roman"/>
        </w:rPr>
        <w:t xml:space="preserve"> </w:t>
      </w:r>
      <w:r w:rsidRPr="007706AF">
        <w:rPr>
          <w:rFonts w:ascii="Times New Roman" w:hAnsi="Times New Roman" w:cs="Times New Roman"/>
        </w:rPr>
        <w:t xml:space="preserve">Table 2 shows how this breaks down in terms of northern versus southern views.  The percentages appear low because respondents were given a list of </w:t>
      </w:r>
      <w:r w:rsidR="00721770" w:rsidRPr="007706AF">
        <w:rPr>
          <w:rFonts w:ascii="Times New Roman" w:hAnsi="Times New Roman" w:cs="Times New Roman"/>
        </w:rPr>
        <w:t xml:space="preserve">several </w:t>
      </w:r>
      <w:r w:rsidRPr="007706AF">
        <w:rPr>
          <w:rFonts w:ascii="Times New Roman" w:hAnsi="Times New Roman" w:cs="Times New Roman"/>
        </w:rPr>
        <w:t xml:space="preserve">options beyond </w:t>
      </w:r>
      <w:r w:rsidR="00721770" w:rsidRPr="007706AF">
        <w:rPr>
          <w:rFonts w:ascii="Times New Roman" w:hAnsi="Times New Roman" w:cs="Times New Roman"/>
        </w:rPr>
        <w:t xml:space="preserve">just </w:t>
      </w:r>
      <w:r w:rsidRPr="007706AF">
        <w:rPr>
          <w:rFonts w:ascii="Times New Roman" w:hAnsi="Times New Roman" w:cs="Times New Roman"/>
        </w:rPr>
        <w:t>national vs. EU in answering the question, but the significant finding is that in 2013 there is</w:t>
      </w:r>
      <w:r w:rsidRPr="007706AF">
        <w:rPr>
          <w:rFonts w:ascii="Times New Roman" w:hAnsi="Times New Roman" w:cs="Times New Roman"/>
          <w:i/>
        </w:rPr>
        <w:t xml:space="preserve"> almost no difference in attitudes</w:t>
      </w:r>
      <w:r w:rsidRPr="007706AF">
        <w:rPr>
          <w:rFonts w:ascii="Times New Roman" w:hAnsi="Times New Roman" w:cs="Times New Roman"/>
        </w:rPr>
        <w:t xml:space="preserve"> between northern and southern citizens.  This is a clear change from the answers they gave in 2008 to a similar question.  In short, </w:t>
      </w:r>
      <w:r w:rsidR="00FB0ED8" w:rsidRPr="007706AF">
        <w:rPr>
          <w:rFonts w:ascii="Times New Roman" w:hAnsi="Times New Roman" w:cs="Times New Roman"/>
        </w:rPr>
        <w:t xml:space="preserve">after the </w:t>
      </w:r>
      <w:r w:rsidR="00CB4D07" w:rsidRPr="007706AF">
        <w:rPr>
          <w:rFonts w:ascii="Times New Roman" w:hAnsi="Times New Roman" w:cs="Times New Roman"/>
        </w:rPr>
        <w:t>worst of the</w:t>
      </w:r>
      <w:r w:rsidR="00FB0ED8" w:rsidRPr="007706AF">
        <w:rPr>
          <w:rFonts w:ascii="Times New Roman" w:hAnsi="Times New Roman" w:cs="Times New Roman"/>
        </w:rPr>
        <w:t xml:space="preserve"> crisis</w:t>
      </w:r>
      <w:r w:rsidR="00CB4D07" w:rsidRPr="007706AF">
        <w:rPr>
          <w:rFonts w:ascii="Times New Roman" w:hAnsi="Times New Roman" w:cs="Times New Roman"/>
        </w:rPr>
        <w:t xml:space="preserve"> was over</w:t>
      </w:r>
      <w:r w:rsidR="00FB0ED8" w:rsidRPr="007706AF">
        <w:rPr>
          <w:rFonts w:ascii="Times New Roman" w:hAnsi="Times New Roman" w:cs="Times New Roman"/>
        </w:rPr>
        <w:t>,</w:t>
      </w:r>
      <w:r w:rsidRPr="007706AF">
        <w:rPr>
          <w:rFonts w:ascii="Times New Roman" w:hAnsi="Times New Roman" w:cs="Times New Roman"/>
        </w:rPr>
        <w:t xml:space="preserve"> northern and southern member states </w:t>
      </w:r>
      <w:r w:rsidRPr="007706AF">
        <w:rPr>
          <w:rFonts w:ascii="Times New Roman" w:hAnsi="Times New Roman" w:cs="Times New Roman"/>
          <w:i/>
        </w:rPr>
        <w:t>converged</w:t>
      </w:r>
      <w:r w:rsidRPr="007706AF">
        <w:rPr>
          <w:rFonts w:ascii="Times New Roman" w:hAnsi="Times New Roman" w:cs="Times New Roman"/>
        </w:rPr>
        <w:t xml:space="preserve"> in their views on the question of whether the national or EU level is best at dealing with the economy, and they rank the EU first.</w:t>
      </w:r>
    </w:p>
    <w:p w14:paraId="0F79E5CB" w14:textId="77777777" w:rsidR="00733DF6" w:rsidRPr="007706AF" w:rsidRDefault="00251174" w:rsidP="00B33448">
      <w:pPr>
        <w:spacing w:line="480" w:lineRule="auto"/>
        <w:rPr>
          <w:rFonts w:ascii="Times New Roman" w:hAnsi="Times New Roman" w:cs="Times New Roman"/>
        </w:rPr>
      </w:pPr>
      <w:r w:rsidRPr="007706AF">
        <w:rPr>
          <w:rFonts w:ascii="Times New Roman" w:hAnsi="Times New Roman" w:cs="Times New Roman"/>
        </w:rPr>
        <w:tab/>
      </w:r>
    </w:p>
    <w:p w14:paraId="6EA4FC7B" w14:textId="77777777" w:rsidR="00733DF6" w:rsidRPr="007706AF" w:rsidRDefault="00733DF6" w:rsidP="00733DF6">
      <w:pPr>
        <w:rPr>
          <w:rFonts w:ascii="Times New Roman" w:hAnsi="Times New Roman" w:cs="Times New Roman"/>
          <w:b/>
        </w:rPr>
      </w:pPr>
      <w:r w:rsidRPr="007706AF">
        <w:rPr>
          <w:rFonts w:ascii="Times New Roman" w:hAnsi="Times New Roman" w:cs="Times New Roman"/>
          <w:b/>
        </w:rPr>
        <w:lastRenderedPageBreak/>
        <w:t>Table 2. The Most Effective Level to Tackle the Crisis 2013 (Eurobarometer Annex: 10)</w:t>
      </w:r>
      <w:r w:rsidRPr="007706AF">
        <w:rPr>
          <w:rStyle w:val="EndnoteReference"/>
          <w:rFonts w:ascii="Times New Roman" w:hAnsi="Times New Roman" w:cs="Times New Roman"/>
          <w:b/>
        </w:rPr>
        <w:endnoteReference w:id="10"/>
      </w:r>
      <w:r w:rsidRPr="007706AF">
        <w:rPr>
          <w:rFonts w:ascii="Times New Roman" w:hAnsi="Times New Roman" w:cs="Times New Roman"/>
          <w:b/>
        </w:rPr>
        <w:t xml:space="preserve"> </w:t>
      </w:r>
    </w:p>
    <w:p w14:paraId="4A76E9E0" w14:textId="77777777" w:rsidR="00733DF6" w:rsidRPr="007706AF" w:rsidRDefault="00733DF6" w:rsidP="00733DF6">
      <w:pPr>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2178"/>
        <w:gridCol w:w="1620"/>
        <w:gridCol w:w="1530"/>
      </w:tblGrid>
      <w:tr w:rsidR="00733DF6" w:rsidRPr="007706AF" w14:paraId="7FA97E55" w14:textId="77777777" w:rsidTr="00CE568F">
        <w:tc>
          <w:tcPr>
            <w:tcW w:w="2178" w:type="dxa"/>
          </w:tcPr>
          <w:p w14:paraId="4EF7257E" w14:textId="77777777" w:rsidR="00733DF6" w:rsidRPr="007706AF" w:rsidRDefault="00733DF6" w:rsidP="00CE568F">
            <w:pPr>
              <w:rPr>
                <w:rFonts w:ascii="Times New Roman" w:hAnsi="Times New Roman" w:cs="Times New Roman"/>
                <w:b/>
              </w:rPr>
            </w:pPr>
          </w:p>
        </w:tc>
        <w:tc>
          <w:tcPr>
            <w:tcW w:w="1620" w:type="dxa"/>
          </w:tcPr>
          <w:p w14:paraId="7A663AEC" w14:textId="77777777" w:rsidR="00733DF6" w:rsidRPr="007706AF" w:rsidRDefault="00733DF6" w:rsidP="00CE568F">
            <w:pPr>
              <w:rPr>
                <w:rFonts w:ascii="Times New Roman" w:hAnsi="Times New Roman" w:cs="Times New Roman"/>
                <w:b/>
              </w:rPr>
            </w:pPr>
            <w:r w:rsidRPr="007706AF">
              <w:rPr>
                <w:rFonts w:ascii="Times New Roman" w:hAnsi="Times New Roman" w:cs="Times New Roman"/>
                <w:b/>
              </w:rPr>
              <w:t>National</w:t>
            </w:r>
          </w:p>
        </w:tc>
        <w:tc>
          <w:tcPr>
            <w:tcW w:w="1530" w:type="dxa"/>
          </w:tcPr>
          <w:p w14:paraId="3EEF5C02" w14:textId="77777777" w:rsidR="00733DF6" w:rsidRPr="007706AF" w:rsidRDefault="00733DF6" w:rsidP="00CE568F">
            <w:pPr>
              <w:rPr>
                <w:rFonts w:ascii="Times New Roman" w:hAnsi="Times New Roman" w:cs="Times New Roman"/>
                <w:b/>
              </w:rPr>
            </w:pPr>
            <w:r w:rsidRPr="007706AF">
              <w:rPr>
                <w:rFonts w:ascii="Times New Roman" w:hAnsi="Times New Roman" w:cs="Times New Roman"/>
                <w:b/>
              </w:rPr>
              <w:t>EU</w:t>
            </w:r>
          </w:p>
        </w:tc>
      </w:tr>
      <w:tr w:rsidR="00733DF6" w:rsidRPr="007706AF" w14:paraId="2418FF3F" w14:textId="77777777" w:rsidTr="00CE568F">
        <w:tc>
          <w:tcPr>
            <w:tcW w:w="5328" w:type="dxa"/>
            <w:gridSpan w:val="3"/>
          </w:tcPr>
          <w:p w14:paraId="24607945" w14:textId="77777777" w:rsidR="00733DF6" w:rsidRPr="007706AF" w:rsidRDefault="00733DF6" w:rsidP="00CE568F">
            <w:pPr>
              <w:rPr>
                <w:rFonts w:ascii="Times New Roman" w:hAnsi="Times New Roman" w:cs="Times New Roman"/>
                <w:b/>
              </w:rPr>
            </w:pPr>
            <w:r w:rsidRPr="007706AF">
              <w:rPr>
                <w:rFonts w:ascii="Times New Roman" w:hAnsi="Times New Roman" w:cs="Times New Roman"/>
                <w:b/>
              </w:rPr>
              <w:t>Core southern member states</w:t>
            </w:r>
          </w:p>
        </w:tc>
      </w:tr>
      <w:tr w:rsidR="00733DF6" w:rsidRPr="007706AF" w14:paraId="4BED5E93" w14:textId="77777777" w:rsidTr="00CE568F">
        <w:tc>
          <w:tcPr>
            <w:tcW w:w="2178" w:type="dxa"/>
          </w:tcPr>
          <w:p w14:paraId="6E04C9AF"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Greece</w:t>
            </w:r>
          </w:p>
        </w:tc>
        <w:tc>
          <w:tcPr>
            <w:tcW w:w="1620" w:type="dxa"/>
          </w:tcPr>
          <w:p w14:paraId="48BA2873"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29%</w:t>
            </w:r>
          </w:p>
        </w:tc>
        <w:tc>
          <w:tcPr>
            <w:tcW w:w="1530" w:type="dxa"/>
          </w:tcPr>
          <w:p w14:paraId="28AE9095"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22%</w:t>
            </w:r>
          </w:p>
        </w:tc>
      </w:tr>
      <w:tr w:rsidR="00733DF6" w:rsidRPr="007706AF" w14:paraId="4CAC2E4C" w14:textId="77777777" w:rsidTr="00CE568F">
        <w:tc>
          <w:tcPr>
            <w:tcW w:w="2178" w:type="dxa"/>
          </w:tcPr>
          <w:p w14:paraId="6C51FAF3"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Spain</w:t>
            </w:r>
          </w:p>
        </w:tc>
        <w:tc>
          <w:tcPr>
            <w:tcW w:w="1620" w:type="dxa"/>
          </w:tcPr>
          <w:p w14:paraId="20153C68"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17%</w:t>
            </w:r>
          </w:p>
        </w:tc>
        <w:tc>
          <w:tcPr>
            <w:tcW w:w="1530" w:type="dxa"/>
          </w:tcPr>
          <w:p w14:paraId="69BB2CA2"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23%</w:t>
            </w:r>
          </w:p>
        </w:tc>
      </w:tr>
      <w:tr w:rsidR="00733DF6" w:rsidRPr="007706AF" w14:paraId="14A8A5EB" w14:textId="77777777" w:rsidTr="00CE568F">
        <w:tc>
          <w:tcPr>
            <w:tcW w:w="2178" w:type="dxa"/>
          </w:tcPr>
          <w:p w14:paraId="04790596"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Portugal</w:t>
            </w:r>
          </w:p>
        </w:tc>
        <w:tc>
          <w:tcPr>
            <w:tcW w:w="1620" w:type="dxa"/>
          </w:tcPr>
          <w:p w14:paraId="31D7F527"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20%</w:t>
            </w:r>
          </w:p>
        </w:tc>
        <w:tc>
          <w:tcPr>
            <w:tcW w:w="1530" w:type="dxa"/>
          </w:tcPr>
          <w:p w14:paraId="44E4B2B5"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23%</w:t>
            </w:r>
          </w:p>
        </w:tc>
      </w:tr>
      <w:tr w:rsidR="00733DF6" w:rsidRPr="007706AF" w14:paraId="244E1A4F" w14:textId="77777777" w:rsidTr="00CE568F">
        <w:tc>
          <w:tcPr>
            <w:tcW w:w="2178" w:type="dxa"/>
          </w:tcPr>
          <w:p w14:paraId="24F1EBE2"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 xml:space="preserve">Cyprus </w:t>
            </w:r>
          </w:p>
        </w:tc>
        <w:tc>
          <w:tcPr>
            <w:tcW w:w="1620" w:type="dxa"/>
          </w:tcPr>
          <w:p w14:paraId="6FF309D3"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18%</w:t>
            </w:r>
          </w:p>
        </w:tc>
        <w:tc>
          <w:tcPr>
            <w:tcW w:w="1530" w:type="dxa"/>
          </w:tcPr>
          <w:p w14:paraId="59CCE3DA"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24%</w:t>
            </w:r>
          </w:p>
        </w:tc>
      </w:tr>
      <w:tr w:rsidR="00733DF6" w:rsidRPr="007706AF" w14:paraId="77DA921E" w14:textId="77777777" w:rsidTr="00CE568F">
        <w:tc>
          <w:tcPr>
            <w:tcW w:w="2178" w:type="dxa"/>
          </w:tcPr>
          <w:p w14:paraId="635402B1"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Italy</w:t>
            </w:r>
          </w:p>
        </w:tc>
        <w:tc>
          <w:tcPr>
            <w:tcW w:w="1620" w:type="dxa"/>
          </w:tcPr>
          <w:p w14:paraId="28F830C5"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23%</w:t>
            </w:r>
          </w:p>
        </w:tc>
        <w:tc>
          <w:tcPr>
            <w:tcW w:w="1530" w:type="dxa"/>
          </w:tcPr>
          <w:p w14:paraId="5473C1B1"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22%</w:t>
            </w:r>
          </w:p>
        </w:tc>
      </w:tr>
      <w:tr w:rsidR="00733DF6" w:rsidRPr="007706AF" w14:paraId="15065857" w14:textId="77777777" w:rsidTr="00CE568F">
        <w:tc>
          <w:tcPr>
            <w:tcW w:w="2178" w:type="dxa"/>
          </w:tcPr>
          <w:p w14:paraId="17247B8B" w14:textId="77777777" w:rsidR="00733DF6" w:rsidRPr="007706AF" w:rsidRDefault="00733DF6" w:rsidP="00CE568F">
            <w:pPr>
              <w:rPr>
                <w:rFonts w:ascii="Times New Roman" w:hAnsi="Times New Roman" w:cs="Times New Roman"/>
                <w:b/>
              </w:rPr>
            </w:pPr>
            <w:r w:rsidRPr="007706AF">
              <w:rPr>
                <w:rFonts w:ascii="Times New Roman" w:hAnsi="Times New Roman" w:cs="Times New Roman"/>
                <w:b/>
              </w:rPr>
              <w:t>Average South</w:t>
            </w:r>
          </w:p>
        </w:tc>
        <w:tc>
          <w:tcPr>
            <w:tcW w:w="1620" w:type="dxa"/>
          </w:tcPr>
          <w:p w14:paraId="6DA433AC"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21.4%</w:t>
            </w:r>
          </w:p>
        </w:tc>
        <w:tc>
          <w:tcPr>
            <w:tcW w:w="1530" w:type="dxa"/>
          </w:tcPr>
          <w:p w14:paraId="4F5F45D2"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22.8%</w:t>
            </w:r>
          </w:p>
        </w:tc>
      </w:tr>
      <w:tr w:rsidR="00733DF6" w:rsidRPr="007706AF" w14:paraId="220B2E88" w14:textId="77777777" w:rsidTr="00CE568F">
        <w:tc>
          <w:tcPr>
            <w:tcW w:w="5328" w:type="dxa"/>
            <w:gridSpan w:val="3"/>
          </w:tcPr>
          <w:p w14:paraId="2F77CD49" w14:textId="77777777" w:rsidR="00733DF6" w:rsidRPr="007706AF" w:rsidRDefault="00733DF6" w:rsidP="00CE568F">
            <w:pPr>
              <w:rPr>
                <w:rFonts w:ascii="Times New Roman" w:hAnsi="Times New Roman" w:cs="Times New Roman"/>
              </w:rPr>
            </w:pPr>
          </w:p>
        </w:tc>
      </w:tr>
      <w:tr w:rsidR="00733DF6" w:rsidRPr="007706AF" w14:paraId="2E945E81" w14:textId="77777777" w:rsidTr="00CE568F">
        <w:tc>
          <w:tcPr>
            <w:tcW w:w="5328" w:type="dxa"/>
            <w:gridSpan w:val="3"/>
          </w:tcPr>
          <w:p w14:paraId="2204D60C" w14:textId="77777777" w:rsidR="00733DF6" w:rsidRPr="007706AF" w:rsidRDefault="00733DF6" w:rsidP="00CE568F">
            <w:pPr>
              <w:rPr>
                <w:rFonts w:ascii="Times New Roman" w:hAnsi="Times New Roman" w:cs="Times New Roman"/>
              </w:rPr>
            </w:pPr>
            <w:r w:rsidRPr="007706AF">
              <w:rPr>
                <w:rFonts w:ascii="Times New Roman" w:hAnsi="Times New Roman" w:cs="Times New Roman"/>
                <w:b/>
              </w:rPr>
              <w:t>Core northern member states</w:t>
            </w:r>
          </w:p>
        </w:tc>
      </w:tr>
      <w:tr w:rsidR="00733DF6" w:rsidRPr="007706AF" w14:paraId="4BEAB14A" w14:textId="77777777" w:rsidTr="00CE568F">
        <w:tc>
          <w:tcPr>
            <w:tcW w:w="2178" w:type="dxa"/>
          </w:tcPr>
          <w:p w14:paraId="0CFA5408"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Austria</w:t>
            </w:r>
          </w:p>
        </w:tc>
        <w:tc>
          <w:tcPr>
            <w:tcW w:w="1620" w:type="dxa"/>
          </w:tcPr>
          <w:p w14:paraId="7A767039"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21%</w:t>
            </w:r>
          </w:p>
        </w:tc>
        <w:tc>
          <w:tcPr>
            <w:tcW w:w="1530" w:type="dxa"/>
          </w:tcPr>
          <w:p w14:paraId="2CBC3930"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24%</w:t>
            </w:r>
          </w:p>
        </w:tc>
      </w:tr>
      <w:tr w:rsidR="00733DF6" w:rsidRPr="007706AF" w14:paraId="350F97DD" w14:textId="77777777" w:rsidTr="00CE568F">
        <w:tc>
          <w:tcPr>
            <w:tcW w:w="2178" w:type="dxa"/>
          </w:tcPr>
          <w:p w14:paraId="05A04F55"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Germany</w:t>
            </w:r>
          </w:p>
        </w:tc>
        <w:tc>
          <w:tcPr>
            <w:tcW w:w="1620" w:type="dxa"/>
          </w:tcPr>
          <w:p w14:paraId="7210357C"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21%</w:t>
            </w:r>
          </w:p>
        </w:tc>
        <w:tc>
          <w:tcPr>
            <w:tcW w:w="1530" w:type="dxa"/>
          </w:tcPr>
          <w:p w14:paraId="72E0CC6E"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24%</w:t>
            </w:r>
          </w:p>
        </w:tc>
      </w:tr>
      <w:tr w:rsidR="00733DF6" w:rsidRPr="007706AF" w14:paraId="2B5161B7" w14:textId="77777777" w:rsidTr="00CE568F">
        <w:tc>
          <w:tcPr>
            <w:tcW w:w="2178" w:type="dxa"/>
          </w:tcPr>
          <w:p w14:paraId="3241D586"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Finland</w:t>
            </w:r>
          </w:p>
        </w:tc>
        <w:tc>
          <w:tcPr>
            <w:tcW w:w="1620" w:type="dxa"/>
          </w:tcPr>
          <w:p w14:paraId="22A94029"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15%</w:t>
            </w:r>
          </w:p>
        </w:tc>
        <w:tc>
          <w:tcPr>
            <w:tcW w:w="1530" w:type="dxa"/>
          </w:tcPr>
          <w:p w14:paraId="520F2D80"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22%</w:t>
            </w:r>
          </w:p>
        </w:tc>
      </w:tr>
      <w:tr w:rsidR="00733DF6" w:rsidRPr="007706AF" w14:paraId="5B78BC4F" w14:textId="77777777" w:rsidTr="00CE568F">
        <w:tc>
          <w:tcPr>
            <w:tcW w:w="2178" w:type="dxa"/>
          </w:tcPr>
          <w:p w14:paraId="6C1E77A1"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Netherlands</w:t>
            </w:r>
          </w:p>
        </w:tc>
        <w:tc>
          <w:tcPr>
            <w:tcW w:w="1620" w:type="dxa"/>
          </w:tcPr>
          <w:p w14:paraId="67E046A2"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19%</w:t>
            </w:r>
          </w:p>
        </w:tc>
        <w:tc>
          <w:tcPr>
            <w:tcW w:w="1530" w:type="dxa"/>
          </w:tcPr>
          <w:p w14:paraId="2202AB77"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20%</w:t>
            </w:r>
          </w:p>
        </w:tc>
      </w:tr>
      <w:tr w:rsidR="00733DF6" w:rsidRPr="007706AF" w14:paraId="413666F1" w14:textId="77777777" w:rsidTr="00CE568F">
        <w:tc>
          <w:tcPr>
            <w:tcW w:w="2178" w:type="dxa"/>
          </w:tcPr>
          <w:p w14:paraId="41DD18DD" w14:textId="77777777" w:rsidR="00733DF6" w:rsidRPr="007706AF" w:rsidRDefault="00733DF6" w:rsidP="00CE568F">
            <w:pPr>
              <w:rPr>
                <w:rFonts w:ascii="Times New Roman" w:hAnsi="Times New Roman" w:cs="Times New Roman"/>
                <w:b/>
              </w:rPr>
            </w:pPr>
            <w:r w:rsidRPr="007706AF">
              <w:rPr>
                <w:rFonts w:ascii="Times New Roman" w:hAnsi="Times New Roman" w:cs="Times New Roman"/>
                <w:b/>
              </w:rPr>
              <w:t>Average North</w:t>
            </w:r>
          </w:p>
        </w:tc>
        <w:tc>
          <w:tcPr>
            <w:tcW w:w="1620" w:type="dxa"/>
          </w:tcPr>
          <w:p w14:paraId="5A0F9AEB"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19%</w:t>
            </w:r>
          </w:p>
        </w:tc>
        <w:tc>
          <w:tcPr>
            <w:tcW w:w="1530" w:type="dxa"/>
          </w:tcPr>
          <w:p w14:paraId="23B711E6"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22.5%</w:t>
            </w:r>
          </w:p>
        </w:tc>
      </w:tr>
    </w:tbl>
    <w:p w14:paraId="5F1802D7" w14:textId="77777777" w:rsidR="00733DF6" w:rsidRPr="007706AF" w:rsidRDefault="00733DF6" w:rsidP="00733DF6">
      <w:pPr>
        <w:rPr>
          <w:rFonts w:ascii="Times New Roman" w:hAnsi="Times New Roman" w:cs="Times New Roman"/>
        </w:rPr>
      </w:pPr>
    </w:p>
    <w:p w14:paraId="7ACA4C06" w14:textId="527148E1" w:rsidR="00ED49B4" w:rsidRPr="007706AF" w:rsidRDefault="00251174" w:rsidP="00733DF6">
      <w:pPr>
        <w:spacing w:line="480" w:lineRule="auto"/>
        <w:ind w:firstLine="720"/>
        <w:rPr>
          <w:rFonts w:ascii="Times New Roman" w:hAnsi="Times New Roman" w:cs="Times New Roman"/>
        </w:rPr>
      </w:pPr>
      <w:r w:rsidRPr="007706AF">
        <w:rPr>
          <w:rFonts w:ascii="Times New Roman" w:hAnsi="Times New Roman" w:cs="Times New Roman"/>
        </w:rPr>
        <w:t xml:space="preserve">Another important indicator </w:t>
      </w:r>
      <w:r w:rsidR="001C3A49" w:rsidRPr="007706AF">
        <w:rPr>
          <w:rFonts w:ascii="Times New Roman" w:hAnsi="Times New Roman" w:cs="Times New Roman"/>
        </w:rPr>
        <w:t>of the effect of the crisis on North-S</w:t>
      </w:r>
      <w:r w:rsidRPr="007706AF">
        <w:rPr>
          <w:rFonts w:ascii="Times New Roman" w:hAnsi="Times New Roman" w:cs="Times New Roman"/>
        </w:rPr>
        <w:t xml:space="preserve">outh tensions is citizens’ </w:t>
      </w:r>
      <w:r w:rsidR="00B96B6D" w:rsidRPr="007706AF">
        <w:rPr>
          <w:rFonts w:ascii="Times New Roman" w:hAnsi="Times New Roman" w:cs="Times New Roman"/>
        </w:rPr>
        <w:t>‘</w:t>
      </w:r>
      <w:r w:rsidRPr="007706AF">
        <w:rPr>
          <w:rFonts w:ascii="Times New Roman" w:hAnsi="Times New Roman" w:cs="Times New Roman"/>
        </w:rPr>
        <w:t>desired content or direction of policies on the European level</w:t>
      </w:r>
      <w:r w:rsidR="00B96B6D" w:rsidRPr="007706AF">
        <w:rPr>
          <w:rFonts w:ascii="Times New Roman" w:hAnsi="Times New Roman" w:cs="Times New Roman"/>
        </w:rPr>
        <w:t>’</w:t>
      </w:r>
      <w:r w:rsidR="00425381" w:rsidRPr="007706AF">
        <w:rPr>
          <w:rFonts w:ascii="Times New Roman" w:hAnsi="Times New Roman" w:cs="Times New Roman"/>
        </w:rPr>
        <w:t xml:space="preserve"> (V</w:t>
      </w:r>
      <w:r w:rsidR="00425381" w:rsidRPr="007706AF">
        <w:t>ö</w:t>
      </w:r>
      <w:r w:rsidR="00425381" w:rsidRPr="007706AF">
        <w:rPr>
          <w:rFonts w:ascii="Times New Roman" w:hAnsi="Times New Roman" w:cs="Times New Roman"/>
        </w:rPr>
        <w:t xml:space="preserve">ssing: 2005).  </w:t>
      </w:r>
      <w:r w:rsidRPr="007706AF">
        <w:rPr>
          <w:rFonts w:ascii="Times New Roman" w:hAnsi="Times New Roman" w:cs="Times New Roman"/>
        </w:rPr>
        <w:t>Here, the data from</w:t>
      </w:r>
      <w:r w:rsidR="00EE140B" w:rsidRPr="007706AF">
        <w:rPr>
          <w:rFonts w:ascii="Times New Roman" w:hAnsi="Times New Roman" w:cs="Times New Roman"/>
        </w:rPr>
        <w:t xml:space="preserve"> different kinds of questions in</w:t>
      </w:r>
      <w:r w:rsidRPr="007706AF">
        <w:rPr>
          <w:rFonts w:ascii="Times New Roman" w:hAnsi="Times New Roman" w:cs="Times New Roman"/>
        </w:rPr>
        <w:t xml:space="preserve"> the 2013 survey is even more revealing.  Table 3 shows evidence for the emergence of newfound common views on the content and direction of EU economic and financial integration.</w:t>
      </w:r>
    </w:p>
    <w:p w14:paraId="2724CFA9" w14:textId="4A3F56CB" w:rsidR="00733DF6" w:rsidRPr="007706AF" w:rsidRDefault="00733DF6">
      <w:pPr>
        <w:rPr>
          <w:rFonts w:ascii="Times New Roman" w:hAnsi="Times New Roman" w:cs="Times New Roman"/>
        </w:rPr>
      </w:pPr>
      <w:r w:rsidRPr="007706AF">
        <w:rPr>
          <w:rFonts w:ascii="Times New Roman" w:hAnsi="Times New Roman" w:cs="Times New Roman"/>
        </w:rPr>
        <w:br w:type="page"/>
      </w:r>
    </w:p>
    <w:p w14:paraId="26745B8E" w14:textId="77777777" w:rsidR="00733DF6" w:rsidRPr="007706AF" w:rsidRDefault="00733DF6" w:rsidP="00733DF6">
      <w:pPr>
        <w:rPr>
          <w:rFonts w:ascii="Times New Roman" w:hAnsi="Times New Roman" w:cs="Times New Roman"/>
          <w:b/>
        </w:rPr>
      </w:pPr>
      <w:r w:rsidRPr="007706AF">
        <w:rPr>
          <w:rFonts w:ascii="Times New Roman" w:hAnsi="Times New Roman" w:cs="Times New Roman"/>
          <w:b/>
        </w:rPr>
        <w:lastRenderedPageBreak/>
        <w:t>Table 3.  Desired Content or Direction of Policies 2013</w:t>
      </w:r>
      <w:proofErr w:type="gramStart"/>
      <w:r w:rsidRPr="007706AF">
        <w:rPr>
          <w:rFonts w:ascii="Times New Roman" w:hAnsi="Times New Roman" w:cs="Times New Roman"/>
          <w:b/>
        </w:rPr>
        <w:t>: per cent</w:t>
      </w:r>
      <w:proofErr w:type="gramEnd"/>
      <w:r w:rsidRPr="007706AF">
        <w:rPr>
          <w:rFonts w:ascii="Times New Roman" w:hAnsi="Times New Roman" w:cs="Times New Roman"/>
          <w:b/>
        </w:rPr>
        <w:t xml:space="preserve"> agreement (Eurobarometer Annex 2013: 112--8)</w:t>
      </w:r>
    </w:p>
    <w:p w14:paraId="58E92197" w14:textId="77777777" w:rsidR="00733DF6" w:rsidRPr="007706AF" w:rsidRDefault="00733DF6" w:rsidP="00733DF6">
      <w:pPr>
        <w:rPr>
          <w:rFonts w:ascii="Times New Roman" w:hAnsi="Times New Roman" w:cs="Times New Roman"/>
          <w:b/>
        </w:rPr>
      </w:pPr>
    </w:p>
    <w:tbl>
      <w:tblPr>
        <w:tblStyle w:val="TableGrid"/>
        <w:tblW w:w="8712" w:type="dxa"/>
        <w:tblInd w:w="108" w:type="dxa"/>
        <w:tblLayout w:type="fixed"/>
        <w:tblLook w:val="04A0" w:firstRow="1" w:lastRow="0" w:firstColumn="1" w:lastColumn="0" w:noHBand="0" w:noVBand="1"/>
      </w:tblPr>
      <w:tblGrid>
        <w:gridCol w:w="1980"/>
        <w:gridCol w:w="1620"/>
        <w:gridCol w:w="1620"/>
        <w:gridCol w:w="1710"/>
        <w:gridCol w:w="1782"/>
      </w:tblGrid>
      <w:tr w:rsidR="00733DF6" w:rsidRPr="007706AF" w14:paraId="3D7BBB4A" w14:textId="77777777" w:rsidTr="00CE568F">
        <w:tc>
          <w:tcPr>
            <w:tcW w:w="1980" w:type="dxa"/>
          </w:tcPr>
          <w:p w14:paraId="02BA70E1" w14:textId="77777777" w:rsidR="00733DF6" w:rsidRPr="007706AF" w:rsidRDefault="00733DF6" w:rsidP="00CE568F">
            <w:pPr>
              <w:rPr>
                <w:rFonts w:ascii="Times New Roman" w:hAnsi="Times New Roman" w:cs="Times New Roman"/>
                <w:b/>
              </w:rPr>
            </w:pPr>
            <w:r w:rsidRPr="007706AF">
              <w:rPr>
                <w:rFonts w:ascii="Times New Roman" w:hAnsi="Times New Roman" w:cs="Times New Roman"/>
                <w:b/>
              </w:rPr>
              <w:t>As a consequence of the crisis…</w:t>
            </w:r>
          </w:p>
          <w:p w14:paraId="4589251B" w14:textId="77777777" w:rsidR="00733DF6" w:rsidRPr="007706AF" w:rsidRDefault="00733DF6" w:rsidP="00CE568F">
            <w:pPr>
              <w:rPr>
                <w:rFonts w:ascii="Times New Roman" w:hAnsi="Times New Roman" w:cs="Times New Roman"/>
                <w:b/>
              </w:rPr>
            </w:pPr>
          </w:p>
          <w:p w14:paraId="39614D96" w14:textId="77777777" w:rsidR="00733DF6" w:rsidRPr="007706AF" w:rsidRDefault="00733DF6" w:rsidP="00CE568F">
            <w:pPr>
              <w:rPr>
                <w:rFonts w:ascii="Times New Roman" w:hAnsi="Times New Roman" w:cs="Times New Roman"/>
                <w:i/>
              </w:rPr>
            </w:pPr>
          </w:p>
        </w:tc>
        <w:tc>
          <w:tcPr>
            <w:tcW w:w="1620" w:type="dxa"/>
          </w:tcPr>
          <w:p w14:paraId="64EA36A0" w14:textId="77777777" w:rsidR="00733DF6" w:rsidRPr="007706AF" w:rsidRDefault="00733DF6" w:rsidP="00CE568F">
            <w:pPr>
              <w:rPr>
                <w:rFonts w:ascii="Times New Roman" w:hAnsi="Times New Roman" w:cs="Times New Roman"/>
                <w:b/>
              </w:rPr>
            </w:pPr>
            <w:proofErr w:type="gramStart"/>
            <w:r w:rsidRPr="007706AF">
              <w:rPr>
                <w:rFonts w:ascii="Times New Roman" w:hAnsi="Times New Roman" w:cs="Times New Roman"/>
                <w:b/>
              </w:rPr>
              <w:t>member</w:t>
            </w:r>
            <w:proofErr w:type="gramEnd"/>
            <w:r w:rsidRPr="007706AF">
              <w:rPr>
                <w:rFonts w:ascii="Times New Roman" w:hAnsi="Times New Roman" w:cs="Times New Roman"/>
                <w:b/>
              </w:rPr>
              <w:t xml:space="preserve"> states </w:t>
            </w:r>
            <w:r w:rsidRPr="007706AF">
              <w:rPr>
                <w:rFonts w:ascii="Times New Roman" w:hAnsi="Times New Roman" w:cs="Times New Roman"/>
                <w:b/>
                <w:u w:val="single"/>
              </w:rPr>
              <w:t>should</w:t>
            </w:r>
            <w:r w:rsidRPr="007706AF">
              <w:rPr>
                <w:rFonts w:ascii="Times New Roman" w:hAnsi="Times New Roman" w:cs="Times New Roman"/>
                <w:b/>
              </w:rPr>
              <w:t xml:space="preserve"> work together more </w:t>
            </w:r>
          </w:p>
        </w:tc>
        <w:tc>
          <w:tcPr>
            <w:tcW w:w="1620" w:type="dxa"/>
          </w:tcPr>
          <w:p w14:paraId="083E8EBD" w14:textId="77777777" w:rsidR="00733DF6" w:rsidRPr="007706AF" w:rsidRDefault="00733DF6" w:rsidP="00CE568F">
            <w:pPr>
              <w:rPr>
                <w:rFonts w:ascii="Times New Roman" w:hAnsi="Times New Roman" w:cs="Times New Roman"/>
                <w:b/>
              </w:rPr>
            </w:pPr>
            <w:proofErr w:type="gramStart"/>
            <w:r w:rsidRPr="007706AF">
              <w:rPr>
                <w:rFonts w:ascii="Times New Roman" w:hAnsi="Times New Roman" w:cs="Times New Roman"/>
                <w:b/>
              </w:rPr>
              <w:t>member</w:t>
            </w:r>
            <w:proofErr w:type="gramEnd"/>
            <w:r w:rsidRPr="007706AF">
              <w:rPr>
                <w:rFonts w:ascii="Times New Roman" w:hAnsi="Times New Roman" w:cs="Times New Roman"/>
                <w:b/>
              </w:rPr>
              <w:t xml:space="preserve"> states </w:t>
            </w:r>
            <w:r w:rsidRPr="007706AF">
              <w:rPr>
                <w:rFonts w:ascii="Times New Roman" w:hAnsi="Times New Roman" w:cs="Times New Roman"/>
                <w:b/>
                <w:u w:val="single"/>
              </w:rPr>
              <w:t>will have to</w:t>
            </w:r>
            <w:r w:rsidRPr="007706AF">
              <w:rPr>
                <w:rFonts w:ascii="Times New Roman" w:hAnsi="Times New Roman" w:cs="Times New Roman"/>
                <w:b/>
              </w:rPr>
              <w:t xml:space="preserve"> work more closely together</w:t>
            </w:r>
          </w:p>
        </w:tc>
        <w:tc>
          <w:tcPr>
            <w:tcW w:w="1710" w:type="dxa"/>
          </w:tcPr>
          <w:p w14:paraId="62F6B0BD" w14:textId="77777777" w:rsidR="00733DF6" w:rsidRPr="007706AF" w:rsidRDefault="00733DF6" w:rsidP="00CE568F">
            <w:pPr>
              <w:rPr>
                <w:rFonts w:ascii="Times New Roman" w:hAnsi="Times New Roman" w:cs="Times New Roman"/>
                <w:b/>
              </w:rPr>
            </w:pPr>
            <w:proofErr w:type="gramStart"/>
            <w:r w:rsidRPr="007706AF">
              <w:rPr>
                <w:rFonts w:ascii="Times New Roman" w:hAnsi="Times New Roman" w:cs="Times New Roman"/>
                <w:b/>
              </w:rPr>
              <w:t>the</w:t>
            </w:r>
            <w:proofErr w:type="gramEnd"/>
            <w:r w:rsidRPr="007706AF">
              <w:rPr>
                <w:rFonts w:ascii="Times New Roman" w:hAnsi="Times New Roman" w:cs="Times New Roman"/>
                <w:b/>
              </w:rPr>
              <w:t xml:space="preserve"> EU will be stronger over the longer term </w:t>
            </w:r>
          </w:p>
        </w:tc>
        <w:tc>
          <w:tcPr>
            <w:tcW w:w="1782" w:type="dxa"/>
          </w:tcPr>
          <w:p w14:paraId="2CE738D3" w14:textId="77777777" w:rsidR="00733DF6" w:rsidRPr="007706AF" w:rsidRDefault="00733DF6" w:rsidP="00CE568F">
            <w:pPr>
              <w:rPr>
                <w:rFonts w:ascii="Times New Roman" w:hAnsi="Times New Roman" w:cs="Times New Roman"/>
                <w:b/>
              </w:rPr>
            </w:pPr>
            <w:proofErr w:type="gramStart"/>
            <w:r w:rsidRPr="007706AF">
              <w:rPr>
                <w:rFonts w:ascii="Times New Roman" w:hAnsi="Times New Roman" w:cs="Times New Roman"/>
                <w:b/>
              </w:rPr>
              <w:t>you</w:t>
            </w:r>
            <w:proofErr w:type="gramEnd"/>
            <w:r w:rsidRPr="007706AF">
              <w:rPr>
                <w:rFonts w:ascii="Times New Roman" w:hAnsi="Times New Roman" w:cs="Times New Roman"/>
                <w:b/>
              </w:rPr>
              <w:t xml:space="preserve"> feel closer to the citizens in other EU countries</w:t>
            </w:r>
          </w:p>
        </w:tc>
      </w:tr>
      <w:tr w:rsidR="00733DF6" w:rsidRPr="007706AF" w14:paraId="212336C0" w14:textId="77777777" w:rsidTr="00CE568F">
        <w:tc>
          <w:tcPr>
            <w:tcW w:w="8712" w:type="dxa"/>
            <w:gridSpan w:val="5"/>
          </w:tcPr>
          <w:p w14:paraId="4ECCC80B" w14:textId="77777777" w:rsidR="00733DF6" w:rsidRPr="007706AF" w:rsidRDefault="00733DF6" w:rsidP="00CE568F">
            <w:pPr>
              <w:rPr>
                <w:rFonts w:ascii="Times New Roman" w:hAnsi="Times New Roman" w:cs="Times New Roman"/>
              </w:rPr>
            </w:pPr>
            <w:r w:rsidRPr="007706AF">
              <w:rPr>
                <w:rFonts w:ascii="Times New Roman" w:hAnsi="Times New Roman" w:cs="Times New Roman"/>
                <w:b/>
              </w:rPr>
              <w:t xml:space="preserve">Core southern member states </w:t>
            </w:r>
          </w:p>
        </w:tc>
      </w:tr>
      <w:tr w:rsidR="00733DF6" w:rsidRPr="007706AF" w14:paraId="4E3594EC" w14:textId="77777777" w:rsidTr="00CE568F">
        <w:tc>
          <w:tcPr>
            <w:tcW w:w="1980" w:type="dxa"/>
          </w:tcPr>
          <w:p w14:paraId="5EF814AD"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Greece</w:t>
            </w:r>
          </w:p>
        </w:tc>
        <w:tc>
          <w:tcPr>
            <w:tcW w:w="1620" w:type="dxa"/>
          </w:tcPr>
          <w:p w14:paraId="6E3E2223"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92%</w:t>
            </w:r>
          </w:p>
        </w:tc>
        <w:tc>
          <w:tcPr>
            <w:tcW w:w="1620" w:type="dxa"/>
          </w:tcPr>
          <w:p w14:paraId="60B08B21"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88%</w:t>
            </w:r>
          </w:p>
        </w:tc>
        <w:tc>
          <w:tcPr>
            <w:tcW w:w="1710" w:type="dxa"/>
          </w:tcPr>
          <w:p w14:paraId="6FD658E9"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42%</w:t>
            </w:r>
          </w:p>
        </w:tc>
        <w:tc>
          <w:tcPr>
            <w:tcW w:w="1782" w:type="dxa"/>
          </w:tcPr>
          <w:p w14:paraId="0D1DE061"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54%</w:t>
            </w:r>
          </w:p>
        </w:tc>
      </w:tr>
      <w:tr w:rsidR="00733DF6" w:rsidRPr="007706AF" w14:paraId="20554655" w14:textId="77777777" w:rsidTr="00CE568F">
        <w:tc>
          <w:tcPr>
            <w:tcW w:w="1980" w:type="dxa"/>
          </w:tcPr>
          <w:p w14:paraId="789EF799"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Spain</w:t>
            </w:r>
          </w:p>
        </w:tc>
        <w:tc>
          <w:tcPr>
            <w:tcW w:w="1620" w:type="dxa"/>
          </w:tcPr>
          <w:p w14:paraId="058DAEEF" w14:textId="77777777" w:rsidR="00733DF6" w:rsidRPr="007706AF" w:rsidRDefault="00733DF6" w:rsidP="00CE568F">
            <w:pPr>
              <w:jc w:val="both"/>
              <w:rPr>
                <w:rFonts w:ascii="Times New Roman" w:hAnsi="Times New Roman" w:cs="Times New Roman"/>
              </w:rPr>
            </w:pPr>
            <w:r w:rsidRPr="007706AF">
              <w:rPr>
                <w:rFonts w:ascii="Times New Roman" w:hAnsi="Times New Roman" w:cs="Times New Roman"/>
              </w:rPr>
              <w:t>93%</w:t>
            </w:r>
          </w:p>
        </w:tc>
        <w:tc>
          <w:tcPr>
            <w:tcW w:w="1620" w:type="dxa"/>
          </w:tcPr>
          <w:p w14:paraId="277CAE2A"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88%</w:t>
            </w:r>
          </w:p>
        </w:tc>
        <w:tc>
          <w:tcPr>
            <w:tcW w:w="1710" w:type="dxa"/>
          </w:tcPr>
          <w:p w14:paraId="75324298"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61%</w:t>
            </w:r>
          </w:p>
        </w:tc>
        <w:tc>
          <w:tcPr>
            <w:tcW w:w="1782" w:type="dxa"/>
          </w:tcPr>
          <w:p w14:paraId="2431AA0C"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44%</w:t>
            </w:r>
          </w:p>
        </w:tc>
      </w:tr>
      <w:tr w:rsidR="00733DF6" w:rsidRPr="007706AF" w14:paraId="6D205BD8" w14:textId="77777777" w:rsidTr="00CE568F">
        <w:tc>
          <w:tcPr>
            <w:tcW w:w="1980" w:type="dxa"/>
          </w:tcPr>
          <w:p w14:paraId="0277F8A9"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Portugal</w:t>
            </w:r>
          </w:p>
        </w:tc>
        <w:tc>
          <w:tcPr>
            <w:tcW w:w="1620" w:type="dxa"/>
          </w:tcPr>
          <w:p w14:paraId="4F8B0D56" w14:textId="77777777" w:rsidR="00733DF6" w:rsidRPr="007706AF" w:rsidRDefault="00733DF6" w:rsidP="00CE568F">
            <w:pPr>
              <w:jc w:val="both"/>
              <w:rPr>
                <w:rFonts w:ascii="Times New Roman" w:hAnsi="Times New Roman" w:cs="Times New Roman"/>
              </w:rPr>
            </w:pPr>
            <w:r w:rsidRPr="007706AF">
              <w:rPr>
                <w:rFonts w:ascii="Times New Roman" w:hAnsi="Times New Roman" w:cs="Times New Roman"/>
              </w:rPr>
              <w:t>91%</w:t>
            </w:r>
          </w:p>
        </w:tc>
        <w:tc>
          <w:tcPr>
            <w:tcW w:w="1620" w:type="dxa"/>
          </w:tcPr>
          <w:p w14:paraId="248B80F3"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78%</w:t>
            </w:r>
          </w:p>
        </w:tc>
        <w:tc>
          <w:tcPr>
            <w:tcW w:w="1710" w:type="dxa"/>
          </w:tcPr>
          <w:p w14:paraId="16DEB98E"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50%</w:t>
            </w:r>
          </w:p>
        </w:tc>
        <w:tc>
          <w:tcPr>
            <w:tcW w:w="1782" w:type="dxa"/>
          </w:tcPr>
          <w:p w14:paraId="798136CD"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43%</w:t>
            </w:r>
          </w:p>
        </w:tc>
      </w:tr>
      <w:tr w:rsidR="00733DF6" w:rsidRPr="007706AF" w14:paraId="3181B12B" w14:textId="77777777" w:rsidTr="00CE568F">
        <w:tc>
          <w:tcPr>
            <w:tcW w:w="1980" w:type="dxa"/>
          </w:tcPr>
          <w:p w14:paraId="0D705399"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 xml:space="preserve">Cyprus </w:t>
            </w:r>
          </w:p>
        </w:tc>
        <w:tc>
          <w:tcPr>
            <w:tcW w:w="1620" w:type="dxa"/>
          </w:tcPr>
          <w:p w14:paraId="2943DE3D" w14:textId="77777777" w:rsidR="00733DF6" w:rsidRPr="007706AF" w:rsidRDefault="00733DF6" w:rsidP="00CE568F">
            <w:pPr>
              <w:jc w:val="both"/>
              <w:rPr>
                <w:rFonts w:ascii="Times New Roman" w:hAnsi="Times New Roman" w:cs="Times New Roman"/>
              </w:rPr>
            </w:pPr>
            <w:r w:rsidRPr="007706AF">
              <w:rPr>
                <w:rFonts w:ascii="Times New Roman" w:hAnsi="Times New Roman" w:cs="Times New Roman"/>
              </w:rPr>
              <w:t>98%</w:t>
            </w:r>
          </w:p>
        </w:tc>
        <w:tc>
          <w:tcPr>
            <w:tcW w:w="1620" w:type="dxa"/>
          </w:tcPr>
          <w:p w14:paraId="2BB192D8"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97%</w:t>
            </w:r>
          </w:p>
        </w:tc>
        <w:tc>
          <w:tcPr>
            <w:tcW w:w="1710" w:type="dxa"/>
          </w:tcPr>
          <w:p w14:paraId="565B2349"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45%</w:t>
            </w:r>
          </w:p>
        </w:tc>
        <w:tc>
          <w:tcPr>
            <w:tcW w:w="1782" w:type="dxa"/>
          </w:tcPr>
          <w:p w14:paraId="016597EB"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60%</w:t>
            </w:r>
          </w:p>
        </w:tc>
      </w:tr>
      <w:tr w:rsidR="00733DF6" w:rsidRPr="007706AF" w14:paraId="30B4CB0D" w14:textId="77777777" w:rsidTr="00CE568F">
        <w:tc>
          <w:tcPr>
            <w:tcW w:w="1980" w:type="dxa"/>
          </w:tcPr>
          <w:p w14:paraId="57768B33"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Italy</w:t>
            </w:r>
          </w:p>
        </w:tc>
        <w:tc>
          <w:tcPr>
            <w:tcW w:w="1620" w:type="dxa"/>
          </w:tcPr>
          <w:p w14:paraId="79C6FAEE" w14:textId="77777777" w:rsidR="00733DF6" w:rsidRPr="007706AF" w:rsidRDefault="00733DF6" w:rsidP="00CE568F">
            <w:pPr>
              <w:jc w:val="both"/>
              <w:rPr>
                <w:rFonts w:ascii="Times New Roman" w:hAnsi="Times New Roman" w:cs="Times New Roman"/>
              </w:rPr>
            </w:pPr>
            <w:r w:rsidRPr="007706AF">
              <w:rPr>
                <w:rFonts w:ascii="Times New Roman" w:hAnsi="Times New Roman" w:cs="Times New Roman"/>
              </w:rPr>
              <w:t>82%</w:t>
            </w:r>
          </w:p>
        </w:tc>
        <w:tc>
          <w:tcPr>
            <w:tcW w:w="1620" w:type="dxa"/>
          </w:tcPr>
          <w:p w14:paraId="6195650F"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74%</w:t>
            </w:r>
          </w:p>
        </w:tc>
        <w:tc>
          <w:tcPr>
            <w:tcW w:w="1710" w:type="dxa"/>
          </w:tcPr>
          <w:p w14:paraId="3B52E02B"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50%</w:t>
            </w:r>
          </w:p>
        </w:tc>
        <w:tc>
          <w:tcPr>
            <w:tcW w:w="1782" w:type="dxa"/>
          </w:tcPr>
          <w:p w14:paraId="756EA4CA"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52%</w:t>
            </w:r>
          </w:p>
        </w:tc>
      </w:tr>
      <w:tr w:rsidR="00733DF6" w:rsidRPr="007706AF" w14:paraId="73E0CCD5" w14:textId="77777777" w:rsidTr="00CE568F">
        <w:tc>
          <w:tcPr>
            <w:tcW w:w="1980" w:type="dxa"/>
          </w:tcPr>
          <w:p w14:paraId="22DE7A55" w14:textId="77777777" w:rsidR="00733DF6" w:rsidRPr="007706AF" w:rsidRDefault="00733DF6" w:rsidP="00CE568F">
            <w:pPr>
              <w:rPr>
                <w:rFonts w:ascii="Times New Roman" w:hAnsi="Times New Roman" w:cs="Times New Roman"/>
                <w:b/>
              </w:rPr>
            </w:pPr>
            <w:r w:rsidRPr="007706AF">
              <w:rPr>
                <w:rFonts w:ascii="Times New Roman" w:hAnsi="Times New Roman" w:cs="Times New Roman"/>
                <w:b/>
              </w:rPr>
              <w:t>Average South</w:t>
            </w:r>
          </w:p>
        </w:tc>
        <w:tc>
          <w:tcPr>
            <w:tcW w:w="1620" w:type="dxa"/>
          </w:tcPr>
          <w:p w14:paraId="4C07C2BB" w14:textId="77777777" w:rsidR="00733DF6" w:rsidRPr="007706AF" w:rsidRDefault="00733DF6" w:rsidP="00CE568F">
            <w:pPr>
              <w:jc w:val="both"/>
              <w:rPr>
                <w:rFonts w:ascii="Times New Roman" w:hAnsi="Times New Roman" w:cs="Times New Roman"/>
              </w:rPr>
            </w:pPr>
            <w:r w:rsidRPr="007706AF">
              <w:rPr>
                <w:rFonts w:ascii="Times New Roman" w:hAnsi="Times New Roman" w:cs="Times New Roman"/>
              </w:rPr>
              <w:t>91.2%</w:t>
            </w:r>
          </w:p>
        </w:tc>
        <w:tc>
          <w:tcPr>
            <w:tcW w:w="1620" w:type="dxa"/>
          </w:tcPr>
          <w:p w14:paraId="60C64E15"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85%</w:t>
            </w:r>
          </w:p>
        </w:tc>
        <w:tc>
          <w:tcPr>
            <w:tcW w:w="1710" w:type="dxa"/>
          </w:tcPr>
          <w:p w14:paraId="32AE66C7"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49.6%</w:t>
            </w:r>
          </w:p>
        </w:tc>
        <w:tc>
          <w:tcPr>
            <w:tcW w:w="1782" w:type="dxa"/>
          </w:tcPr>
          <w:p w14:paraId="67A9B064"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50.6%</w:t>
            </w:r>
          </w:p>
        </w:tc>
      </w:tr>
      <w:tr w:rsidR="00733DF6" w:rsidRPr="007706AF" w14:paraId="4B2DB3FB" w14:textId="77777777" w:rsidTr="00CE568F">
        <w:tc>
          <w:tcPr>
            <w:tcW w:w="8712" w:type="dxa"/>
            <w:gridSpan w:val="5"/>
          </w:tcPr>
          <w:p w14:paraId="121F05C9" w14:textId="77777777" w:rsidR="00733DF6" w:rsidRPr="007706AF" w:rsidRDefault="00733DF6" w:rsidP="00CE568F">
            <w:pPr>
              <w:rPr>
                <w:rFonts w:ascii="Times New Roman" w:hAnsi="Times New Roman" w:cs="Times New Roman"/>
              </w:rPr>
            </w:pPr>
          </w:p>
        </w:tc>
      </w:tr>
      <w:tr w:rsidR="00733DF6" w:rsidRPr="007706AF" w14:paraId="49A2AE89" w14:textId="77777777" w:rsidTr="00CE568F">
        <w:tc>
          <w:tcPr>
            <w:tcW w:w="8712" w:type="dxa"/>
            <w:gridSpan w:val="5"/>
          </w:tcPr>
          <w:p w14:paraId="335E745C" w14:textId="77777777" w:rsidR="00733DF6" w:rsidRPr="007706AF" w:rsidRDefault="00733DF6" w:rsidP="00CE568F">
            <w:pPr>
              <w:rPr>
                <w:rFonts w:ascii="Times New Roman" w:hAnsi="Times New Roman" w:cs="Times New Roman"/>
              </w:rPr>
            </w:pPr>
            <w:r w:rsidRPr="007706AF">
              <w:rPr>
                <w:rFonts w:ascii="Times New Roman" w:hAnsi="Times New Roman" w:cs="Times New Roman"/>
                <w:b/>
              </w:rPr>
              <w:t>Core northern member states</w:t>
            </w:r>
          </w:p>
        </w:tc>
      </w:tr>
      <w:tr w:rsidR="00733DF6" w:rsidRPr="007706AF" w14:paraId="7EE6B909" w14:textId="77777777" w:rsidTr="00CE568F">
        <w:tc>
          <w:tcPr>
            <w:tcW w:w="1980" w:type="dxa"/>
          </w:tcPr>
          <w:p w14:paraId="010E91B2"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Austria</w:t>
            </w:r>
          </w:p>
        </w:tc>
        <w:tc>
          <w:tcPr>
            <w:tcW w:w="1620" w:type="dxa"/>
          </w:tcPr>
          <w:p w14:paraId="26F7F790" w14:textId="77777777" w:rsidR="00733DF6" w:rsidRPr="007706AF" w:rsidRDefault="00733DF6" w:rsidP="00CE568F">
            <w:pPr>
              <w:jc w:val="both"/>
              <w:rPr>
                <w:rFonts w:ascii="Times New Roman" w:hAnsi="Times New Roman" w:cs="Times New Roman"/>
              </w:rPr>
            </w:pPr>
            <w:r w:rsidRPr="007706AF">
              <w:rPr>
                <w:rFonts w:ascii="Times New Roman" w:hAnsi="Times New Roman" w:cs="Times New Roman"/>
              </w:rPr>
              <w:t>78%</w:t>
            </w:r>
          </w:p>
        </w:tc>
        <w:tc>
          <w:tcPr>
            <w:tcW w:w="1620" w:type="dxa"/>
          </w:tcPr>
          <w:p w14:paraId="11E11500"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74%</w:t>
            </w:r>
          </w:p>
        </w:tc>
        <w:tc>
          <w:tcPr>
            <w:tcW w:w="1710" w:type="dxa"/>
          </w:tcPr>
          <w:p w14:paraId="02EF5D22"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46%</w:t>
            </w:r>
          </w:p>
        </w:tc>
        <w:tc>
          <w:tcPr>
            <w:tcW w:w="1782" w:type="dxa"/>
          </w:tcPr>
          <w:p w14:paraId="33D49F0E"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39%</w:t>
            </w:r>
          </w:p>
        </w:tc>
      </w:tr>
      <w:tr w:rsidR="00733DF6" w:rsidRPr="007706AF" w14:paraId="38095256" w14:textId="77777777" w:rsidTr="00CE568F">
        <w:tc>
          <w:tcPr>
            <w:tcW w:w="1980" w:type="dxa"/>
          </w:tcPr>
          <w:p w14:paraId="74557867"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Germany</w:t>
            </w:r>
          </w:p>
        </w:tc>
        <w:tc>
          <w:tcPr>
            <w:tcW w:w="1620" w:type="dxa"/>
          </w:tcPr>
          <w:p w14:paraId="0DF8FFD5" w14:textId="77777777" w:rsidR="00733DF6" w:rsidRPr="007706AF" w:rsidRDefault="00733DF6" w:rsidP="00CE568F">
            <w:pPr>
              <w:jc w:val="both"/>
              <w:rPr>
                <w:rFonts w:ascii="Times New Roman" w:hAnsi="Times New Roman" w:cs="Times New Roman"/>
              </w:rPr>
            </w:pPr>
            <w:r w:rsidRPr="007706AF">
              <w:rPr>
                <w:rFonts w:ascii="Times New Roman" w:hAnsi="Times New Roman" w:cs="Times New Roman"/>
              </w:rPr>
              <w:t>93%</w:t>
            </w:r>
          </w:p>
        </w:tc>
        <w:tc>
          <w:tcPr>
            <w:tcW w:w="1620" w:type="dxa"/>
          </w:tcPr>
          <w:p w14:paraId="247B3DF6"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90%</w:t>
            </w:r>
          </w:p>
        </w:tc>
        <w:tc>
          <w:tcPr>
            <w:tcW w:w="1710" w:type="dxa"/>
          </w:tcPr>
          <w:p w14:paraId="2704C6F5"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57%</w:t>
            </w:r>
          </w:p>
        </w:tc>
        <w:tc>
          <w:tcPr>
            <w:tcW w:w="1782" w:type="dxa"/>
          </w:tcPr>
          <w:p w14:paraId="7D516E81"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43%</w:t>
            </w:r>
          </w:p>
        </w:tc>
      </w:tr>
      <w:tr w:rsidR="00733DF6" w:rsidRPr="007706AF" w14:paraId="606AFBE3" w14:textId="77777777" w:rsidTr="00CE568F">
        <w:tc>
          <w:tcPr>
            <w:tcW w:w="1980" w:type="dxa"/>
          </w:tcPr>
          <w:p w14:paraId="58A8704D"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Finland</w:t>
            </w:r>
          </w:p>
        </w:tc>
        <w:tc>
          <w:tcPr>
            <w:tcW w:w="1620" w:type="dxa"/>
          </w:tcPr>
          <w:p w14:paraId="50E9299D" w14:textId="77777777" w:rsidR="00733DF6" w:rsidRPr="007706AF" w:rsidRDefault="00733DF6" w:rsidP="00CE568F">
            <w:pPr>
              <w:jc w:val="both"/>
              <w:rPr>
                <w:rFonts w:ascii="Times New Roman" w:hAnsi="Times New Roman" w:cs="Times New Roman"/>
              </w:rPr>
            </w:pPr>
            <w:r w:rsidRPr="007706AF">
              <w:rPr>
                <w:rFonts w:ascii="Times New Roman" w:hAnsi="Times New Roman" w:cs="Times New Roman"/>
              </w:rPr>
              <w:t>92%</w:t>
            </w:r>
          </w:p>
        </w:tc>
        <w:tc>
          <w:tcPr>
            <w:tcW w:w="1620" w:type="dxa"/>
          </w:tcPr>
          <w:p w14:paraId="1BEE5E9A"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90%</w:t>
            </w:r>
          </w:p>
        </w:tc>
        <w:tc>
          <w:tcPr>
            <w:tcW w:w="1710" w:type="dxa"/>
          </w:tcPr>
          <w:p w14:paraId="22B0095F"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62%</w:t>
            </w:r>
          </w:p>
        </w:tc>
        <w:tc>
          <w:tcPr>
            <w:tcW w:w="1782" w:type="dxa"/>
          </w:tcPr>
          <w:p w14:paraId="566449AB"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44%</w:t>
            </w:r>
          </w:p>
        </w:tc>
      </w:tr>
      <w:tr w:rsidR="00733DF6" w:rsidRPr="007706AF" w14:paraId="0B5CE43E" w14:textId="77777777" w:rsidTr="00CE568F">
        <w:tc>
          <w:tcPr>
            <w:tcW w:w="1980" w:type="dxa"/>
          </w:tcPr>
          <w:p w14:paraId="034E1A58"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Netherlands</w:t>
            </w:r>
          </w:p>
        </w:tc>
        <w:tc>
          <w:tcPr>
            <w:tcW w:w="1620" w:type="dxa"/>
          </w:tcPr>
          <w:p w14:paraId="66556481"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89%</w:t>
            </w:r>
          </w:p>
        </w:tc>
        <w:tc>
          <w:tcPr>
            <w:tcW w:w="1620" w:type="dxa"/>
          </w:tcPr>
          <w:p w14:paraId="74FD8E17"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86%</w:t>
            </w:r>
          </w:p>
        </w:tc>
        <w:tc>
          <w:tcPr>
            <w:tcW w:w="1710" w:type="dxa"/>
          </w:tcPr>
          <w:p w14:paraId="3E410869"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58%</w:t>
            </w:r>
          </w:p>
        </w:tc>
        <w:tc>
          <w:tcPr>
            <w:tcW w:w="1782" w:type="dxa"/>
          </w:tcPr>
          <w:p w14:paraId="5FEC67F4"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28%</w:t>
            </w:r>
          </w:p>
        </w:tc>
      </w:tr>
      <w:tr w:rsidR="00733DF6" w:rsidRPr="007706AF" w14:paraId="5936AFAF" w14:textId="77777777" w:rsidTr="00CE568F">
        <w:tc>
          <w:tcPr>
            <w:tcW w:w="1980" w:type="dxa"/>
          </w:tcPr>
          <w:p w14:paraId="05ACE7E2" w14:textId="77777777" w:rsidR="00733DF6" w:rsidRPr="007706AF" w:rsidRDefault="00733DF6" w:rsidP="00CE568F">
            <w:pPr>
              <w:rPr>
                <w:rFonts w:ascii="Times New Roman" w:hAnsi="Times New Roman" w:cs="Times New Roman"/>
                <w:b/>
              </w:rPr>
            </w:pPr>
            <w:r w:rsidRPr="007706AF">
              <w:rPr>
                <w:rFonts w:ascii="Times New Roman" w:hAnsi="Times New Roman" w:cs="Times New Roman"/>
                <w:b/>
              </w:rPr>
              <w:t>Average North</w:t>
            </w:r>
          </w:p>
        </w:tc>
        <w:tc>
          <w:tcPr>
            <w:tcW w:w="1620" w:type="dxa"/>
          </w:tcPr>
          <w:p w14:paraId="554875E8" w14:textId="77777777" w:rsidR="00733DF6" w:rsidRPr="007706AF" w:rsidRDefault="00733DF6" w:rsidP="00CE568F">
            <w:pPr>
              <w:jc w:val="both"/>
              <w:rPr>
                <w:rFonts w:ascii="Times New Roman" w:hAnsi="Times New Roman" w:cs="Times New Roman"/>
              </w:rPr>
            </w:pPr>
            <w:r w:rsidRPr="007706AF">
              <w:rPr>
                <w:rFonts w:ascii="Times New Roman" w:hAnsi="Times New Roman" w:cs="Times New Roman"/>
              </w:rPr>
              <w:t>88%</w:t>
            </w:r>
          </w:p>
        </w:tc>
        <w:tc>
          <w:tcPr>
            <w:tcW w:w="1620" w:type="dxa"/>
          </w:tcPr>
          <w:p w14:paraId="57E036F2"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85%</w:t>
            </w:r>
          </w:p>
        </w:tc>
        <w:tc>
          <w:tcPr>
            <w:tcW w:w="1710" w:type="dxa"/>
          </w:tcPr>
          <w:p w14:paraId="4FA8D0CF"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55.75%</w:t>
            </w:r>
          </w:p>
        </w:tc>
        <w:tc>
          <w:tcPr>
            <w:tcW w:w="1782" w:type="dxa"/>
          </w:tcPr>
          <w:p w14:paraId="1A5F6872" w14:textId="77777777" w:rsidR="00733DF6" w:rsidRPr="007706AF" w:rsidRDefault="00733DF6" w:rsidP="00CE568F">
            <w:pPr>
              <w:rPr>
                <w:rFonts w:ascii="Times New Roman" w:hAnsi="Times New Roman" w:cs="Times New Roman"/>
              </w:rPr>
            </w:pPr>
            <w:r w:rsidRPr="007706AF">
              <w:rPr>
                <w:rFonts w:ascii="Times New Roman" w:hAnsi="Times New Roman" w:cs="Times New Roman"/>
              </w:rPr>
              <w:t>38.5%</w:t>
            </w:r>
          </w:p>
        </w:tc>
      </w:tr>
    </w:tbl>
    <w:p w14:paraId="7AF17FC3" w14:textId="77777777" w:rsidR="00733DF6" w:rsidRPr="007706AF" w:rsidRDefault="00733DF6" w:rsidP="00733DF6">
      <w:pPr>
        <w:spacing w:line="480" w:lineRule="auto"/>
        <w:rPr>
          <w:rFonts w:ascii="Times New Roman" w:hAnsi="Times New Roman" w:cs="Times New Roman"/>
        </w:rPr>
      </w:pPr>
    </w:p>
    <w:p w14:paraId="4BD7BA44" w14:textId="51228C66" w:rsidR="00251174" w:rsidRPr="007706AF" w:rsidRDefault="00251174" w:rsidP="00ED49B4">
      <w:pPr>
        <w:spacing w:line="480" w:lineRule="auto"/>
        <w:ind w:firstLine="720"/>
        <w:rPr>
          <w:rFonts w:ascii="Times New Roman" w:hAnsi="Times New Roman" w:cs="Times New Roman"/>
        </w:rPr>
      </w:pPr>
      <w:r w:rsidRPr="007706AF">
        <w:rPr>
          <w:rFonts w:ascii="Times New Roman" w:hAnsi="Times New Roman" w:cs="Times New Roman"/>
        </w:rPr>
        <w:t>In terms of the desired content or direction of EU policies, the high percentage of agreement in response to the questions of whether member states should work or will have to work together more closely in the area of finance and the economy is striking.  I</w:t>
      </w:r>
      <w:r w:rsidR="00B96B6D" w:rsidRPr="007706AF">
        <w:rPr>
          <w:rFonts w:ascii="Times New Roman" w:hAnsi="Times New Roman" w:cs="Times New Roman"/>
        </w:rPr>
        <w:t>n contrast to 2008 – when 52.6 per cent and 28.5 per cent</w:t>
      </w:r>
      <w:r w:rsidRPr="007706AF">
        <w:rPr>
          <w:rFonts w:ascii="Times New Roman" w:hAnsi="Times New Roman" w:cs="Times New Roman"/>
        </w:rPr>
        <w:t xml:space="preserve"> of citizens in southern and northern member states respectively thought that economic decisions should be made jointly between the member states and the EU – the answer to a similar question in 2013</w:t>
      </w:r>
      <w:r w:rsidR="00B96B6D" w:rsidRPr="007706AF">
        <w:rPr>
          <w:rFonts w:ascii="Times New Roman" w:hAnsi="Times New Roman" w:cs="Times New Roman"/>
        </w:rPr>
        <w:t xml:space="preserve"> resulted in an average of 91.2 per cent and 88 per cent</w:t>
      </w:r>
      <w:r w:rsidRPr="007706AF">
        <w:rPr>
          <w:rFonts w:ascii="Times New Roman" w:hAnsi="Times New Roman" w:cs="Times New Roman"/>
        </w:rPr>
        <w:t xml:space="preserve"> of agreement from southern and northern member states respectively that EU member states should work more closely together.  Beyond this extremely high level of support for working together more closely, these responses again indicate </w:t>
      </w:r>
      <w:r w:rsidRPr="007706AF">
        <w:rPr>
          <w:rFonts w:ascii="Times New Roman" w:hAnsi="Times New Roman" w:cs="Times New Roman"/>
          <w:i/>
        </w:rPr>
        <w:t>convergence</w:t>
      </w:r>
      <w:r w:rsidRPr="007706AF">
        <w:rPr>
          <w:rFonts w:ascii="Times New Roman" w:hAnsi="Times New Roman" w:cs="Times New Roman"/>
        </w:rPr>
        <w:t xml:space="preserve"> in northern vs. southern attitudes.</w:t>
      </w:r>
    </w:p>
    <w:p w14:paraId="365BB123" w14:textId="7916EC8A" w:rsidR="00251174" w:rsidRPr="007706AF" w:rsidRDefault="00251174" w:rsidP="00ED49B4">
      <w:pPr>
        <w:spacing w:line="480" w:lineRule="auto"/>
        <w:ind w:firstLine="720"/>
        <w:rPr>
          <w:rFonts w:ascii="Times New Roman" w:hAnsi="Times New Roman" w:cs="Times New Roman"/>
        </w:rPr>
      </w:pPr>
      <w:r w:rsidRPr="007706AF">
        <w:rPr>
          <w:rFonts w:ascii="Times New Roman" w:hAnsi="Times New Roman" w:cs="Times New Roman"/>
        </w:rPr>
        <w:lastRenderedPageBreak/>
        <w:t>The question of whether the EU will be stronger over the longer term as a result of the crisis garnered an optimistic respo</w:t>
      </w:r>
      <w:r w:rsidR="00B96B6D" w:rsidRPr="007706AF">
        <w:rPr>
          <w:rFonts w:ascii="Times New Roman" w:hAnsi="Times New Roman" w:cs="Times New Roman"/>
        </w:rPr>
        <w:t>nse across both northern (55.75 per cent</w:t>
      </w:r>
      <w:r w:rsidRPr="007706AF">
        <w:rPr>
          <w:rFonts w:ascii="Times New Roman" w:hAnsi="Times New Roman" w:cs="Times New Roman"/>
        </w:rPr>
        <w:t>) a</w:t>
      </w:r>
      <w:r w:rsidR="00B96B6D" w:rsidRPr="007706AF">
        <w:rPr>
          <w:rFonts w:ascii="Times New Roman" w:hAnsi="Times New Roman" w:cs="Times New Roman"/>
        </w:rPr>
        <w:t>nd southern member states (49.6 per cent</w:t>
      </w:r>
      <w:r w:rsidRPr="007706AF">
        <w:rPr>
          <w:rFonts w:ascii="Times New Roman" w:hAnsi="Times New Roman" w:cs="Times New Roman"/>
        </w:rPr>
        <w:t xml:space="preserve">).  Given the uncertainty of the period immediately following the crisis, the answers to this question elicited a relatively high number of </w:t>
      </w:r>
      <w:r w:rsidR="00B96B6D" w:rsidRPr="007706AF">
        <w:rPr>
          <w:rFonts w:ascii="Times New Roman" w:hAnsi="Times New Roman" w:cs="Times New Roman"/>
        </w:rPr>
        <w:t>‘</w:t>
      </w:r>
      <w:r w:rsidRPr="007706AF">
        <w:rPr>
          <w:rFonts w:ascii="Times New Roman" w:hAnsi="Times New Roman" w:cs="Times New Roman"/>
        </w:rPr>
        <w:t>don’t know,</w:t>
      </w:r>
      <w:r w:rsidR="00B96B6D" w:rsidRPr="007706AF">
        <w:rPr>
          <w:rFonts w:ascii="Times New Roman" w:hAnsi="Times New Roman" w:cs="Times New Roman"/>
        </w:rPr>
        <w:t>’</w:t>
      </w:r>
      <w:r w:rsidRPr="007706AF">
        <w:rPr>
          <w:rFonts w:ascii="Times New Roman" w:hAnsi="Times New Roman" w:cs="Times New Roman"/>
        </w:rPr>
        <w:t xml:space="preserve"> but it is still significant that the number of citizens in agreement is relatively similar across core northern and southern member states, despite the very different experiences of the two regions during the crisis.  By contrast, before the crisis in Spring 2008, the average percentage of agreement among citizens in southern member states to the statement that </w:t>
      </w:r>
      <w:r w:rsidR="00B96B6D" w:rsidRPr="007706AF">
        <w:rPr>
          <w:rFonts w:ascii="Times New Roman" w:hAnsi="Times New Roman" w:cs="Times New Roman"/>
        </w:rPr>
        <w:t>‘</w:t>
      </w:r>
      <w:r w:rsidRPr="007706AF">
        <w:rPr>
          <w:rFonts w:ascii="Times New Roman" w:hAnsi="Times New Roman" w:cs="Times New Roman"/>
        </w:rPr>
        <w:t>things are going in the right direction</w:t>
      </w:r>
      <w:r w:rsidR="00B96B6D" w:rsidRPr="007706AF">
        <w:rPr>
          <w:rFonts w:ascii="Times New Roman" w:hAnsi="Times New Roman" w:cs="Times New Roman"/>
        </w:rPr>
        <w:t>’ in the European Union was 41.6 per cent</w:t>
      </w:r>
      <w:r w:rsidR="00005D49" w:rsidRPr="007706AF">
        <w:rPr>
          <w:rFonts w:ascii="Times New Roman" w:hAnsi="Times New Roman" w:cs="Times New Roman"/>
        </w:rPr>
        <w:t>,</w:t>
      </w:r>
      <w:r w:rsidR="00B96B6D" w:rsidRPr="007706AF">
        <w:rPr>
          <w:rFonts w:ascii="Times New Roman" w:hAnsi="Times New Roman" w:cs="Times New Roman"/>
        </w:rPr>
        <w:t xml:space="preserve"> and 37.75 per cent</w:t>
      </w:r>
      <w:r w:rsidRPr="007706AF">
        <w:rPr>
          <w:rFonts w:ascii="Times New Roman" w:hAnsi="Times New Roman" w:cs="Times New Roman"/>
        </w:rPr>
        <w:t xml:space="preserve"> for citizens in northern member states</w:t>
      </w:r>
      <w:r w:rsidR="004B4CA4" w:rsidRPr="007706AF">
        <w:rPr>
          <w:rFonts w:ascii="Times New Roman" w:hAnsi="Times New Roman" w:cs="Times New Roman"/>
        </w:rPr>
        <w:t xml:space="preserve"> (Eurobarometer 2008: data)</w:t>
      </w:r>
      <w:r w:rsidRPr="007706AF">
        <w:rPr>
          <w:rFonts w:ascii="Times New Roman" w:hAnsi="Times New Roman" w:cs="Times New Roman"/>
        </w:rPr>
        <w:t>.</w:t>
      </w:r>
      <w:r w:rsidRPr="007706AF">
        <w:rPr>
          <w:rStyle w:val="EndnoteReference"/>
          <w:rFonts w:ascii="Times New Roman" w:hAnsi="Times New Roman" w:cs="Times New Roman"/>
        </w:rPr>
        <w:endnoteReference w:id="11"/>
      </w:r>
      <w:r w:rsidRPr="007706AF">
        <w:rPr>
          <w:rFonts w:ascii="Times New Roman" w:hAnsi="Times New Roman" w:cs="Times New Roman"/>
        </w:rPr>
        <w:t xml:space="preserve">  Thus, this was not a source of North-South tension even before the crisis, but the increased level of optimism about the longer-term prospects for the EU, combined with very high levels of support for member states working together, does indicate a sense of catharsis</w:t>
      </w:r>
      <w:r w:rsidR="00F45AB3" w:rsidRPr="007706AF">
        <w:rPr>
          <w:rFonts w:ascii="Times New Roman" w:hAnsi="Times New Roman" w:cs="Times New Roman"/>
        </w:rPr>
        <w:t xml:space="preserve"> as </w:t>
      </w:r>
      <w:r w:rsidR="00EE4D85" w:rsidRPr="007706AF">
        <w:rPr>
          <w:rFonts w:ascii="Times New Roman" w:hAnsi="Times New Roman" w:cs="Times New Roman"/>
        </w:rPr>
        <w:t xml:space="preserve">the </w:t>
      </w:r>
      <w:r w:rsidR="007E5D98" w:rsidRPr="007706AF">
        <w:rPr>
          <w:rFonts w:ascii="Times New Roman" w:hAnsi="Times New Roman" w:cs="Times New Roman"/>
        </w:rPr>
        <w:t xml:space="preserve">existential </w:t>
      </w:r>
      <w:r w:rsidR="00EE4D85" w:rsidRPr="007706AF">
        <w:rPr>
          <w:rFonts w:ascii="Times New Roman" w:hAnsi="Times New Roman" w:cs="Times New Roman"/>
        </w:rPr>
        <w:t>crisis wound</w:t>
      </w:r>
      <w:r w:rsidR="00F45AB3" w:rsidRPr="007706AF">
        <w:rPr>
          <w:rFonts w:ascii="Times New Roman" w:hAnsi="Times New Roman" w:cs="Times New Roman"/>
        </w:rPr>
        <w:t xml:space="preserve"> down</w:t>
      </w:r>
      <w:r w:rsidRPr="007706AF">
        <w:rPr>
          <w:rFonts w:ascii="Times New Roman" w:hAnsi="Times New Roman" w:cs="Times New Roman"/>
        </w:rPr>
        <w:t xml:space="preserve">.  Similarly, the question of whether respondents feel closer to other Europeans, while somewhat vague (i.e. it does not say </w:t>
      </w:r>
      <w:r w:rsidRPr="007706AF">
        <w:rPr>
          <w:rFonts w:ascii="Times New Roman" w:hAnsi="Times New Roman" w:cs="Times New Roman"/>
          <w:i/>
        </w:rPr>
        <w:t>which</w:t>
      </w:r>
      <w:r w:rsidRPr="007706AF">
        <w:rPr>
          <w:rFonts w:ascii="Times New Roman" w:hAnsi="Times New Roman" w:cs="Times New Roman"/>
        </w:rPr>
        <w:t xml:space="preserve"> Europeans), is helpful in indicating that the harsh narratives expressed during the height of the crisis are not so strongly felt </w:t>
      </w:r>
      <w:r w:rsidR="007E5D98" w:rsidRPr="007706AF">
        <w:rPr>
          <w:rFonts w:ascii="Times New Roman" w:hAnsi="Times New Roman" w:cs="Times New Roman"/>
        </w:rPr>
        <w:t>post-</w:t>
      </w:r>
      <w:r w:rsidR="00A83401" w:rsidRPr="007706AF">
        <w:rPr>
          <w:rFonts w:ascii="Times New Roman" w:hAnsi="Times New Roman" w:cs="Times New Roman"/>
        </w:rPr>
        <w:t>crisis</w:t>
      </w:r>
      <w:r w:rsidRPr="007706AF">
        <w:rPr>
          <w:rFonts w:ascii="Times New Roman" w:hAnsi="Times New Roman" w:cs="Times New Roman"/>
        </w:rPr>
        <w:t>.</w:t>
      </w:r>
    </w:p>
    <w:p w14:paraId="7BF0BF2C" w14:textId="44150FE8" w:rsidR="00251174" w:rsidRPr="007706AF" w:rsidRDefault="00251174" w:rsidP="007706AF">
      <w:pPr>
        <w:spacing w:line="480" w:lineRule="auto"/>
        <w:ind w:firstLine="720"/>
        <w:rPr>
          <w:rFonts w:ascii="Times New Roman" w:hAnsi="Times New Roman" w:cs="Times New Roman"/>
        </w:rPr>
      </w:pPr>
      <w:r w:rsidRPr="007706AF">
        <w:rPr>
          <w:rFonts w:ascii="Times New Roman" w:hAnsi="Times New Roman" w:cs="Times New Roman"/>
        </w:rPr>
        <w:t xml:space="preserve">Overall, comparison of </w:t>
      </w:r>
      <w:r w:rsidR="00607B3F" w:rsidRPr="007706AF">
        <w:rPr>
          <w:rFonts w:ascii="Times New Roman" w:hAnsi="Times New Roman" w:cs="Times New Roman"/>
        </w:rPr>
        <w:t xml:space="preserve">related </w:t>
      </w:r>
      <w:r w:rsidRPr="007706AF">
        <w:rPr>
          <w:rFonts w:ascii="Times New Roman" w:hAnsi="Times New Roman" w:cs="Times New Roman"/>
        </w:rPr>
        <w:t>opinion po</w:t>
      </w:r>
      <w:r w:rsidR="00DA2928" w:rsidRPr="007706AF">
        <w:rPr>
          <w:rFonts w:ascii="Times New Roman" w:hAnsi="Times New Roman" w:cs="Times New Roman"/>
        </w:rPr>
        <w:t>lls before and after the crisis</w:t>
      </w:r>
      <w:r w:rsidRPr="007706AF">
        <w:rPr>
          <w:rFonts w:ascii="Times New Roman" w:hAnsi="Times New Roman" w:cs="Times New Roman"/>
        </w:rPr>
        <w:t xml:space="preserve"> </w:t>
      </w:r>
      <w:r w:rsidR="003E3CD0" w:rsidRPr="007706AF">
        <w:rPr>
          <w:rFonts w:ascii="Times New Roman" w:hAnsi="Times New Roman" w:cs="Times New Roman"/>
        </w:rPr>
        <w:t xml:space="preserve">supports </w:t>
      </w:r>
      <w:r w:rsidRPr="007706AF">
        <w:rPr>
          <w:rFonts w:ascii="Times New Roman" w:hAnsi="Times New Roman" w:cs="Times New Roman"/>
        </w:rPr>
        <w:t xml:space="preserve">the idea that the crisis served as an opportunity to release tensions related to North-South differences in economic cultures.  These tensions had been intensifying before the crisis, but they were openly expressed during the crisis, and were weakened </w:t>
      </w:r>
      <w:r w:rsidR="006E1FCE" w:rsidRPr="007706AF">
        <w:rPr>
          <w:rFonts w:ascii="Times New Roman" w:hAnsi="Times New Roman" w:cs="Times New Roman"/>
        </w:rPr>
        <w:t>after the height of the crisis</w:t>
      </w:r>
      <w:r w:rsidRPr="007706AF">
        <w:rPr>
          <w:rFonts w:ascii="Times New Roman" w:hAnsi="Times New Roman" w:cs="Times New Roman"/>
        </w:rPr>
        <w:t xml:space="preserve">.  </w:t>
      </w:r>
      <w:r w:rsidR="00984DD8" w:rsidRPr="007706AF">
        <w:rPr>
          <w:rFonts w:ascii="Times New Roman" w:hAnsi="Times New Roman" w:cs="Times New Roman"/>
        </w:rPr>
        <w:t>Linked to societal catharsis was the ability of m</w:t>
      </w:r>
      <w:r w:rsidRPr="007706AF">
        <w:rPr>
          <w:rFonts w:ascii="Times New Roman" w:hAnsi="Times New Roman" w:cs="Times New Roman"/>
        </w:rPr>
        <w:t xml:space="preserve">ember-state leaders to </w:t>
      </w:r>
      <w:r w:rsidR="00984DD8" w:rsidRPr="007706AF">
        <w:rPr>
          <w:rFonts w:ascii="Times New Roman" w:hAnsi="Times New Roman" w:cs="Times New Roman"/>
        </w:rPr>
        <w:t>agree to</w:t>
      </w:r>
      <w:r w:rsidRPr="007706AF">
        <w:rPr>
          <w:rFonts w:ascii="Times New Roman" w:hAnsi="Times New Roman" w:cs="Times New Roman"/>
        </w:rPr>
        <w:t xml:space="preserve"> new levels of economic integration </w:t>
      </w:r>
      <w:r w:rsidR="00984DD8" w:rsidRPr="007706AF">
        <w:rPr>
          <w:rFonts w:ascii="Times New Roman" w:hAnsi="Times New Roman" w:cs="Times New Roman"/>
        </w:rPr>
        <w:t>with at least implicit public support</w:t>
      </w:r>
      <w:r w:rsidR="007E5D98" w:rsidRPr="007706AF">
        <w:rPr>
          <w:rFonts w:ascii="Times New Roman" w:hAnsi="Times New Roman" w:cs="Times New Roman"/>
        </w:rPr>
        <w:t xml:space="preserve"> (attitudes towards austerity were a different matter)</w:t>
      </w:r>
      <w:r w:rsidR="00984DD8" w:rsidRPr="007706AF">
        <w:rPr>
          <w:rFonts w:ascii="Times New Roman" w:hAnsi="Times New Roman" w:cs="Times New Roman"/>
        </w:rPr>
        <w:t xml:space="preserve">.  </w:t>
      </w:r>
      <w:r w:rsidRPr="007706AF">
        <w:rPr>
          <w:rFonts w:ascii="Times New Roman" w:hAnsi="Times New Roman" w:cs="Times New Roman"/>
        </w:rPr>
        <w:t>Indeed, more than half of Europeans believe</w:t>
      </w:r>
      <w:r w:rsidR="00984DD8" w:rsidRPr="007706AF">
        <w:rPr>
          <w:rFonts w:ascii="Times New Roman" w:hAnsi="Times New Roman" w:cs="Times New Roman"/>
        </w:rPr>
        <w:t xml:space="preserve"> that there has been an</w:t>
      </w:r>
      <w:r w:rsidRPr="007706AF">
        <w:rPr>
          <w:rFonts w:ascii="Times New Roman" w:hAnsi="Times New Roman" w:cs="Times New Roman"/>
        </w:rPr>
        <w:t xml:space="preserve"> </w:t>
      </w:r>
      <w:r w:rsidR="00984DD8" w:rsidRPr="007706AF">
        <w:rPr>
          <w:rFonts w:ascii="Times New Roman" w:hAnsi="Times New Roman" w:cs="Times New Roman"/>
        </w:rPr>
        <w:t xml:space="preserve">increase in the future legitimacy of </w:t>
      </w:r>
      <w:r w:rsidR="00984DD8" w:rsidRPr="007706AF">
        <w:rPr>
          <w:rFonts w:ascii="Times New Roman" w:hAnsi="Times New Roman" w:cs="Times New Roman"/>
        </w:rPr>
        <w:lastRenderedPageBreak/>
        <w:t>the EU as an economic power in world politics</w:t>
      </w:r>
      <w:r w:rsidRPr="007706AF">
        <w:rPr>
          <w:rFonts w:ascii="Times New Roman" w:hAnsi="Times New Roman" w:cs="Times New Roman"/>
        </w:rPr>
        <w:t>, and systematic studies show that more financial integration will likely lead to more development and growth for the EU economy.</w:t>
      </w:r>
      <w:r w:rsidRPr="007706AF">
        <w:rPr>
          <w:rStyle w:val="EndnoteReference"/>
          <w:rFonts w:ascii="Times New Roman" w:hAnsi="Times New Roman" w:cs="Times New Roman"/>
        </w:rPr>
        <w:endnoteReference w:id="12"/>
      </w:r>
    </w:p>
    <w:p w14:paraId="481B71C5" w14:textId="77777777" w:rsidR="00897665" w:rsidRPr="007706AF" w:rsidRDefault="00897665" w:rsidP="007706AF">
      <w:pPr>
        <w:spacing w:line="480" w:lineRule="auto"/>
        <w:rPr>
          <w:rFonts w:ascii="Times New Roman" w:hAnsi="Times New Roman" w:cs="Times New Roman"/>
        </w:rPr>
      </w:pPr>
    </w:p>
    <w:p w14:paraId="6458BBC6" w14:textId="5E5B9CE5" w:rsidR="00251174" w:rsidRPr="007706AF" w:rsidRDefault="00251174" w:rsidP="007706AF">
      <w:pPr>
        <w:spacing w:line="480" w:lineRule="auto"/>
        <w:rPr>
          <w:rFonts w:ascii="Times New Roman" w:hAnsi="Times New Roman" w:cs="Times New Roman"/>
          <w:b/>
        </w:rPr>
      </w:pPr>
      <w:r w:rsidRPr="007706AF">
        <w:rPr>
          <w:rFonts w:ascii="Times New Roman" w:hAnsi="Times New Roman" w:cs="Times New Roman"/>
          <w:b/>
        </w:rPr>
        <w:t>Conclusion</w:t>
      </w:r>
    </w:p>
    <w:p w14:paraId="086CC4AD" w14:textId="6C2A8352" w:rsidR="00607B3F" w:rsidRPr="007706AF" w:rsidRDefault="00251174" w:rsidP="00ED49B4">
      <w:pPr>
        <w:spacing w:line="480" w:lineRule="auto"/>
        <w:ind w:firstLine="720"/>
        <w:rPr>
          <w:rFonts w:ascii="Times New Roman" w:hAnsi="Times New Roman" w:cs="Times New Roman"/>
        </w:rPr>
      </w:pPr>
      <w:r w:rsidRPr="007706AF">
        <w:rPr>
          <w:rFonts w:ascii="Times New Roman" w:hAnsi="Times New Roman" w:cs="Times New Roman"/>
        </w:rPr>
        <w:t>The existing literature on crisis resoluti</w:t>
      </w:r>
      <w:r w:rsidR="007E5D98" w:rsidRPr="007706AF">
        <w:rPr>
          <w:rFonts w:ascii="Times New Roman" w:hAnsi="Times New Roman" w:cs="Times New Roman"/>
        </w:rPr>
        <w:t xml:space="preserve">on makes clear that crises are </w:t>
      </w:r>
      <w:r w:rsidRPr="007706AF">
        <w:rPr>
          <w:rFonts w:ascii="Times New Roman" w:hAnsi="Times New Roman" w:cs="Times New Roman"/>
        </w:rPr>
        <w:t xml:space="preserve">critical junctures that broaden the range of possible outcomes, give leaders more power to decide than they have normally, and in the case of international crises, enable leaders to give up on collective action, </w:t>
      </w:r>
      <w:r w:rsidR="003E3CD0" w:rsidRPr="007706AF">
        <w:rPr>
          <w:rFonts w:ascii="Times New Roman" w:hAnsi="Times New Roman" w:cs="Times New Roman"/>
        </w:rPr>
        <w:t xml:space="preserve">to </w:t>
      </w:r>
      <w:r w:rsidRPr="007706AF">
        <w:rPr>
          <w:rFonts w:ascii="Times New Roman" w:hAnsi="Times New Roman" w:cs="Times New Roman"/>
        </w:rPr>
        <w:t xml:space="preserve">freeze it, or </w:t>
      </w:r>
      <w:r w:rsidR="003E3CD0" w:rsidRPr="007706AF">
        <w:rPr>
          <w:rFonts w:ascii="Times New Roman" w:hAnsi="Times New Roman" w:cs="Times New Roman"/>
        </w:rPr>
        <w:t xml:space="preserve">to </w:t>
      </w:r>
      <w:r w:rsidRPr="007706AF">
        <w:rPr>
          <w:rFonts w:ascii="Times New Roman" w:hAnsi="Times New Roman" w:cs="Times New Roman"/>
        </w:rPr>
        <w:t xml:space="preserve">push forward.  </w:t>
      </w:r>
      <w:r w:rsidR="007E5D98" w:rsidRPr="007706AF">
        <w:rPr>
          <w:rFonts w:ascii="Times New Roman" w:hAnsi="Times New Roman" w:cs="Times New Roman"/>
        </w:rPr>
        <w:t>Of course, elite consensus</w:t>
      </w:r>
      <w:r w:rsidRPr="007706AF">
        <w:rPr>
          <w:rFonts w:ascii="Times New Roman" w:hAnsi="Times New Roman" w:cs="Times New Roman"/>
        </w:rPr>
        <w:t xml:space="preserve"> may end up exacerbating the situation</w:t>
      </w:r>
      <w:r w:rsidR="007608FB" w:rsidRPr="007706AF">
        <w:rPr>
          <w:rFonts w:ascii="Times New Roman" w:hAnsi="Times New Roman" w:cs="Times New Roman"/>
        </w:rPr>
        <w:t xml:space="preserve"> (i.e. with austerity)</w:t>
      </w:r>
      <w:r w:rsidRPr="007706AF">
        <w:rPr>
          <w:rFonts w:ascii="Times New Roman" w:hAnsi="Times New Roman" w:cs="Times New Roman"/>
        </w:rPr>
        <w:t xml:space="preserve"> or making circumstances worse</w:t>
      </w:r>
      <w:r w:rsidR="007608FB" w:rsidRPr="007706AF">
        <w:rPr>
          <w:rFonts w:ascii="Times New Roman" w:hAnsi="Times New Roman" w:cs="Times New Roman"/>
        </w:rPr>
        <w:t xml:space="preserve"> (i.e. high unemployment and low growth)</w:t>
      </w:r>
      <w:r w:rsidRPr="007706AF">
        <w:rPr>
          <w:rFonts w:ascii="Times New Roman" w:hAnsi="Times New Roman" w:cs="Times New Roman"/>
        </w:rPr>
        <w:t xml:space="preserve"> before they get better.  However, </w:t>
      </w:r>
      <w:r w:rsidR="007E5D98" w:rsidRPr="007706AF">
        <w:rPr>
          <w:rFonts w:ascii="Times New Roman" w:hAnsi="Times New Roman" w:cs="Times New Roman"/>
        </w:rPr>
        <w:t>the question of why the EU seems to continually resolve</w:t>
      </w:r>
      <w:r w:rsidRPr="007706AF">
        <w:rPr>
          <w:rFonts w:ascii="Times New Roman" w:hAnsi="Times New Roman" w:cs="Times New Roman"/>
        </w:rPr>
        <w:t xml:space="preserve"> crises with more political will </w:t>
      </w:r>
      <w:r w:rsidR="007E5D98" w:rsidRPr="007706AF">
        <w:rPr>
          <w:rFonts w:ascii="Times New Roman" w:hAnsi="Times New Roman" w:cs="Times New Roman"/>
        </w:rPr>
        <w:t>to advance the European project is worth investigating</w:t>
      </w:r>
      <w:r w:rsidRPr="007706AF">
        <w:rPr>
          <w:rFonts w:ascii="Times New Roman" w:hAnsi="Times New Roman" w:cs="Times New Roman"/>
        </w:rPr>
        <w:t xml:space="preserve">. </w:t>
      </w:r>
    </w:p>
    <w:p w14:paraId="41D16C07" w14:textId="13346193" w:rsidR="00251174" w:rsidRPr="007706AF" w:rsidRDefault="00251174" w:rsidP="00ED49B4">
      <w:pPr>
        <w:spacing w:line="480" w:lineRule="auto"/>
        <w:ind w:firstLine="720"/>
        <w:rPr>
          <w:rFonts w:ascii="Times New Roman" w:hAnsi="Times New Roman" w:cs="Times New Roman"/>
        </w:rPr>
      </w:pPr>
      <w:r w:rsidRPr="007706AF">
        <w:rPr>
          <w:rFonts w:ascii="Times New Roman" w:hAnsi="Times New Roman" w:cs="Times New Roman"/>
        </w:rPr>
        <w:t xml:space="preserve">I </w:t>
      </w:r>
      <w:r w:rsidR="00E57858" w:rsidRPr="007706AF">
        <w:rPr>
          <w:rFonts w:ascii="Times New Roman" w:hAnsi="Times New Roman" w:cs="Times New Roman"/>
        </w:rPr>
        <w:t>suggest</w:t>
      </w:r>
      <w:r w:rsidRPr="007706AF">
        <w:rPr>
          <w:rFonts w:ascii="Times New Roman" w:hAnsi="Times New Roman" w:cs="Times New Roman"/>
        </w:rPr>
        <w:t xml:space="preserve"> that </w:t>
      </w:r>
      <w:r w:rsidR="00E57858" w:rsidRPr="007706AF">
        <w:rPr>
          <w:rFonts w:ascii="Times New Roman" w:hAnsi="Times New Roman" w:cs="Times New Roman"/>
        </w:rPr>
        <w:t>an important dimension</w:t>
      </w:r>
      <w:r w:rsidRPr="007706AF">
        <w:rPr>
          <w:rFonts w:ascii="Times New Roman" w:hAnsi="Times New Roman" w:cs="Times New Roman"/>
        </w:rPr>
        <w:t xml:space="preserve"> in </w:t>
      </w:r>
      <w:r w:rsidR="00E57858" w:rsidRPr="007706AF">
        <w:rPr>
          <w:rFonts w:ascii="Times New Roman" w:hAnsi="Times New Roman" w:cs="Times New Roman"/>
        </w:rPr>
        <w:t>building new areas of elite consensus</w:t>
      </w:r>
      <w:r w:rsidRPr="007706AF">
        <w:rPr>
          <w:rFonts w:ascii="Times New Roman" w:hAnsi="Times New Roman" w:cs="Times New Roman"/>
        </w:rPr>
        <w:t xml:space="preserve"> after the Eurozone crisis was</w:t>
      </w:r>
      <w:r w:rsidR="00CB7209" w:rsidRPr="007706AF">
        <w:rPr>
          <w:rFonts w:ascii="Times New Roman" w:hAnsi="Times New Roman" w:cs="Times New Roman"/>
        </w:rPr>
        <w:t xml:space="preserve"> the</w:t>
      </w:r>
      <w:r w:rsidR="00984DD8" w:rsidRPr="007706AF">
        <w:rPr>
          <w:rFonts w:ascii="Times New Roman" w:hAnsi="Times New Roman" w:cs="Times New Roman"/>
        </w:rPr>
        <w:t xml:space="preserve"> linked</w:t>
      </w:r>
      <w:r w:rsidR="00CB7209" w:rsidRPr="007706AF">
        <w:rPr>
          <w:rFonts w:ascii="Times New Roman" w:hAnsi="Times New Roman" w:cs="Times New Roman"/>
        </w:rPr>
        <w:t xml:space="preserve"> and simultaneous </w:t>
      </w:r>
      <w:r w:rsidR="00984DD8" w:rsidRPr="007706AF">
        <w:rPr>
          <w:rFonts w:ascii="Times New Roman" w:hAnsi="Times New Roman" w:cs="Times New Roman"/>
        </w:rPr>
        <w:t xml:space="preserve">process </w:t>
      </w:r>
      <w:r w:rsidR="00CB7209" w:rsidRPr="007706AF">
        <w:rPr>
          <w:rFonts w:ascii="Times New Roman" w:hAnsi="Times New Roman" w:cs="Times New Roman"/>
        </w:rPr>
        <w:t xml:space="preserve">of </w:t>
      </w:r>
      <w:r w:rsidRPr="007706AF">
        <w:rPr>
          <w:rFonts w:ascii="Times New Roman" w:hAnsi="Times New Roman" w:cs="Times New Roman"/>
        </w:rPr>
        <w:t>catharsis that took place across northern</w:t>
      </w:r>
      <w:r w:rsidR="00E57858" w:rsidRPr="007706AF">
        <w:rPr>
          <w:rFonts w:ascii="Times New Roman" w:hAnsi="Times New Roman" w:cs="Times New Roman"/>
        </w:rPr>
        <w:t xml:space="preserve"> and southern Eurozone countries, and the resulting convergence in societal attitudes. </w:t>
      </w:r>
      <w:r w:rsidR="00607B3F" w:rsidRPr="007706AF">
        <w:rPr>
          <w:rFonts w:ascii="Times New Roman" w:hAnsi="Times New Roman" w:cs="Times New Roman"/>
        </w:rPr>
        <w:t xml:space="preserve">In other crisis cases, </w:t>
      </w:r>
      <w:r w:rsidR="00CB7209" w:rsidRPr="007706AF">
        <w:rPr>
          <w:rFonts w:ascii="Times New Roman" w:hAnsi="Times New Roman" w:cs="Times New Roman"/>
        </w:rPr>
        <w:t>other</w:t>
      </w:r>
      <w:r w:rsidR="00E57858" w:rsidRPr="007706AF">
        <w:rPr>
          <w:rFonts w:ascii="Times New Roman" w:hAnsi="Times New Roman" w:cs="Times New Roman"/>
        </w:rPr>
        <w:t xml:space="preserve"> tensions</w:t>
      </w:r>
      <w:r w:rsidR="00CB7209" w:rsidRPr="007706AF">
        <w:rPr>
          <w:rFonts w:ascii="Times New Roman" w:hAnsi="Times New Roman" w:cs="Times New Roman"/>
        </w:rPr>
        <w:t xml:space="preserve"> might be at stake</w:t>
      </w:r>
      <w:r w:rsidR="00E57858" w:rsidRPr="007706AF">
        <w:rPr>
          <w:rFonts w:ascii="Times New Roman" w:hAnsi="Times New Roman" w:cs="Times New Roman"/>
        </w:rPr>
        <w:t xml:space="preserve">, such as East-West, public-elite, and so on.  </w:t>
      </w:r>
      <w:r w:rsidR="00CB7209" w:rsidRPr="007706AF">
        <w:rPr>
          <w:rFonts w:ascii="Times New Roman" w:hAnsi="Times New Roman" w:cs="Times New Roman"/>
        </w:rPr>
        <w:t>A next step is to investigate</w:t>
      </w:r>
      <w:r w:rsidR="00607B3F" w:rsidRPr="007706AF">
        <w:rPr>
          <w:rFonts w:ascii="Times New Roman" w:hAnsi="Times New Roman" w:cs="Times New Roman"/>
        </w:rPr>
        <w:t xml:space="preserve"> the motivations </w:t>
      </w:r>
      <w:r w:rsidR="00CB7209" w:rsidRPr="007706AF">
        <w:rPr>
          <w:rFonts w:ascii="Times New Roman" w:hAnsi="Times New Roman" w:cs="Times New Roman"/>
        </w:rPr>
        <w:t>and</w:t>
      </w:r>
      <w:r w:rsidR="00E57858" w:rsidRPr="007706AF">
        <w:rPr>
          <w:rFonts w:ascii="Times New Roman" w:hAnsi="Times New Roman" w:cs="Times New Roman"/>
        </w:rPr>
        <w:t xml:space="preserve"> mechanisms </w:t>
      </w:r>
      <w:r w:rsidR="00607B3F" w:rsidRPr="007706AF">
        <w:rPr>
          <w:rFonts w:ascii="Times New Roman" w:hAnsi="Times New Roman" w:cs="Times New Roman"/>
        </w:rPr>
        <w:t>behind elite choices.  It is reasonable to assume that in a democratic environment, elites would care about public opinion</w:t>
      </w:r>
      <w:r w:rsidR="00E57858" w:rsidRPr="007706AF">
        <w:rPr>
          <w:rFonts w:ascii="Times New Roman" w:hAnsi="Times New Roman" w:cs="Times New Roman"/>
        </w:rPr>
        <w:t>, or being seen to contribute to a solution</w:t>
      </w:r>
      <w:r w:rsidR="00607B3F" w:rsidRPr="007706AF">
        <w:rPr>
          <w:rFonts w:ascii="Times New Roman" w:hAnsi="Times New Roman" w:cs="Times New Roman"/>
        </w:rPr>
        <w:t>, but future research could confirm this.</w:t>
      </w:r>
      <w:r w:rsidR="007608FB" w:rsidRPr="007706AF">
        <w:rPr>
          <w:rFonts w:ascii="Times New Roman" w:hAnsi="Times New Roman" w:cs="Times New Roman"/>
        </w:rPr>
        <w:t xml:space="preserve">  Moreover, the question of why the EU is more prone to experiencing catharsis after existential crisis compared to other political arrangements, such as the League of Nations, could be </w:t>
      </w:r>
      <w:r w:rsidR="00CB7209" w:rsidRPr="007706AF">
        <w:rPr>
          <w:rFonts w:ascii="Times New Roman" w:hAnsi="Times New Roman" w:cs="Times New Roman"/>
        </w:rPr>
        <w:t>established.</w:t>
      </w:r>
    </w:p>
    <w:p w14:paraId="14A31D56" w14:textId="35A288B6" w:rsidR="00251174" w:rsidRPr="007706AF" w:rsidRDefault="00251174" w:rsidP="00ED49B4">
      <w:pPr>
        <w:spacing w:line="480" w:lineRule="auto"/>
        <w:ind w:firstLine="720"/>
        <w:rPr>
          <w:rFonts w:ascii="Times New Roman" w:hAnsi="Times New Roman" w:cs="Times New Roman"/>
        </w:rPr>
      </w:pPr>
      <w:r w:rsidRPr="007706AF">
        <w:rPr>
          <w:rFonts w:ascii="Times New Roman" w:hAnsi="Times New Roman" w:cs="Times New Roman"/>
        </w:rPr>
        <w:t xml:space="preserve">Many scholars contend that there has actually been an </w:t>
      </w:r>
      <w:r w:rsidRPr="007706AF">
        <w:rPr>
          <w:rFonts w:ascii="Times New Roman" w:hAnsi="Times New Roman" w:cs="Times New Roman"/>
          <w:i/>
        </w:rPr>
        <w:t>intensification</w:t>
      </w:r>
      <w:r w:rsidRPr="007706AF">
        <w:rPr>
          <w:rFonts w:ascii="Times New Roman" w:hAnsi="Times New Roman" w:cs="Times New Roman"/>
        </w:rPr>
        <w:t xml:space="preserve"> of North-South </w:t>
      </w:r>
      <w:r w:rsidR="00005D49" w:rsidRPr="007706AF">
        <w:rPr>
          <w:rFonts w:ascii="Times New Roman" w:hAnsi="Times New Roman" w:cs="Times New Roman"/>
        </w:rPr>
        <w:t>tensions</w:t>
      </w:r>
      <w:r w:rsidRPr="007706AF">
        <w:rPr>
          <w:rFonts w:ascii="Times New Roman" w:hAnsi="Times New Roman" w:cs="Times New Roman"/>
        </w:rPr>
        <w:t xml:space="preserve"> in the wake of the crisis</w:t>
      </w:r>
      <w:r w:rsidR="00832A81" w:rsidRPr="007706AF">
        <w:rPr>
          <w:rFonts w:ascii="Times New Roman" w:hAnsi="Times New Roman" w:cs="Times New Roman"/>
        </w:rPr>
        <w:t xml:space="preserve"> (Torreblanca and Leonard 2013: 1--6)</w:t>
      </w:r>
      <w:r w:rsidRPr="007706AF">
        <w:rPr>
          <w:rFonts w:ascii="Times New Roman" w:hAnsi="Times New Roman" w:cs="Times New Roman"/>
        </w:rPr>
        <w:t xml:space="preserve">. </w:t>
      </w:r>
      <w:r w:rsidR="00832A81" w:rsidRPr="007706AF">
        <w:rPr>
          <w:rFonts w:ascii="Times New Roman" w:hAnsi="Times New Roman" w:cs="Times New Roman"/>
        </w:rPr>
        <w:t xml:space="preserve"> </w:t>
      </w:r>
      <w:r w:rsidRPr="007706AF">
        <w:rPr>
          <w:rFonts w:ascii="Times New Roman" w:hAnsi="Times New Roman" w:cs="Times New Roman"/>
        </w:rPr>
        <w:t xml:space="preserve">They typically cite the southern region’s plummeting trust in national governments and political parties, while northern </w:t>
      </w:r>
      <w:r w:rsidRPr="007706AF">
        <w:rPr>
          <w:rFonts w:ascii="Times New Roman" w:hAnsi="Times New Roman" w:cs="Times New Roman"/>
        </w:rPr>
        <w:lastRenderedPageBreak/>
        <w:t>citizens’ trust in national institutions remains about the same as before the crisis</w:t>
      </w:r>
      <w:r w:rsidR="00832A81" w:rsidRPr="007706AF">
        <w:rPr>
          <w:rFonts w:ascii="Times New Roman" w:hAnsi="Times New Roman" w:cs="Times New Roman"/>
        </w:rPr>
        <w:t xml:space="preserve"> (Eurobarometer as cited in Alonso 2013)</w:t>
      </w:r>
      <w:r w:rsidRPr="007706AF">
        <w:rPr>
          <w:rFonts w:ascii="Times New Roman" w:hAnsi="Times New Roman" w:cs="Times New Roman"/>
        </w:rPr>
        <w:t xml:space="preserve">. </w:t>
      </w:r>
      <w:r w:rsidR="00832A81" w:rsidRPr="007706AF">
        <w:rPr>
          <w:rFonts w:ascii="Times New Roman" w:hAnsi="Times New Roman" w:cs="Times New Roman"/>
        </w:rPr>
        <w:t xml:space="preserve"> </w:t>
      </w:r>
      <w:r w:rsidRPr="007706AF">
        <w:rPr>
          <w:rFonts w:ascii="Times New Roman" w:hAnsi="Times New Roman" w:cs="Times New Roman"/>
        </w:rPr>
        <w:t>Or, they argue that</w:t>
      </w:r>
      <w:r w:rsidR="00005D49" w:rsidRPr="007706AF">
        <w:rPr>
          <w:rFonts w:ascii="Times New Roman" w:hAnsi="Times New Roman" w:cs="Times New Roman"/>
        </w:rPr>
        <w:t xml:space="preserve"> the creditor countries in the N</w:t>
      </w:r>
      <w:r w:rsidRPr="007706AF">
        <w:rPr>
          <w:rFonts w:ascii="Times New Roman" w:hAnsi="Times New Roman" w:cs="Times New Roman"/>
        </w:rPr>
        <w:t>orth do not want to bear t</w:t>
      </w:r>
      <w:r w:rsidR="00005D49" w:rsidRPr="007706AF">
        <w:rPr>
          <w:rFonts w:ascii="Times New Roman" w:hAnsi="Times New Roman" w:cs="Times New Roman"/>
        </w:rPr>
        <w:t>he debt burden of those in the South, while those in the S</w:t>
      </w:r>
      <w:r w:rsidRPr="007706AF">
        <w:rPr>
          <w:rFonts w:ascii="Times New Roman" w:hAnsi="Times New Roman" w:cs="Times New Roman"/>
        </w:rPr>
        <w:t xml:space="preserve">outh feel as though the EU has placed them in an economic </w:t>
      </w:r>
      <w:r w:rsidR="00B96B6D" w:rsidRPr="007706AF">
        <w:rPr>
          <w:rFonts w:ascii="Times New Roman" w:hAnsi="Times New Roman" w:cs="Times New Roman"/>
        </w:rPr>
        <w:t>‘</w:t>
      </w:r>
      <w:r w:rsidRPr="007706AF">
        <w:rPr>
          <w:rFonts w:ascii="Times New Roman" w:hAnsi="Times New Roman" w:cs="Times New Roman"/>
        </w:rPr>
        <w:t>straightjacket</w:t>
      </w:r>
      <w:r w:rsidR="00B96B6D" w:rsidRPr="007706AF">
        <w:rPr>
          <w:rFonts w:ascii="Times New Roman" w:hAnsi="Times New Roman" w:cs="Times New Roman"/>
        </w:rPr>
        <w:t>’</w:t>
      </w:r>
      <w:r w:rsidR="00F552C7" w:rsidRPr="007706AF">
        <w:rPr>
          <w:rFonts w:ascii="Times New Roman" w:hAnsi="Times New Roman" w:cs="Times New Roman"/>
        </w:rPr>
        <w:t xml:space="preserve"> (Torreblanca and Leonard 2013).</w:t>
      </w:r>
      <w:r w:rsidRPr="007706AF">
        <w:rPr>
          <w:rFonts w:ascii="Times New Roman" w:hAnsi="Times New Roman" w:cs="Times New Roman"/>
        </w:rPr>
        <w:t xml:space="preserve"> </w:t>
      </w:r>
      <w:r w:rsidR="00F552C7" w:rsidRPr="007706AF">
        <w:rPr>
          <w:rFonts w:ascii="Times New Roman" w:hAnsi="Times New Roman" w:cs="Times New Roman"/>
        </w:rPr>
        <w:t xml:space="preserve"> </w:t>
      </w:r>
      <w:r w:rsidRPr="007706AF">
        <w:rPr>
          <w:rFonts w:ascii="Times New Roman" w:hAnsi="Times New Roman" w:cs="Times New Roman"/>
        </w:rPr>
        <w:t xml:space="preserve">Much of the media and public commentary </w:t>
      </w:r>
      <w:r w:rsidR="00005D49" w:rsidRPr="007706AF">
        <w:rPr>
          <w:rFonts w:ascii="Times New Roman" w:hAnsi="Times New Roman" w:cs="Times New Roman"/>
        </w:rPr>
        <w:t xml:space="preserve">also </w:t>
      </w:r>
      <w:r w:rsidRPr="007706AF">
        <w:rPr>
          <w:rFonts w:ascii="Times New Roman" w:hAnsi="Times New Roman" w:cs="Times New Roman"/>
        </w:rPr>
        <w:t xml:space="preserve">focuses on the dire circumstances associated with growing Euroskepticism, citing declining trust overall in the EU (Rohac 2013). </w:t>
      </w:r>
      <w:r w:rsidR="00890194" w:rsidRPr="007706AF">
        <w:rPr>
          <w:rFonts w:ascii="Times New Roman" w:hAnsi="Times New Roman" w:cs="Times New Roman"/>
        </w:rPr>
        <w:t xml:space="preserve"> </w:t>
      </w:r>
      <w:r w:rsidR="00005D49" w:rsidRPr="007706AF">
        <w:rPr>
          <w:rFonts w:ascii="Times New Roman" w:hAnsi="Times New Roman" w:cs="Times New Roman"/>
        </w:rPr>
        <w:t>The</w:t>
      </w:r>
      <w:r w:rsidRPr="007706AF">
        <w:rPr>
          <w:rFonts w:ascii="Times New Roman" w:hAnsi="Times New Roman" w:cs="Times New Roman"/>
        </w:rPr>
        <w:t xml:space="preserve"> </w:t>
      </w:r>
      <w:r w:rsidR="00005D49" w:rsidRPr="007706AF">
        <w:rPr>
          <w:rFonts w:ascii="Times New Roman" w:hAnsi="Times New Roman" w:cs="Times New Roman"/>
        </w:rPr>
        <w:t xml:space="preserve">further </w:t>
      </w:r>
      <w:r w:rsidRPr="007706AF">
        <w:rPr>
          <w:rFonts w:ascii="Times New Roman" w:hAnsi="Times New Roman" w:cs="Times New Roman"/>
        </w:rPr>
        <w:t>assumption</w:t>
      </w:r>
      <w:r w:rsidR="00005D49" w:rsidRPr="007706AF">
        <w:rPr>
          <w:rFonts w:ascii="Times New Roman" w:hAnsi="Times New Roman" w:cs="Times New Roman"/>
        </w:rPr>
        <w:t xml:space="preserve"> is</w:t>
      </w:r>
      <w:r w:rsidRPr="007706AF">
        <w:rPr>
          <w:rFonts w:ascii="Times New Roman" w:hAnsi="Times New Roman" w:cs="Times New Roman"/>
        </w:rPr>
        <w:t xml:space="preserve"> that if these two trends are at work, and yet, European leaders continue with significant steps towards more integration, there must also be a growing democratic deficit.</w:t>
      </w:r>
    </w:p>
    <w:p w14:paraId="5089FCE3" w14:textId="79703886" w:rsidR="00251174" w:rsidRPr="007706AF" w:rsidRDefault="00251174" w:rsidP="00ED49B4">
      <w:pPr>
        <w:spacing w:line="480" w:lineRule="auto"/>
        <w:ind w:firstLine="720"/>
        <w:rPr>
          <w:rFonts w:ascii="Times New Roman" w:hAnsi="Times New Roman" w:cs="Times New Roman"/>
        </w:rPr>
      </w:pPr>
      <w:r w:rsidRPr="007706AF">
        <w:rPr>
          <w:rFonts w:ascii="Times New Roman" w:hAnsi="Times New Roman" w:cs="Times New Roman"/>
        </w:rPr>
        <w:t xml:space="preserve">I would suggest that the premises of these two </w:t>
      </w:r>
      <w:r w:rsidR="003E3CD0" w:rsidRPr="007706AF">
        <w:rPr>
          <w:rFonts w:ascii="Times New Roman" w:hAnsi="Times New Roman" w:cs="Times New Roman"/>
        </w:rPr>
        <w:t xml:space="preserve">general </w:t>
      </w:r>
      <w:r w:rsidRPr="007706AF">
        <w:rPr>
          <w:rFonts w:ascii="Times New Roman" w:hAnsi="Times New Roman" w:cs="Times New Roman"/>
        </w:rPr>
        <w:t xml:space="preserve">views on the effects of the Eurozone crisis are somewhat flawed.  First, in terms of the claim that the North-South divide has grown even stronger, I have cited evidence to the contrary in this article: </w:t>
      </w:r>
      <w:r w:rsidR="002C255B" w:rsidRPr="007706AF">
        <w:rPr>
          <w:rFonts w:ascii="Times New Roman" w:hAnsi="Times New Roman" w:cs="Times New Roman"/>
        </w:rPr>
        <w:t>after the height of the crisis</w:t>
      </w:r>
      <w:r w:rsidRPr="007706AF">
        <w:rPr>
          <w:rFonts w:ascii="Times New Roman" w:hAnsi="Times New Roman" w:cs="Times New Roman"/>
        </w:rPr>
        <w:t xml:space="preserve">, northern and southern views have </w:t>
      </w:r>
      <w:r w:rsidRPr="007706AF">
        <w:rPr>
          <w:rFonts w:ascii="Times New Roman" w:hAnsi="Times New Roman" w:cs="Times New Roman"/>
          <w:i/>
        </w:rPr>
        <w:t>converged</w:t>
      </w:r>
      <w:r w:rsidRPr="007706AF">
        <w:rPr>
          <w:rFonts w:ascii="Times New Roman" w:hAnsi="Times New Roman" w:cs="Times New Roman"/>
        </w:rPr>
        <w:t xml:space="preserve"> in support of prioritizing the EU as the level that should decide economic policy, and the overwhelming majority believes that EU members states should and must work more closely together.  In addition, if northern and southern member states have different levels of trust in their </w:t>
      </w:r>
      <w:r w:rsidRPr="007706AF">
        <w:rPr>
          <w:rFonts w:ascii="Times New Roman" w:hAnsi="Times New Roman" w:cs="Times New Roman"/>
          <w:i/>
        </w:rPr>
        <w:t>national</w:t>
      </w:r>
      <w:r w:rsidRPr="007706AF">
        <w:rPr>
          <w:rFonts w:ascii="Times New Roman" w:hAnsi="Times New Roman" w:cs="Times New Roman"/>
        </w:rPr>
        <w:t>-level institutions</w:t>
      </w:r>
      <w:r w:rsidR="003D7B31" w:rsidRPr="007706AF">
        <w:rPr>
          <w:rFonts w:ascii="Times New Roman" w:hAnsi="Times New Roman" w:cs="Times New Roman"/>
        </w:rPr>
        <w:t>,</w:t>
      </w:r>
      <w:r w:rsidRPr="007706AF">
        <w:rPr>
          <w:rFonts w:ascii="Times New Roman" w:hAnsi="Times New Roman" w:cs="Times New Roman"/>
        </w:rPr>
        <w:t xml:space="preserve"> this says nothing about tensions </w:t>
      </w:r>
      <w:r w:rsidRPr="007706AF">
        <w:rPr>
          <w:rFonts w:ascii="Times New Roman" w:hAnsi="Times New Roman" w:cs="Times New Roman"/>
          <w:i/>
        </w:rPr>
        <w:t xml:space="preserve">between </w:t>
      </w:r>
      <w:r w:rsidRPr="007706AF">
        <w:rPr>
          <w:rFonts w:ascii="Times New Roman" w:hAnsi="Times New Roman" w:cs="Times New Roman"/>
        </w:rPr>
        <w:t xml:space="preserve">these two regions.  </w:t>
      </w:r>
      <w:r w:rsidR="007608FB" w:rsidRPr="007706AF">
        <w:rPr>
          <w:rFonts w:ascii="Times New Roman" w:hAnsi="Times New Roman" w:cs="Times New Roman"/>
        </w:rPr>
        <w:t>It</w:t>
      </w:r>
      <w:r w:rsidRPr="007706AF">
        <w:rPr>
          <w:rFonts w:ascii="Times New Roman" w:hAnsi="Times New Roman" w:cs="Times New Roman"/>
        </w:rPr>
        <w:t xml:space="preserve"> is important to </w:t>
      </w:r>
      <w:r w:rsidR="007608FB" w:rsidRPr="007706AF">
        <w:rPr>
          <w:rFonts w:ascii="Times New Roman" w:hAnsi="Times New Roman" w:cs="Times New Roman"/>
        </w:rPr>
        <w:t>note</w:t>
      </w:r>
      <w:r w:rsidRPr="007706AF">
        <w:rPr>
          <w:rFonts w:ascii="Times New Roman" w:hAnsi="Times New Roman" w:cs="Times New Roman"/>
        </w:rPr>
        <w:t xml:space="preserve"> that public trust declined </w:t>
      </w:r>
      <w:r w:rsidRPr="007706AF">
        <w:rPr>
          <w:rFonts w:ascii="Times New Roman" w:hAnsi="Times New Roman" w:cs="Times New Roman"/>
          <w:i/>
        </w:rPr>
        <w:t>further</w:t>
      </w:r>
      <w:r w:rsidRPr="007706AF">
        <w:rPr>
          <w:rFonts w:ascii="Times New Roman" w:hAnsi="Times New Roman" w:cs="Times New Roman"/>
        </w:rPr>
        <w:t xml:space="preserve"> for national-level institutions than it did for EU-level institutions</w:t>
      </w:r>
      <w:r w:rsidR="003D7B31" w:rsidRPr="007706AF">
        <w:rPr>
          <w:rFonts w:ascii="Times New Roman" w:hAnsi="Times New Roman" w:cs="Times New Roman"/>
        </w:rPr>
        <w:t xml:space="preserve"> over this period</w:t>
      </w:r>
      <w:r w:rsidR="00890194" w:rsidRPr="007706AF">
        <w:rPr>
          <w:rFonts w:ascii="Times New Roman" w:hAnsi="Times New Roman" w:cs="Times New Roman"/>
        </w:rPr>
        <w:t xml:space="preserve"> (Eurobarometer 2013: 5).</w:t>
      </w:r>
      <w:r w:rsidRPr="007706AF">
        <w:rPr>
          <w:rFonts w:ascii="Times New Roman" w:hAnsi="Times New Roman" w:cs="Times New Roman"/>
        </w:rPr>
        <w:t xml:space="preserve"> </w:t>
      </w:r>
      <w:r w:rsidR="00890194" w:rsidRPr="007706AF">
        <w:rPr>
          <w:rFonts w:ascii="Times New Roman" w:hAnsi="Times New Roman" w:cs="Times New Roman"/>
        </w:rPr>
        <w:t xml:space="preserve"> </w:t>
      </w:r>
      <w:r w:rsidR="00CB7209" w:rsidRPr="007706AF">
        <w:rPr>
          <w:rFonts w:ascii="Times New Roman" w:hAnsi="Times New Roman" w:cs="Times New Roman"/>
        </w:rPr>
        <w:t xml:space="preserve">Thus, Europeans are less trusting in democratic institutions </w:t>
      </w:r>
      <w:r w:rsidR="00CB7209" w:rsidRPr="007706AF">
        <w:rPr>
          <w:rFonts w:ascii="Times New Roman" w:hAnsi="Times New Roman" w:cs="Times New Roman"/>
          <w:i/>
        </w:rPr>
        <w:t>in general</w:t>
      </w:r>
      <w:r w:rsidR="00E77447" w:rsidRPr="007706AF">
        <w:rPr>
          <w:rFonts w:ascii="Times New Roman" w:hAnsi="Times New Roman" w:cs="Times New Roman"/>
        </w:rPr>
        <w:t xml:space="preserve"> compared to before the crisis.</w:t>
      </w:r>
    </w:p>
    <w:p w14:paraId="1A74F13B" w14:textId="3EE87DAC" w:rsidR="00251174" w:rsidRPr="007706AF" w:rsidRDefault="00251174" w:rsidP="00ED49B4">
      <w:pPr>
        <w:spacing w:line="480" w:lineRule="auto"/>
        <w:ind w:firstLine="720"/>
        <w:rPr>
          <w:rFonts w:ascii="Times New Roman" w:hAnsi="Times New Roman" w:cs="Times New Roman"/>
        </w:rPr>
      </w:pPr>
      <w:r w:rsidRPr="007706AF">
        <w:rPr>
          <w:rFonts w:ascii="Times New Roman" w:hAnsi="Times New Roman" w:cs="Times New Roman"/>
        </w:rPr>
        <w:t xml:space="preserve">Second, </w:t>
      </w:r>
      <w:r w:rsidR="00CB7209" w:rsidRPr="007706AF">
        <w:rPr>
          <w:rFonts w:ascii="Times New Roman" w:hAnsi="Times New Roman" w:cs="Times New Roman"/>
        </w:rPr>
        <w:t>a</w:t>
      </w:r>
      <w:r w:rsidRPr="007706AF">
        <w:rPr>
          <w:rFonts w:ascii="Times New Roman" w:hAnsi="Times New Roman" w:cs="Times New Roman"/>
        </w:rPr>
        <w:t xml:space="preserve">s Serricchio, Tsakatika, and Quaglia </w:t>
      </w:r>
      <w:r w:rsidR="00890194" w:rsidRPr="007706AF">
        <w:rPr>
          <w:rFonts w:ascii="Times New Roman" w:hAnsi="Times New Roman" w:cs="Times New Roman"/>
        </w:rPr>
        <w:t xml:space="preserve">(2013: 52) </w:t>
      </w:r>
      <w:r w:rsidRPr="007706AF">
        <w:rPr>
          <w:rFonts w:ascii="Times New Roman" w:hAnsi="Times New Roman" w:cs="Times New Roman"/>
        </w:rPr>
        <w:t>write, there is</w:t>
      </w:r>
      <w:r w:rsidR="00005D49" w:rsidRPr="007706AF">
        <w:rPr>
          <w:rFonts w:ascii="Times New Roman" w:hAnsi="Times New Roman" w:cs="Times New Roman"/>
        </w:rPr>
        <w:t>,</w:t>
      </w:r>
      <w:r w:rsidRPr="007706AF">
        <w:rPr>
          <w:rFonts w:ascii="Times New Roman" w:hAnsi="Times New Roman" w:cs="Times New Roman"/>
        </w:rPr>
        <w:t xml:space="preserve"> </w:t>
      </w:r>
      <w:r w:rsidR="00B96B6D" w:rsidRPr="007706AF">
        <w:rPr>
          <w:rFonts w:ascii="Times New Roman" w:hAnsi="Times New Roman" w:cs="Times New Roman"/>
        </w:rPr>
        <w:t>‘</w:t>
      </w:r>
      <w:r w:rsidRPr="007706AF">
        <w:rPr>
          <w:rFonts w:ascii="Times New Roman" w:hAnsi="Times New Roman" w:cs="Times New Roman"/>
        </w:rPr>
        <w:t>a distinction between mass attitudes towards the current workings of the EU and mass attitudes towards the project of European integration</w:t>
      </w:r>
      <w:r w:rsidR="00005D49" w:rsidRPr="007706AF">
        <w:rPr>
          <w:rFonts w:ascii="Times New Roman" w:hAnsi="Times New Roman" w:cs="Times New Roman"/>
        </w:rPr>
        <w:t>.</w:t>
      </w:r>
      <w:r w:rsidR="00B96B6D" w:rsidRPr="007706AF">
        <w:rPr>
          <w:rFonts w:ascii="Times New Roman" w:hAnsi="Times New Roman" w:cs="Times New Roman"/>
        </w:rPr>
        <w:t>’</w:t>
      </w:r>
      <w:r w:rsidRPr="007706AF">
        <w:rPr>
          <w:rFonts w:ascii="Times New Roman" w:hAnsi="Times New Roman" w:cs="Times New Roman"/>
        </w:rPr>
        <w:t xml:space="preserve"> </w:t>
      </w:r>
      <w:r w:rsidR="00F552C7" w:rsidRPr="007706AF">
        <w:rPr>
          <w:rFonts w:ascii="Times New Roman" w:hAnsi="Times New Roman" w:cs="Times New Roman"/>
        </w:rPr>
        <w:t xml:space="preserve"> </w:t>
      </w:r>
      <w:r w:rsidRPr="007706AF">
        <w:rPr>
          <w:rFonts w:ascii="Times New Roman" w:hAnsi="Times New Roman" w:cs="Times New Roman"/>
        </w:rPr>
        <w:t xml:space="preserve">In other words, critics of the EU are not </w:t>
      </w:r>
      <w:r w:rsidRPr="007706AF">
        <w:rPr>
          <w:rFonts w:ascii="Times New Roman" w:hAnsi="Times New Roman" w:cs="Times New Roman"/>
          <w:i/>
        </w:rPr>
        <w:t>necessarily</w:t>
      </w:r>
      <w:r w:rsidRPr="007706AF">
        <w:rPr>
          <w:rFonts w:ascii="Times New Roman" w:hAnsi="Times New Roman" w:cs="Times New Roman"/>
        </w:rPr>
        <w:t xml:space="preserve"> skeptical of the EU.  For example, Greek citizens have declining trust in the EU, but they still </w:t>
      </w:r>
      <w:r w:rsidRPr="007706AF">
        <w:rPr>
          <w:rFonts w:ascii="Times New Roman" w:hAnsi="Times New Roman" w:cs="Times New Roman"/>
        </w:rPr>
        <w:lastRenderedPageBreak/>
        <w:t>overwhelmingly want to stay in the EU and keep the Euro</w:t>
      </w:r>
      <w:r w:rsidR="00F552C7" w:rsidRPr="007706AF">
        <w:rPr>
          <w:rFonts w:ascii="Times New Roman" w:hAnsi="Times New Roman" w:cs="Times New Roman"/>
        </w:rPr>
        <w:t xml:space="preserve"> (Nanou and Vernet 2013)</w:t>
      </w:r>
      <w:r w:rsidRPr="007706AF">
        <w:rPr>
          <w:rFonts w:ascii="Times New Roman" w:hAnsi="Times New Roman" w:cs="Times New Roman"/>
        </w:rPr>
        <w:t xml:space="preserve">. </w:t>
      </w:r>
      <w:r w:rsidR="00F552C7" w:rsidRPr="007706AF">
        <w:rPr>
          <w:rFonts w:ascii="Times New Roman" w:hAnsi="Times New Roman" w:cs="Times New Roman"/>
        </w:rPr>
        <w:t xml:space="preserve"> </w:t>
      </w:r>
      <w:r w:rsidRPr="007706AF">
        <w:rPr>
          <w:rFonts w:ascii="Times New Roman" w:hAnsi="Times New Roman" w:cs="Times New Roman"/>
        </w:rPr>
        <w:t>More generally, opinion polls indicate that European citizens maintained their confidence in financial institutions between the pre-crisis era and 2012</w:t>
      </w:r>
      <w:r w:rsidR="00F552C7" w:rsidRPr="007706AF">
        <w:rPr>
          <w:rFonts w:ascii="Times New Roman" w:hAnsi="Times New Roman" w:cs="Times New Roman"/>
        </w:rPr>
        <w:t xml:space="preserve"> (Manchin 2012b)</w:t>
      </w:r>
      <w:r w:rsidRPr="007706AF">
        <w:rPr>
          <w:rFonts w:ascii="Times New Roman" w:hAnsi="Times New Roman" w:cs="Times New Roman"/>
        </w:rPr>
        <w:t>.</w:t>
      </w:r>
      <w:r w:rsidR="00CB7209" w:rsidRPr="007706AF">
        <w:rPr>
          <w:rFonts w:ascii="Times New Roman" w:hAnsi="Times New Roman" w:cs="Times New Roman"/>
        </w:rPr>
        <w:t xml:space="preserve"> </w:t>
      </w:r>
      <w:r w:rsidRPr="007706AF">
        <w:rPr>
          <w:rFonts w:ascii="Times New Roman" w:hAnsi="Times New Roman" w:cs="Times New Roman"/>
        </w:rPr>
        <w:t xml:space="preserve"> For the most part, they </w:t>
      </w:r>
      <w:r w:rsidR="00005D49" w:rsidRPr="007706AF">
        <w:rPr>
          <w:rFonts w:ascii="Times New Roman" w:hAnsi="Times New Roman" w:cs="Times New Roman"/>
        </w:rPr>
        <w:t xml:space="preserve">have </w:t>
      </w:r>
      <w:r w:rsidRPr="007706AF">
        <w:rPr>
          <w:rFonts w:ascii="Times New Roman" w:hAnsi="Times New Roman" w:cs="Times New Roman"/>
        </w:rPr>
        <w:t>maintained their faith in meritocracy of the European employment sector</w:t>
      </w:r>
      <w:r w:rsidR="00F552C7" w:rsidRPr="007706AF">
        <w:rPr>
          <w:rFonts w:ascii="Times New Roman" w:hAnsi="Times New Roman" w:cs="Times New Roman"/>
        </w:rPr>
        <w:t xml:space="preserve"> (Manchin 2012a)</w:t>
      </w:r>
      <w:r w:rsidRPr="007706AF">
        <w:rPr>
          <w:rFonts w:ascii="Times New Roman" w:hAnsi="Times New Roman" w:cs="Times New Roman"/>
        </w:rPr>
        <w:t xml:space="preserve">. </w:t>
      </w:r>
      <w:r w:rsidR="00F552C7" w:rsidRPr="007706AF">
        <w:rPr>
          <w:rFonts w:ascii="Times New Roman" w:hAnsi="Times New Roman" w:cs="Times New Roman"/>
        </w:rPr>
        <w:t xml:space="preserve"> </w:t>
      </w:r>
      <w:r w:rsidRPr="007706AF">
        <w:rPr>
          <w:rFonts w:ascii="Times New Roman" w:hAnsi="Times New Roman" w:cs="Times New Roman"/>
        </w:rPr>
        <w:t xml:space="preserve">The November 2013 Eurobarometer </w:t>
      </w:r>
      <w:r w:rsidR="00F552C7" w:rsidRPr="007706AF">
        <w:rPr>
          <w:rFonts w:ascii="Times New Roman" w:hAnsi="Times New Roman" w:cs="Times New Roman"/>
        </w:rPr>
        <w:t xml:space="preserve">(9) </w:t>
      </w:r>
      <w:r w:rsidRPr="007706AF">
        <w:rPr>
          <w:rFonts w:ascii="Times New Roman" w:hAnsi="Times New Roman" w:cs="Times New Roman"/>
        </w:rPr>
        <w:t xml:space="preserve">survey </w:t>
      </w:r>
      <w:r w:rsidR="00005D49" w:rsidRPr="007706AF">
        <w:rPr>
          <w:rFonts w:ascii="Times New Roman" w:hAnsi="Times New Roman" w:cs="Times New Roman"/>
        </w:rPr>
        <w:t>also reveals</w:t>
      </w:r>
      <w:r w:rsidRPr="007706AF">
        <w:rPr>
          <w:rFonts w:ascii="Times New Roman" w:hAnsi="Times New Roman" w:cs="Times New Roman"/>
        </w:rPr>
        <w:t xml:space="preserve"> that more than half of Europeans are optimistic about the future of the EU, while pessimism is declining. </w:t>
      </w:r>
      <w:r w:rsidR="00F552C7" w:rsidRPr="007706AF">
        <w:rPr>
          <w:rFonts w:ascii="Times New Roman" w:hAnsi="Times New Roman" w:cs="Times New Roman"/>
        </w:rPr>
        <w:t xml:space="preserve"> </w:t>
      </w:r>
      <w:r w:rsidRPr="007706AF">
        <w:rPr>
          <w:rFonts w:ascii="Times New Roman" w:hAnsi="Times New Roman" w:cs="Times New Roman"/>
        </w:rPr>
        <w:t>The same is true for support of the single market and common currency</w:t>
      </w:r>
      <w:r w:rsidR="00F552C7" w:rsidRPr="007706AF">
        <w:rPr>
          <w:rFonts w:ascii="Times New Roman" w:hAnsi="Times New Roman" w:cs="Times New Roman"/>
        </w:rPr>
        <w:t xml:space="preserve"> (24)</w:t>
      </w:r>
      <w:r w:rsidRPr="007706AF">
        <w:rPr>
          <w:rFonts w:ascii="Times New Roman" w:hAnsi="Times New Roman" w:cs="Times New Roman"/>
        </w:rPr>
        <w:t>.</w:t>
      </w:r>
    </w:p>
    <w:p w14:paraId="44E2B54A" w14:textId="48774575" w:rsidR="00EB6E51" w:rsidRPr="007706AF" w:rsidRDefault="00EB6E51" w:rsidP="00ED49B4">
      <w:pPr>
        <w:spacing w:line="480" w:lineRule="auto"/>
        <w:rPr>
          <w:rFonts w:ascii="Times New Roman" w:hAnsi="Times New Roman" w:cs="Times New Roman"/>
        </w:rPr>
      </w:pPr>
      <w:r w:rsidRPr="007706AF">
        <w:rPr>
          <w:rFonts w:ascii="Times New Roman" w:hAnsi="Times New Roman" w:cs="Times New Roman"/>
        </w:rPr>
        <w:tab/>
      </w:r>
      <w:r w:rsidR="00773397" w:rsidRPr="007706AF">
        <w:rPr>
          <w:rFonts w:ascii="Times New Roman" w:hAnsi="Times New Roman" w:cs="Times New Roman"/>
        </w:rPr>
        <w:t>The</w:t>
      </w:r>
      <w:r w:rsidRPr="007706AF">
        <w:rPr>
          <w:rFonts w:ascii="Times New Roman" w:hAnsi="Times New Roman" w:cs="Times New Roman"/>
        </w:rPr>
        <w:t xml:space="preserve"> case of the Eurozone crisis provides just one example of a general pattern </w:t>
      </w:r>
      <w:r w:rsidR="007608FB" w:rsidRPr="007706AF">
        <w:rPr>
          <w:rFonts w:ascii="Times New Roman" w:hAnsi="Times New Roman" w:cs="Times New Roman"/>
        </w:rPr>
        <w:t xml:space="preserve">likely present </w:t>
      </w:r>
      <w:r w:rsidRPr="007706AF">
        <w:rPr>
          <w:rFonts w:ascii="Times New Roman" w:hAnsi="Times New Roman" w:cs="Times New Roman"/>
        </w:rPr>
        <w:t>in much of the integration process</w:t>
      </w:r>
      <w:r w:rsidR="003D7B31" w:rsidRPr="007706AF">
        <w:rPr>
          <w:rFonts w:ascii="Times New Roman" w:hAnsi="Times New Roman" w:cs="Times New Roman"/>
        </w:rPr>
        <w:t>,</w:t>
      </w:r>
      <w:r w:rsidRPr="007706AF">
        <w:rPr>
          <w:rFonts w:ascii="Times New Roman" w:hAnsi="Times New Roman" w:cs="Times New Roman"/>
        </w:rPr>
        <w:t xml:space="preserve"> that </w:t>
      </w:r>
      <w:r w:rsidR="00E57858" w:rsidRPr="007706AF">
        <w:rPr>
          <w:rFonts w:ascii="Times New Roman" w:hAnsi="Times New Roman" w:cs="Times New Roman"/>
        </w:rPr>
        <w:t xml:space="preserve">crises result in more opportunities for consensus in the EU.  </w:t>
      </w:r>
      <w:r w:rsidR="00EE140B" w:rsidRPr="007706AF">
        <w:rPr>
          <w:rFonts w:ascii="Times New Roman" w:hAnsi="Times New Roman" w:cs="Times New Roman"/>
        </w:rPr>
        <w:t xml:space="preserve">This </w:t>
      </w:r>
      <w:r w:rsidR="00A96691" w:rsidRPr="007706AF">
        <w:rPr>
          <w:rFonts w:ascii="Times New Roman" w:hAnsi="Times New Roman" w:cs="Times New Roman"/>
        </w:rPr>
        <w:t>article</w:t>
      </w:r>
      <w:r w:rsidR="00EE140B" w:rsidRPr="007706AF">
        <w:rPr>
          <w:rFonts w:ascii="Times New Roman" w:hAnsi="Times New Roman" w:cs="Times New Roman"/>
        </w:rPr>
        <w:t xml:space="preserve"> has explored why this might be the case, beyond standard accounts of crisis resolution.</w:t>
      </w:r>
      <w:r w:rsidR="00825E96" w:rsidRPr="007706AF">
        <w:rPr>
          <w:rFonts w:ascii="Times New Roman" w:hAnsi="Times New Roman" w:cs="Times New Roman"/>
        </w:rPr>
        <w:t xml:space="preserve"> </w:t>
      </w:r>
      <w:r w:rsidR="00EE140B" w:rsidRPr="007706AF">
        <w:rPr>
          <w:rFonts w:ascii="Times New Roman" w:hAnsi="Times New Roman" w:cs="Times New Roman"/>
        </w:rPr>
        <w:t xml:space="preserve"> Thus, what</w:t>
      </w:r>
      <w:r w:rsidRPr="007706AF">
        <w:rPr>
          <w:rFonts w:ascii="Times New Roman" w:hAnsi="Times New Roman" w:cs="Times New Roman"/>
        </w:rPr>
        <w:t xml:space="preserve"> might appear to be episodes of failure can also be viewed as triggers for future success.</w:t>
      </w:r>
      <w:r w:rsidR="0029477D" w:rsidRPr="007706AF">
        <w:rPr>
          <w:rFonts w:ascii="Times New Roman" w:hAnsi="Times New Roman" w:cs="Times New Roman"/>
        </w:rPr>
        <w:t xml:space="preserve"> </w:t>
      </w:r>
    </w:p>
    <w:p w14:paraId="1F52D7FE" w14:textId="77777777" w:rsidR="008C6E2D" w:rsidRPr="007706AF" w:rsidRDefault="008C6E2D" w:rsidP="00ED49B4">
      <w:pPr>
        <w:spacing w:line="480" w:lineRule="auto"/>
        <w:rPr>
          <w:rFonts w:ascii="Times New Roman" w:hAnsi="Times New Roman" w:cs="Times New Roman"/>
        </w:rPr>
      </w:pPr>
    </w:p>
    <w:p w14:paraId="50AE9EF4" w14:textId="7A912DB1" w:rsidR="00EE6832" w:rsidRPr="007706AF" w:rsidRDefault="00EE6832" w:rsidP="001821B2">
      <w:pPr>
        <w:spacing w:line="480" w:lineRule="auto"/>
        <w:rPr>
          <w:rFonts w:ascii="Times New Roman" w:hAnsi="Times New Roman" w:cs="Times New Roman"/>
          <w:b/>
        </w:rPr>
      </w:pPr>
      <w:r w:rsidRPr="007706AF">
        <w:rPr>
          <w:rFonts w:ascii="Times New Roman" w:hAnsi="Times New Roman" w:cs="Times New Roman"/>
          <w:b/>
        </w:rPr>
        <w:t>References</w:t>
      </w:r>
    </w:p>
    <w:p w14:paraId="58D58CA3" w14:textId="0F86E1FC" w:rsidR="00DE51BA" w:rsidRPr="007706AF" w:rsidRDefault="00DE51BA" w:rsidP="001821B2">
      <w:pPr>
        <w:pStyle w:val="FootnoteText"/>
        <w:spacing w:line="480" w:lineRule="auto"/>
        <w:ind w:left="360" w:hanging="360"/>
        <w:rPr>
          <w:szCs w:val="24"/>
        </w:rPr>
      </w:pPr>
      <w:r w:rsidRPr="007706AF">
        <w:rPr>
          <w:szCs w:val="24"/>
        </w:rPr>
        <w:t>Alonso, Sonia (2013)</w:t>
      </w:r>
      <w:r w:rsidR="00762953" w:rsidRPr="007706AF">
        <w:rPr>
          <w:szCs w:val="24"/>
        </w:rPr>
        <w:t>.</w:t>
      </w:r>
      <w:r w:rsidRPr="007706AF">
        <w:rPr>
          <w:szCs w:val="24"/>
        </w:rPr>
        <w:t xml:space="preserve"> </w:t>
      </w:r>
      <w:r w:rsidR="00762953" w:rsidRPr="007706AF">
        <w:rPr>
          <w:szCs w:val="24"/>
        </w:rPr>
        <w:t>“</w:t>
      </w:r>
      <w:r w:rsidRPr="007706AF">
        <w:rPr>
          <w:szCs w:val="24"/>
        </w:rPr>
        <w:t>A perfect storm: Europe’s growing North-South divide</w:t>
      </w:r>
      <w:r w:rsidR="00762953" w:rsidRPr="007706AF">
        <w:rPr>
          <w:szCs w:val="24"/>
        </w:rPr>
        <w:t>”,</w:t>
      </w:r>
      <w:r w:rsidRPr="007706AF">
        <w:rPr>
          <w:i/>
          <w:szCs w:val="24"/>
        </w:rPr>
        <w:t xml:space="preserve"> Policy Network,</w:t>
      </w:r>
      <w:r w:rsidRPr="007706AF">
        <w:rPr>
          <w:szCs w:val="24"/>
        </w:rPr>
        <w:t xml:space="preserve"> September 12. </w:t>
      </w:r>
    </w:p>
    <w:p w14:paraId="68839185" w14:textId="29FB3E98" w:rsidR="00C423A4" w:rsidRPr="007706AF" w:rsidRDefault="00C423A4" w:rsidP="00C423A4">
      <w:pPr>
        <w:pStyle w:val="FootnoteText"/>
        <w:spacing w:line="480" w:lineRule="auto"/>
        <w:ind w:left="360" w:hanging="360"/>
        <w:rPr>
          <w:b/>
        </w:rPr>
      </w:pPr>
      <w:proofErr w:type="gramStart"/>
      <w:r w:rsidRPr="007706AF">
        <w:t>Ash, Timothy Garton (2012).</w:t>
      </w:r>
      <w:proofErr w:type="gramEnd"/>
      <w:r w:rsidRPr="007706AF">
        <w:t xml:space="preserve"> “The Crisis of Europe: How the Union Came Together and Why It’s Falling Apart.” </w:t>
      </w:r>
      <w:r w:rsidRPr="007706AF">
        <w:rPr>
          <w:i/>
        </w:rPr>
        <w:t xml:space="preserve">Foreign Affairs </w:t>
      </w:r>
      <w:r w:rsidRPr="007706AF">
        <w:t>91(5)</w:t>
      </w:r>
      <w:proofErr w:type="gramStart"/>
      <w:r w:rsidRPr="007706AF">
        <w:t>:2</w:t>
      </w:r>
      <w:proofErr w:type="gramEnd"/>
      <w:r w:rsidRPr="007706AF">
        <w:t>.</w:t>
      </w:r>
    </w:p>
    <w:p w14:paraId="1381223C" w14:textId="68A4D534" w:rsidR="00DE51BA" w:rsidRPr="007706AF" w:rsidRDefault="00DE51BA" w:rsidP="001821B2">
      <w:pPr>
        <w:pStyle w:val="FootnoteText"/>
        <w:spacing w:line="480" w:lineRule="auto"/>
        <w:ind w:left="360" w:hanging="360"/>
        <w:rPr>
          <w:szCs w:val="24"/>
        </w:rPr>
      </w:pPr>
      <w:r w:rsidRPr="007706AF">
        <w:rPr>
          <w:szCs w:val="24"/>
        </w:rPr>
        <w:t>Boin, Arjen (2004)</w:t>
      </w:r>
      <w:r w:rsidR="00762953" w:rsidRPr="007706AF">
        <w:rPr>
          <w:szCs w:val="24"/>
        </w:rPr>
        <w:t>.</w:t>
      </w:r>
      <w:r w:rsidRPr="007706AF">
        <w:rPr>
          <w:szCs w:val="24"/>
        </w:rPr>
        <w:t xml:space="preserve"> </w:t>
      </w:r>
      <w:r w:rsidR="00762953" w:rsidRPr="007706AF">
        <w:rPr>
          <w:szCs w:val="24"/>
        </w:rPr>
        <w:t>“</w:t>
      </w:r>
      <w:r w:rsidRPr="007706AF">
        <w:rPr>
          <w:szCs w:val="24"/>
        </w:rPr>
        <w:t>Lessons from Crisis Research</w:t>
      </w:r>
      <w:r w:rsidR="00762953" w:rsidRPr="007706AF">
        <w:rPr>
          <w:szCs w:val="24"/>
        </w:rPr>
        <w:t>”,</w:t>
      </w:r>
      <w:r w:rsidRPr="007706AF">
        <w:rPr>
          <w:i/>
          <w:szCs w:val="24"/>
        </w:rPr>
        <w:t xml:space="preserve"> International Studies Review</w:t>
      </w:r>
      <w:r w:rsidRPr="007706AF">
        <w:rPr>
          <w:szCs w:val="24"/>
        </w:rPr>
        <w:t xml:space="preserve"> 6(1): 165-194. </w:t>
      </w:r>
    </w:p>
    <w:p w14:paraId="5C0B032E" w14:textId="42F889D6" w:rsidR="00DE51BA" w:rsidRPr="007706AF" w:rsidRDefault="00DE51BA" w:rsidP="001821B2">
      <w:pPr>
        <w:pStyle w:val="FootnoteText"/>
        <w:spacing w:line="480" w:lineRule="auto"/>
        <w:ind w:left="360" w:hanging="360"/>
        <w:rPr>
          <w:szCs w:val="24"/>
        </w:rPr>
      </w:pPr>
      <w:proofErr w:type="gramStart"/>
      <w:r w:rsidRPr="007706AF">
        <w:rPr>
          <w:szCs w:val="24"/>
        </w:rPr>
        <w:t>Boin, Arjen, Paul ‘t Hart, Eric Stern, and Bengt Sundelius (2005)</w:t>
      </w:r>
      <w:r w:rsidR="00762953" w:rsidRPr="007706AF">
        <w:rPr>
          <w:szCs w:val="24"/>
        </w:rPr>
        <w:t>.</w:t>
      </w:r>
      <w:proofErr w:type="gramEnd"/>
      <w:r w:rsidRPr="007706AF">
        <w:rPr>
          <w:szCs w:val="24"/>
        </w:rPr>
        <w:t xml:space="preserve"> </w:t>
      </w:r>
      <w:r w:rsidRPr="007706AF">
        <w:rPr>
          <w:i/>
          <w:szCs w:val="24"/>
        </w:rPr>
        <w:t>The Politics of Crisis Management: Public Leadership under Pressure</w:t>
      </w:r>
      <w:r w:rsidR="00762953" w:rsidRPr="007706AF">
        <w:rPr>
          <w:i/>
          <w:szCs w:val="24"/>
        </w:rPr>
        <w:t>.</w:t>
      </w:r>
      <w:r w:rsidRPr="007706AF">
        <w:rPr>
          <w:szCs w:val="24"/>
        </w:rPr>
        <w:t xml:space="preserve"> </w:t>
      </w:r>
      <w:r w:rsidR="00762953" w:rsidRPr="007706AF">
        <w:rPr>
          <w:szCs w:val="24"/>
        </w:rPr>
        <w:t xml:space="preserve">Cambridge: </w:t>
      </w:r>
      <w:r w:rsidRPr="007706AF">
        <w:rPr>
          <w:szCs w:val="24"/>
        </w:rPr>
        <w:t xml:space="preserve">Cambridge University Press. </w:t>
      </w:r>
    </w:p>
    <w:p w14:paraId="2D85DC12" w14:textId="17790B00" w:rsidR="00DE51BA" w:rsidRPr="007706AF" w:rsidRDefault="00DE51BA" w:rsidP="001821B2">
      <w:pPr>
        <w:pStyle w:val="FootnoteText"/>
        <w:spacing w:line="480" w:lineRule="auto"/>
        <w:ind w:left="360" w:hanging="360"/>
        <w:rPr>
          <w:szCs w:val="24"/>
        </w:rPr>
      </w:pPr>
      <w:r w:rsidRPr="007706AF">
        <w:rPr>
          <w:szCs w:val="24"/>
        </w:rPr>
        <w:lastRenderedPageBreak/>
        <w:t>Capoccia, Giovanni and Kelemen, R. Daniel (2007)</w:t>
      </w:r>
      <w:r w:rsidR="00762953" w:rsidRPr="007706AF">
        <w:rPr>
          <w:szCs w:val="24"/>
        </w:rPr>
        <w:t>.</w:t>
      </w:r>
      <w:r w:rsidRPr="007706AF">
        <w:rPr>
          <w:szCs w:val="24"/>
        </w:rPr>
        <w:t xml:space="preserve"> </w:t>
      </w:r>
      <w:r w:rsidR="00762953" w:rsidRPr="007706AF">
        <w:rPr>
          <w:szCs w:val="24"/>
        </w:rPr>
        <w:t>“</w:t>
      </w:r>
      <w:r w:rsidRPr="007706AF">
        <w:rPr>
          <w:szCs w:val="24"/>
        </w:rPr>
        <w:t>The Study of Critical Junctures: Theory, Narrative, and Counterfactuals in Historical Institutionalism</w:t>
      </w:r>
      <w:r w:rsidR="00762953" w:rsidRPr="007706AF">
        <w:rPr>
          <w:szCs w:val="24"/>
        </w:rPr>
        <w:t>”,</w:t>
      </w:r>
      <w:r w:rsidRPr="007706AF">
        <w:rPr>
          <w:szCs w:val="24"/>
        </w:rPr>
        <w:t xml:space="preserve"> </w:t>
      </w:r>
      <w:r w:rsidRPr="007706AF">
        <w:rPr>
          <w:i/>
          <w:szCs w:val="24"/>
        </w:rPr>
        <w:t>World Politics</w:t>
      </w:r>
      <w:r w:rsidRPr="007706AF">
        <w:rPr>
          <w:szCs w:val="24"/>
        </w:rPr>
        <w:t>, 59(3): 343–369.</w:t>
      </w:r>
    </w:p>
    <w:p w14:paraId="71B34E11" w14:textId="134DB4A8" w:rsidR="00DE51BA" w:rsidRPr="007706AF" w:rsidRDefault="00DE51BA" w:rsidP="001821B2">
      <w:pPr>
        <w:pStyle w:val="FootnoteText"/>
        <w:spacing w:line="480" w:lineRule="auto"/>
        <w:ind w:left="360" w:hanging="360"/>
        <w:rPr>
          <w:szCs w:val="24"/>
        </w:rPr>
      </w:pPr>
      <w:r w:rsidRPr="007706AF">
        <w:rPr>
          <w:szCs w:val="24"/>
        </w:rPr>
        <w:t>Cross, M</w:t>
      </w:r>
      <w:r w:rsidR="00172103" w:rsidRPr="007706AF">
        <w:rPr>
          <w:szCs w:val="24"/>
        </w:rPr>
        <w:t>ai’a K. Davis and Xinru Ma (2015</w:t>
      </w:r>
      <w:r w:rsidRPr="007706AF">
        <w:rPr>
          <w:szCs w:val="24"/>
        </w:rPr>
        <w:t>)</w:t>
      </w:r>
      <w:r w:rsidR="00762953" w:rsidRPr="007706AF">
        <w:rPr>
          <w:szCs w:val="24"/>
        </w:rPr>
        <w:t>.</w:t>
      </w:r>
      <w:r w:rsidRPr="007706AF">
        <w:rPr>
          <w:szCs w:val="24"/>
        </w:rPr>
        <w:t xml:space="preserve"> “</w:t>
      </w:r>
      <w:r w:rsidR="00172103" w:rsidRPr="007706AF">
        <w:rPr>
          <w:szCs w:val="24"/>
        </w:rPr>
        <w:t xml:space="preserve">EU Crises &amp; Integrational Panic: The Role of the Media,” </w:t>
      </w:r>
      <w:r w:rsidR="00172103" w:rsidRPr="007706AF">
        <w:rPr>
          <w:i/>
          <w:szCs w:val="24"/>
        </w:rPr>
        <w:t>Journal of European Public Policy,</w:t>
      </w:r>
      <w:r w:rsidR="00172103" w:rsidRPr="007706AF">
        <w:rPr>
          <w:szCs w:val="24"/>
        </w:rPr>
        <w:t xml:space="preserve"> January </w:t>
      </w:r>
      <w:r w:rsidR="00BE6601" w:rsidRPr="007706AF">
        <w:rPr>
          <w:szCs w:val="24"/>
        </w:rPr>
        <w:t>(online first)</w:t>
      </w:r>
      <w:r w:rsidR="00172103" w:rsidRPr="007706AF">
        <w:rPr>
          <w:szCs w:val="24"/>
        </w:rPr>
        <w:t>.</w:t>
      </w:r>
    </w:p>
    <w:p w14:paraId="06C6D100" w14:textId="1CCB0F6A" w:rsidR="00DE51BA" w:rsidRPr="007706AF" w:rsidRDefault="00DE51BA" w:rsidP="001821B2">
      <w:pPr>
        <w:pStyle w:val="FootnoteText"/>
        <w:spacing w:line="480" w:lineRule="auto"/>
        <w:ind w:left="360" w:hanging="360"/>
        <w:rPr>
          <w:szCs w:val="24"/>
        </w:rPr>
      </w:pPr>
      <w:r w:rsidRPr="007706AF">
        <w:rPr>
          <w:szCs w:val="24"/>
        </w:rPr>
        <w:t>Crowe, Brian (2003)</w:t>
      </w:r>
      <w:r w:rsidR="00762953" w:rsidRPr="007706AF">
        <w:rPr>
          <w:szCs w:val="24"/>
        </w:rPr>
        <w:t>.</w:t>
      </w:r>
      <w:r w:rsidRPr="007706AF">
        <w:rPr>
          <w:szCs w:val="24"/>
        </w:rPr>
        <w:t xml:space="preserve"> </w:t>
      </w:r>
      <w:r w:rsidR="00762953" w:rsidRPr="007706AF">
        <w:rPr>
          <w:szCs w:val="24"/>
        </w:rPr>
        <w:t>“</w:t>
      </w:r>
      <w:r w:rsidRPr="007706AF">
        <w:rPr>
          <w:szCs w:val="24"/>
        </w:rPr>
        <w:t>A Common European Foreign Policy after Iraq?</w:t>
      </w:r>
      <w:r w:rsidR="00762953" w:rsidRPr="007706AF">
        <w:rPr>
          <w:szCs w:val="24"/>
        </w:rPr>
        <w:t>”</w:t>
      </w:r>
      <w:r w:rsidRPr="007706AF">
        <w:rPr>
          <w:szCs w:val="24"/>
        </w:rPr>
        <w:t xml:space="preserve"> </w:t>
      </w:r>
      <w:proofErr w:type="gramStart"/>
      <w:r w:rsidRPr="007706AF">
        <w:rPr>
          <w:i/>
          <w:szCs w:val="24"/>
        </w:rPr>
        <w:t>International Affairs</w:t>
      </w:r>
      <w:r w:rsidRPr="007706AF">
        <w:rPr>
          <w:szCs w:val="24"/>
        </w:rPr>
        <w:t>, 79(3): 533–546.</w:t>
      </w:r>
      <w:proofErr w:type="gramEnd"/>
    </w:p>
    <w:p w14:paraId="60D2E77D" w14:textId="29A645E7" w:rsidR="004730D3" w:rsidRPr="007706AF" w:rsidRDefault="004730D3" w:rsidP="004730D3">
      <w:pPr>
        <w:pStyle w:val="FootnoteText"/>
        <w:spacing w:line="480" w:lineRule="auto"/>
        <w:ind w:left="360" w:hanging="360"/>
      </w:pPr>
      <w:proofErr w:type="gramStart"/>
      <w:r w:rsidRPr="007706AF">
        <w:rPr>
          <w:szCs w:val="24"/>
        </w:rPr>
        <w:t>Dees, Richard (2005).</w:t>
      </w:r>
      <w:proofErr w:type="gramEnd"/>
      <w:r w:rsidRPr="007706AF">
        <w:rPr>
          <w:szCs w:val="24"/>
        </w:rPr>
        <w:t xml:space="preserve"> “</w:t>
      </w:r>
      <w:r w:rsidRPr="007706AF">
        <w:rPr>
          <w:bCs/>
          <w:szCs w:val="24"/>
        </w:rPr>
        <w:t xml:space="preserve">The comeback of </w:t>
      </w:r>
      <w:r w:rsidRPr="007706AF">
        <w:rPr>
          <w:bCs/>
          <w:i/>
          <w:iCs/>
          <w:szCs w:val="24"/>
        </w:rPr>
        <w:t>Modell Deutschland</w:t>
      </w:r>
      <w:r w:rsidRPr="007706AF">
        <w:rPr>
          <w:bCs/>
          <w:szCs w:val="24"/>
        </w:rPr>
        <w:t xml:space="preserve">? The New German Political Economy in the EU,” </w:t>
      </w:r>
      <w:r w:rsidRPr="007706AF">
        <w:rPr>
          <w:bCs/>
          <w:i/>
          <w:szCs w:val="24"/>
        </w:rPr>
        <w:t>German Politics</w:t>
      </w:r>
      <w:r w:rsidRPr="007706AF">
        <w:rPr>
          <w:bCs/>
          <w:szCs w:val="24"/>
        </w:rPr>
        <w:t xml:space="preserve"> 14(3): 332-353.</w:t>
      </w:r>
    </w:p>
    <w:p w14:paraId="144C92FE" w14:textId="26397E2B" w:rsidR="00DE51BA" w:rsidRPr="007706AF" w:rsidRDefault="00DE51BA" w:rsidP="001821B2">
      <w:pPr>
        <w:pStyle w:val="FootnoteText"/>
        <w:spacing w:line="480" w:lineRule="auto"/>
        <w:ind w:left="360" w:hanging="360"/>
        <w:rPr>
          <w:iCs/>
          <w:szCs w:val="24"/>
        </w:rPr>
      </w:pPr>
      <w:r w:rsidRPr="007706AF">
        <w:rPr>
          <w:szCs w:val="24"/>
        </w:rPr>
        <w:t>Dinan, Desmond (2003)</w:t>
      </w:r>
      <w:r w:rsidR="00762953" w:rsidRPr="007706AF">
        <w:rPr>
          <w:szCs w:val="24"/>
        </w:rPr>
        <w:t>.</w:t>
      </w:r>
      <w:r w:rsidRPr="007706AF">
        <w:rPr>
          <w:szCs w:val="24"/>
        </w:rPr>
        <w:t xml:space="preserve"> </w:t>
      </w:r>
      <w:proofErr w:type="gramStart"/>
      <w:r w:rsidRPr="007706AF">
        <w:rPr>
          <w:i/>
          <w:iCs/>
          <w:szCs w:val="24"/>
        </w:rPr>
        <w:t>Ever Closer</w:t>
      </w:r>
      <w:proofErr w:type="gramEnd"/>
      <w:r w:rsidRPr="007706AF">
        <w:rPr>
          <w:i/>
          <w:iCs/>
          <w:szCs w:val="24"/>
        </w:rPr>
        <w:t xml:space="preserve"> Union: An Introducti</w:t>
      </w:r>
      <w:r w:rsidR="00762953" w:rsidRPr="007706AF">
        <w:rPr>
          <w:i/>
          <w:iCs/>
          <w:szCs w:val="24"/>
        </w:rPr>
        <w:t>on to European Integration.</w:t>
      </w:r>
      <w:r w:rsidRPr="007706AF">
        <w:rPr>
          <w:iCs/>
          <w:szCs w:val="24"/>
        </w:rPr>
        <w:t xml:space="preserve"> </w:t>
      </w:r>
      <w:r w:rsidR="007176F1" w:rsidRPr="007706AF">
        <w:rPr>
          <w:iCs/>
          <w:szCs w:val="24"/>
        </w:rPr>
        <w:t xml:space="preserve">Boulder, CO: </w:t>
      </w:r>
      <w:r w:rsidRPr="007706AF">
        <w:rPr>
          <w:iCs/>
          <w:szCs w:val="24"/>
        </w:rPr>
        <w:t>Lynne Rienner.</w:t>
      </w:r>
    </w:p>
    <w:p w14:paraId="58AFD145" w14:textId="761CB942" w:rsidR="00DE51BA" w:rsidRPr="007706AF" w:rsidRDefault="00DE51BA" w:rsidP="001821B2">
      <w:pPr>
        <w:pStyle w:val="FootnoteText"/>
        <w:spacing w:line="480" w:lineRule="auto"/>
        <w:ind w:left="360" w:hanging="360"/>
        <w:rPr>
          <w:szCs w:val="24"/>
        </w:rPr>
      </w:pPr>
      <w:r w:rsidRPr="007706AF">
        <w:rPr>
          <w:szCs w:val="24"/>
        </w:rPr>
        <w:t>Drabek, Thomas E. and David A. McEntire (2003)</w:t>
      </w:r>
      <w:r w:rsidR="00762953" w:rsidRPr="007706AF">
        <w:rPr>
          <w:szCs w:val="24"/>
        </w:rPr>
        <w:t>.</w:t>
      </w:r>
      <w:r w:rsidRPr="007706AF">
        <w:rPr>
          <w:szCs w:val="24"/>
        </w:rPr>
        <w:t xml:space="preserve"> </w:t>
      </w:r>
      <w:r w:rsidR="00762953" w:rsidRPr="007706AF">
        <w:rPr>
          <w:szCs w:val="24"/>
        </w:rPr>
        <w:t>“</w:t>
      </w:r>
      <w:r w:rsidRPr="007706AF">
        <w:rPr>
          <w:szCs w:val="24"/>
        </w:rPr>
        <w:t>Emergent phenomena and the sociology of disaster: lessons, trends, and opportunities from the research literature</w:t>
      </w:r>
      <w:r w:rsidR="00762953" w:rsidRPr="007706AF">
        <w:rPr>
          <w:szCs w:val="24"/>
        </w:rPr>
        <w:t>”,</w:t>
      </w:r>
      <w:r w:rsidRPr="007706AF">
        <w:rPr>
          <w:szCs w:val="24"/>
        </w:rPr>
        <w:t xml:space="preserve"> </w:t>
      </w:r>
      <w:r w:rsidRPr="007706AF">
        <w:rPr>
          <w:i/>
          <w:szCs w:val="24"/>
        </w:rPr>
        <w:t>Disaster Prevention and Management,</w:t>
      </w:r>
      <w:r w:rsidRPr="007706AF">
        <w:rPr>
          <w:szCs w:val="24"/>
        </w:rPr>
        <w:t xml:space="preserve"> 12(2): 97-112.</w:t>
      </w:r>
    </w:p>
    <w:p w14:paraId="44819B4F" w14:textId="63CED3E7" w:rsidR="00F365D4" w:rsidRPr="007706AF" w:rsidRDefault="00F365D4" w:rsidP="001821B2">
      <w:pPr>
        <w:spacing w:line="480" w:lineRule="auto"/>
        <w:ind w:left="360" w:hanging="360"/>
        <w:rPr>
          <w:rFonts w:ascii="Times New Roman" w:hAnsi="Times New Roman" w:cs="Times New Roman"/>
        </w:rPr>
      </w:pPr>
      <w:proofErr w:type="gramStart"/>
      <w:r w:rsidRPr="007706AF">
        <w:rPr>
          <w:rFonts w:ascii="Times New Roman" w:hAnsi="Times New Roman" w:cs="Times New Roman"/>
        </w:rPr>
        <w:t>Editorial (2011).</w:t>
      </w:r>
      <w:proofErr w:type="gramEnd"/>
      <w:r w:rsidRPr="007706AF">
        <w:rPr>
          <w:rFonts w:ascii="Times New Roman" w:hAnsi="Times New Roman" w:cs="Times New Roman"/>
        </w:rPr>
        <w:t xml:space="preserve"> “Democracy’s slow cure for the euro: Northern Europeans treat economics as a morality play,” </w:t>
      </w:r>
      <w:r w:rsidRPr="007706AF">
        <w:rPr>
          <w:rFonts w:ascii="Times New Roman" w:hAnsi="Times New Roman" w:cs="Times New Roman"/>
          <w:i/>
        </w:rPr>
        <w:t>Financial Times,</w:t>
      </w:r>
      <w:r w:rsidRPr="007706AF">
        <w:rPr>
          <w:rFonts w:ascii="Times New Roman" w:hAnsi="Times New Roman" w:cs="Times New Roman"/>
        </w:rPr>
        <w:t xml:space="preserve"> 17 September.</w:t>
      </w:r>
    </w:p>
    <w:p w14:paraId="6299A1BF" w14:textId="08BA59C8" w:rsidR="00C423A4" w:rsidRPr="007706AF" w:rsidRDefault="00C423A4" w:rsidP="001821B2">
      <w:pPr>
        <w:spacing w:line="480" w:lineRule="auto"/>
        <w:ind w:left="360" w:hanging="360"/>
        <w:rPr>
          <w:rFonts w:ascii="Times New Roman" w:hAnsi="Times New Roman" w:cs="Times New Roman"/>
        </w:rPr>
      </w:pPr>
      <w:r w:rsidRPr="007706AF">
        <w:rPr>
          <w:rFonts w:ascii="Times New Roman" w:hAnsi="Times New Roman" w:cs="Times New Roman"/>
        </w:rPr>
        <w:t>Eichengreen, Barry (2009). “Was the Euro a Mistake</w:t>
      </w:r>
      <w:proofErr w:type="gramStart"/>
      <w:r w:rsidRPr="007706AF">
        <w:rPr>
          <w:rFonts w:ascii="Times New Roman" w:hAnsi="Times New Roman" w:cs="Times New Roman"/>
        </w:rPr>
        <w:t>?,</w:t>
      </w:r>
      <w:proofErr w:type="gramEnd"/>
      <w:r w:rsidRPr="007706AF">
        <w:rPr>
          <w:rFonts w:ascii="Times New Roman" w:hAnsi="Times New Roman" w:cs="Times New Roman"/>
        </w:rPr>
        <w:t xml:space="preserve">” </w:t>
      </w:r>
      <w:r w:rsidRPr="007706AF">
        <w:rPr>
          <w:rFonts w:ascii="Times New Roman" w:hAnsi="Times New Roman" w:cs="Times New Roman"/>
          <w:i/>
        </w:rPr>
        <w:t>VoxEU.org</w:t>
      </w:r>
      <w:r w:rsidRPr="007706AF">
        <w:rPr>
          <w:rFonts w:ascii="Times New Roman" w:hAnsi="Times New Roman" w:cs="Times New Roman"/>
        </w:rPr>
        <w:t xml:space="preserve">, 20 January. </w:t>
      </w:r>
    </w:p>
    <w:p w14:paraId="6A6E6B84" w14:textId="59C06A08" w:rsidR="007176F1" w:rsidRPr="007706AF" w:rsidRDefault="007176F1" w:rsidP="001821B2">
      <w:pPr>
        <w:spacing w:line="480" w:lineRule="auto"/>
        <w:ind w:left="360" w:hanging="360"/>
        <w:rPr>
          <w:rFonts w:ascii="Times New Roman" w:hAnsi="Times New Roman" w:cs="Times New Roman"/>
        </w:rPr>
      </w:pPr>
      <w:proofErr w:type="gramStart"/>
      <w:r w:rsidRPr="007706AF">
        <w:rPr>
          <w:rFonts w:ascii="Times New Roman" w:hAnsi="Times New Roman" w:cs="Times New Roman"/>
        </w:rPr>
        <w:t>Eurob</w:t>
      </w:r>
      <w:r w:rsidR="00762953" w:rsidRPr="007706AF">
        <w:rPr>
          <w:rFonts w:ascii="Times New Roman" w:hAnsi="Times New Roman" w:cs="Times New Roman"/>
        </w:rPr>
        <w:t>arometer 69 (2008).</w:t>
      </w:r>
      <w:proofErr w:type="gramEnd"/>
      <w:r w:rsidR="00762953" w:rsidRPr="007706AF">
        <w:rPr>
          <w:rFonts w:ascii="Times New Roman" w:hAnsi="Times New Roman" w:cs="Times New Roman"/>
        </w:rPr>
        <w:t xml:space="preserve"> “</w:t>
      </w:r>
      <w:r w:rsidRPr="007706AF">
        <w:rPr>
          <w:rFonts w:ascii="Times New Roman" w:hAnsi="Times New Roman" w:cs="Times New Roman"/>
        </w:rPr>
        <w:t>The Eu</w:t>
      </w:r>
      <w:r w:rsidR="00762953" w:rsidRPr="007706AF">
        <w:rPr>
          <w:rFonts w:ascii="Times New Roman" w:hAnsi="Times New Roman" w:cs="Times New Roman"/>
        </w:rPr>
        <w:t>ropean Union Today and Tomorrow”, Spring</w:t>
      </w:r>
      <w:r w:rsidRPr="007706AF">
        <w:rPr>
          <w:rFonts w:ascii="Times New Roman" w:hAnsi="Times New Roman" w:cs="Times New Roman"/>
        </w:rPr>
        <w:t>.</w:t>
      </w:r>
    </w:p>
    <w:p w14:paraId="291F848A" w14:textId="0EEF650E" w:rsidR="007176F1" w:rsidRPr="007706AF" w:rsidRDefault="00762953" w:rsidP="001821B2">
      <w:pPr>
        <w:spacing w:line="480" w:lineRule="auto"/>
        <w:ind w:left="360" w:hanging="360"/>
        <w:rPr>
          <w:rFonts w:ascii="Times New Roman" w:hAnsi="Times New Roman" w:cs="Times New Roman"/>
        </w:rPr>
      </w:pPr>
      <w:proofErr w:type="gramStart"/>
      <w:r w:rsidRPr="007706AF">
        <w:rPr>
          <w:rFonts w:ascii="Times New Roman" w:hAnsi="Times New Roman" w:cs="Times New Roman"/>
        </w:rPr>
        <w:t>Eurobarometer 80 (2013).</w:t>
      </w:r>
      <w:proofErr w:type="gramEnd"/>
      <w:r w:rsidRPr="007706AF">
        <w:rPr>
          <w:rFonts w:ascii="Times New Roman" w:hAnsi="Times New Roman" w:cs="Times New Roman"/>
        </w:rPr>
        <w:t xml:space="preserve"> Autumn.</w:t>
      </w:r>
    </w:p>
    <w:p w14:paraId="392C76F4" w14:textId="032A33F0" w:rsidR="007176F1" w:rsidRPr="007706AF" w:rsidRDefault="00762953" w:rsidP="001821B2">
      <w:pPr>
        <w:spacing w:line="480" w:lineRule="auto"/>
        <w:ind w:left="360" w:hanging="360"/>
        <w:rPr>
          <w:rFonts w:ascii="Times New Roman" w:hAnsi="Times New Roman" w:cs="Times New Roman"/>
        </w:rPr>
      </w:pPr>
      <w:proofErr w:type="gramStart"/>
      <w:r w:rsidRPr="007706AF">
        <w:rPr>
          <w:rFonts w:ascii="Times New Roman" w:hAnsi="Times New Roman" w:cs="Times New Roman"/>
        </w:rPr>
        <w:t>Eurobarometer 80 (2013).</w:t>
      </w:r>
      <w:proofErr w:type="gramEnd"/>
      <w:r w:rsidR="007176F1" w:rsidRPr="007706AF">
        <w:rPr>
          <w:rFonts w:ascii="Times New Roman" w:hAnsi="Times New Roman" w:cs="Times New Roman"/>
        </w:rPr>
        <w:t xml:space="preserve"> </w:t>
      </w:r>
      <w:r w:rsidRPr="007706AF">
        <w:rPr>
          <w:rFonts w:ascii="Times New Roman" w:hAnsi="Times New Roman" w:cs="Times New Roman"/>
        </w:rPr>
        <w:t>“</w:t>
      </w:r>
      <w:r w:rsidR="007176F1" w:rsidRPr="007706AF">
        <w:rPr>
          <w:rFonts w:ascii="Times New Roman" w:hAnsi="Times New Roman" w:cs="Times New Roman"/>
        </w:rPr>
        <w:t>Annex</w:t>
      </w:r>
      <w:r w:rsidRPr="007706AF">
        <w:rPr>
          <w:rFonts w:ascii="Times New Roman" w:hAnsi="Times New Roman" w:cs="Times New Roman"/>
        </w:rPr>
        <w:t>.”</w:t>
      </w:r>
    </w:p>
    <w:p w14:paraId="01D74E32" w14:textId="77777777" w:rsidR="007176F1" w:rsidRPr="007706AF" w:rsidRDefault="007176F1" w:rsidP="001821B2">
      <w:pPr>
        <w:spacing w:line="480" w:lineRule="auto"/>
        <w:ind w:left="360" w:hanging="360"/>
        <w:rPr>
          <w:rFonts w:ascii="Times New Roman" w:hAnsi="Times New Roman" w:cs="Times New Roman"/>
        </w:rPr>
      </w:pPr>
      <w:r w:rsidRPr="007706AF">
        <w:rPr>
          <w:rFonts w:ascii="Times New Roman" w:hAnsi="Times New Roman" w:cs="Times New Roman"/>
        </w:rPr>
        <w:t xml:space="preserve">Eurostat: </w:t>
      </w:r>
      <w:hyperlink r:id="rId14" w:history="1">
        <w:r w:rsidRPr="007706AF">
          <w:rPr>
            <w:rStyle w:val="Hyperlink"/>
            <w:rFonts w:ascii="Times New Roman" w:hAnsi="Times New Roman" w:cs="Times New Roman"/>
          </w:rPr>
          <w:t>http://epp.eurostat.ec.europa.eu/portal/page/portal/eurostat/home</w:t>
        </w:r>
      </w:hyperlink>
    </w:p>
    <w:p w14:paraId="51101E6C" w14:textId="7DC4569C" w:rsidR="007B18BA" w:rsidRPr="007706AF" w:rsidRDefault="007B18BA" w:rsidP="001821B2">
      <w:pPr>
        <w:pStyle w:val="FootnoteText"/>
        <w:spacing w:line="480" w:lineRule="auto"/>
        <w:ind w:left="360" w:hanging="360"/>
        <w:rPr>
          <w:szCs w:val="24"/>
        </w:rPr>
      </w:pPr>
      <w:r w:rsidRPr="007706AF">
        <w:rPr>
          <w:szCs w:val="24"/>
        </w:rPr>
        <w:t xml:space="preserve">Ewing, Jack and Liz Alderman (2011). “Some in Germany Want Greece to Temporarily Exit the Euro Zone,” </w:t>
      </w:r>
      <w:r w:rsidRPr="007706AF">
        <w:rPr>
          <w:i/>
          <w:szCs w:val="24"/>
        </w:rPr>
        <w:t>International Herald Tribune,</w:t>
      </w:r>
      <w:r w:rsidRPr="007706AF">
        <w:rPr>
          <w:szCs w:val="24"/>
        </w:rPr>
        <w:t xml:space="preserve"> 10 August.</w:t>
      </w:r>
    </w:p>
    <w:p w14:paraId="6BFC2A57" w14:textId="23CE9A84" w:rsidR="00DE51BA" w:rsidRPr="007706AF" w:rsidRDefault="00DE51BA" w:rsidP="001821B2">
      <w:pPr>
        <w:pStyle w:val="FootnoteText"/>
        <w:spacing w:line="480" w:lineRule="auto"/>
        <w:ind w:left="360" w:hanging="360"/>
        <w:rPr>
          <w:szCs w:val="24"/>
        </w:rPr>
      </w:pPr>
      <w:r w:rsidRPr="007706AF">
        <w:rPr>
          <w:szCs w:val="24"/>
        </w:rPr>
        <w:lastRenderedPageBreak/>
        <w:t>Fligstein, Neil (2001)</w:t>
      </w:r>
      <w:r w:rsidR="00762953" w:rsidRPr="007706AF">
        <w:rPr>
          <w:szCs w:val="24"/>
        </w:rPr>
        <w:t>.</w:t>
      </w:r>
      <w:r w:rsidRPr="007706AF">
        <w:rPr>
          <w:szCs w:val="24"/>
        </w:rPr>
        <w:t xml:space="preserve"> </w:t>
      </w:r>
      <w:r w:rsidR="00762953" w:rsidRPr="007706AF">
        <w:rPr>
          <w:szCs w:val="24"/>
        </w:rPr>
        <w:t>“</w:t>
      </w:r>
      <w:r w:rsidRPr="007706AF">
        <w:rPr>
          <w:szCs w:val="24"/>
        </w:rPr>
        <w:t>Institutional Entrepreneurs and Cultural Frames</w:t>
      </w:r>
      <w:r w:rsidR="00762953" w:rsidRPr="007706AF">
        <w:rPr>
          <w:szCs w:val="24"/>
        </w:rPr>
        <w:t>”,</w:t>
      </w:r>
      <w:r w:rsidRPr="007706AF">
        <w:rPr>
          <w:szCs w:val="24"/>
        </w:rPr>
        <w:t xml:space="preserve"> </w:t>
      </w:r>
      <w:r w:rsidRPr="007706AF">
        <w:rPr>
          <w:i/>
          <w:szCs w:val="24"/>
        </w:rPr>
        <w:t xml:space="preserve">European Societies </w:t>
      </w:r>
      <w:r w:rsidRPr="007706AF">
        <w:rPr>
          <w:szCs w:val="24"/>
        </w:rPr>
        <w:t>3(3): 261-287.</w:t>
      </w:r>
    </w:p>
    <w:p w14:paraId="1A9CF9E2" w14:textId="17F3F0DC" w:rsidR="00DE51BA" w:rsidRPr="007706AF" w:rsidRDefault="00DE51BA" w:rsidP="001821B2">
      <w:pPr>
        <w:pStyle w:val="FootnoteText"/>
        <w:spacing w:line="480" w:lineRule="auto"/>
        <w:ind w:left="360" w:hanging="360"/>
        <w:rPr>
          <w:szCs w:val="24"/>
        </w:rPr>
      </w:pPr>
      <w:r w:rsidRPr="007706AF">
        <w:rPr>
          <w:szCs w:val="24"/>
        </w:rPr>
        <w:t>Gamble, Andrew (2006)</w:t>
      </w:r>
      <w:r w:rsidR="00762953" w:rsidRPr="007706AF">
        <w:rPr>
          <w:szCs w:val="24"/>
        </w:rPr>
        <w:t>.</w:t>
      </w:r>
      <w:r w:rsidRPr="007706AF">
        <w:rPr>
          <w:szCs w:val="24"/>
        </w:rPr>
        <w:t xml:space="preserve"> </w:t>
      </w:r>
      <w:r w:rsidR="00762953" w:rsidRPr="007706AF">
        <w:rPr>
          <w:szCs w:val="24"/>
        </w:rPr>
        <w:t>“</w:t>
      </w:r>
      <w:r w:rsidRPr="007706AF">
        <w:rPr>
          <w:szCs w:val="24"/>
        </w:rPr>
        <w:t>The European Disunion</w:t>
      </w:r>
      <w:r w:rsidR="00762953" w:rsidRPr="007706AF">
        <w:rPr>
          <w:szCs w:val="24"/>
        </w:rPr>
        <w:t>”</w:t>
      </w:r>
      <w:r w:rsidRPr="007706AF">
        <w:rPr>
          <w:szCs w:val="24"/>
        </w:rPr>
        <w:t xml:space="preserve">, </w:t>
      </w:r>
      <w:r w:rsidRPr="007706AF">
        <w:rPr>
          <w:i/>
          <w:szCs w:val="24"/>
        </w:rPr>
        <w:t>British Journal of Politics &amp; International Relations</w:t>
      </w:r>
      <w:r w:rsidRPr="007706AF">
        <w:rPr>
          <w:szCs w:val="24"/>
        </w:rPr>
        <w:t>, 8(1): 34–49.</w:t>
      </w:r>
    </w:p>
    <w:p w14:paraId="132B12CB" w14:textId="5858FAF6" w:rsidR="00DE51BA" w:rsidRPr="007706AF" w:rsidRDefault="00762953" w:rsidP="001821B2">
      <w:pPr>
        <w:pStyle w:val="FootnoteText"/>
        <w:spacing w:line="480" w:lineRule="auto"/>
        <w:ind w:left="360" w:hanging="360"/>
        <w:rPr>
          <w:szCs w:val="24"/>
        </w:rPr>
      </w:pPr>
      <w:r w:rsidRPr="007706AF">
        <w:rPr>
          <w:szCs w:val="24"/>
        </w:rPr>
        <w:t xml:space="preserve">Gilpin, Robert </w:t>
      </w:r>
      <w:r w:rsidR="00DE51BA" w:rsidRPr="007706AF">
        <w:rPr>
          <w:szCs w:val="24"/>
        </w:rPr>
        <w:t>(1975)</w:t>
      </w:r>
      <w:r w:rsidRPr="007706AF">
        <w:rPr>
          <w:szCs w:val="24"/>
        </w:rPr>
        <w:t>.</w:t>
      </w:r>
      <w:r w:rsidR="00DE51BA" w:rsidRPr="007706AF">
        <w:rPr>
          <w:szCs w:val="24"/>
        </w:rPr>
        <w:t xml:space="preserve"> </w:t>
      </w:r>
      <w:proofErr w:type="gramStart"/>
      <w:r w:rsidRPr="007706AF">
        <w:rPr>
          <w:szCs w:val="24"/>
        </w:rPr>
        <w:t>“</w:t>
      </w:r>
      <w:r w:rsidR="00DE51BA" w:rsidRPr="007706AF">
        <w:rPr>
          <w:szCs w:val="24"/>
        </w:rPr>
        <w:t>Three Models of the Future</w:t>
      </w:r>
      <w:r w:rsidRPr="007706AF">
        <w:rPr>
          <w:szCs w:val="24"/>
        </w:rPr>
        <w:t>”</w:t>
      </w:r>
      <w:r w:rsidR="00DE51BA" w:rsidRPr="007706AF">
        <w:rPr>
          <w:szCs w:val="24"/>
        </w:rPr>
        <w:t xml:space="preserve">, </w:t>
      </w:r>
      <w:r w:rsidR="00DE51BA" w:rsidRPr="007706AF">
        <w:rPr>
          <w:i/>
          <w:szCs w:val="24"/>
        </w:rPr>
        <w:t xml:space="preserve">International Organization </w:t>
      </w:r>
      <w:r w:rsidR="00DE51BA" w:rsidRPr="007706AF">
        <w:rPr>
          <w:szCs w:val="24"/>
        </w:rPr>
        <w:t>29(1): 37-60.</w:t>
      </w:r>
      <w:proofErr w:type="gramEnd"/>
    </w:p>
    <w:p w14:paraId="29B96742" w14:textId="11A74177" w:rsidR="00DE51BA" w:rsidRPr="007706AF" w:rsidRDefault="00DE51BA" w:rsidP="001821B2">
      <w:pPr>
        <w:pStyle w:val="FootnoteText"/>
        <w:spacing w:line="480" w:lineRule="auto"/>
        <w:ind w:left="360" w:hanging="360"/>
        <w:rPr>
          <w:szCs w:val="24"/>
        </w:rPr>
      </w:pPr>
      <w:r w:rsidRPr="007706AF">
        <w:rPr>
          <w:szCs w:val="24"/>
        </w:rPr>
        <w:t>Guiso, Luigi, Tullio Jappelli, Mario Padula, Marco Pagano</w:t>
      </w:r>
      <w:r w:rsidRPr="007706AF">
        <w:rPr>
          <w:szCs w:val="24"/>
          <w:vertAlign w:val="superscript"/>
        </w:rPr>
        <w:t xml:space="preserve"> </w:t>
      </w:r>
      <w:r w:rsidRPr="007706AF">
        <w:rPr>
          <w:szCs w:val="24"/>
        </w:rPr>
        <w:t>(2004)</w:t>
      </w:r>
      <w:r w:rsidR="00762953" w:rsidRPr="007706AF">
        <w:rPr>
          <w:szCs w:val="24"/>
        </w:rPr>
        <w:t>.</w:t>
      </w:r>
      <w:r w:rsidRPr="007706AF">
        <w:rPr>
          <w:szCs w:val="24"/>
        </w:rPr>
        <w:t xml:space="preserve"> </w:t>
      </w:r>
      <w:proofErr w:type="gramStart"/>
      <w:r w:rsidR="00762953" w:rsidRPr="007706AF">
        <w:rPr>
          <w:szCs w:val="24"/>
        </w:rPr>
        <w:t>“</w:t>
      </w:r>
      <w:r w:rsidRPr="007706AF">
        <w:rPr>
          <w:szCs w:val="24"/>
        </w:rPr>
        <w:t>Financial market integration and economic growth in the EU</w:t>
      </w:r>
      <w:r w:rsidR="00762953" w:rsidRPr="007706AF">
        <w:rPr>
          <w:szCs w:val="24"/>
        </w:rPr>
        <w:t>”</w:t>
      </w:r>
      <w:r w:rsidRPr="007706AF">
        <w:rPr>
          <w:szCs w:val="24"/>
        </w:rPr>
        <w:t xml:space="preserve">, </w:t>
      </w:r>
      <w:r w:rsidRPr="007706AF">
        <w:rPr>
          <w:i/>
          <w:szCs w:val="24"/>
        </w:rPr>
        <w:t xml:space="preserve">Economic Policy </w:t>
      </w:r>
      <w:r w:rsidRPr="007706AF">
        <w:rPr>
          <w:szCs w:val="24"/>
        </w:rPr>
        <w:t>19(40): 523-577.</w:t>
      </w:r>
      <w:proofErr w:type="gramEnd"/>
    </w:p>
    <w:p w14:paraId="48BB0D8B" w14:textId="54A4B3C5" w:rsidR="00DE51BA" w:rsidRPr="007706AF" w:rsidRDefault="00DE51BA" w:rsidP="001821B2">
      <w:pPr>
        <w:pStyle w:val="FootnoteText"/>
        <w:spacing w:line="480" w:lineRule="auto"/>
        <w:ind w:left="360" w:hanging="360"/>
        <w:rPr>
          <w:szCs w:val="24"/>
        </w:rPr>
      </w:pPr>
      <w:r w:rsidRPr="007706AF">
        <w:rPr>
          <w:szCs w:val="24"/>
        </w:rPr>
        <w:t>Haas, Peter (2001)</w:t>
      </w:r>
      <w:r w:rsidR="00762953" w:rsidRPr="007706AF">
        <w:rPr>
          <w:szCs w:val="24"/>
        </w:rPr>
        <w:t>.</w:t>
      </w:r>
      <w:r w:rsidRPr="007706AF">
        <w:rPr>
          <w:szCs w:val="24"/>
        </w:rPr>
        <w:t xml:space="preserve"> </w:t>
      </w:r>
      <w:r w:rsidR="00762953" w:rsidRPr="007706AF">
        <w:rPr>
          <w:szCs w:val="24"/>
        </w:rPr>
        <w:t>“</w:t>
      </w:r>
      <w:r w:rsidRPr="007706AF">
        <w:rPr>
          <w:szCs w:val="24"/>
        </w:rPr>
        <w:t>Policy Knowledge: Epistemic Communities</w:t>
      </w:r>
      <w:r w:rsidR="00762953" w:rsidRPr="007706AF">
        <w:rPr>
          <w:szCs w:val="24"/>
        </w:rPr>
        <w:t>”</w:t>
      </w:r>
      <w:r w:rsidRPr="007706AF">
        <w:rPr>
          <w:szCs w:val="24"/>
        </w:rPr>
        <w:t xml:space="preserve">, in </w:t>
      </w:r>
      <w:r w:rsidRPr="007706AF">
        <w:rPr>
          <w:i/>
          <w:szCs w:val="24"/>
        </w:rPr>
        <w:t>International Encyclopedia of Social and Behavioral Sciences,</w:t>
      </w:r>
      <w:r w:rsidRPr="007706AF">
        <w:rPr>
          <w:szCs w:val="24"/>
        </w:rPr>
        <w:t xml:space="preserve"> Elsevier.</w:t>
      </w:r>
    </w:p>
    <w:p w14:paraId="45CFFF46" w14:textId="4B1BDB17" w:rsidR="00662F3E" w:rsidRPr="007706AF" w:rsidRDefault="00662F3E" w:rsidP="00662F3E">
      <w:pPr>
        <w:pStyle w:val="FootnoteText"/>
        <w:spacing w:line="480" w:lineRule="auto"/>
        <w:ind w:left="360" w:hanging="360"/>
        <w:rPr>
          <w:szCs w:val="24"/>
        </w:rPr>
      </w:pPr>
      <w:r w:rsidRPr="007706AF">
        <w:rPr>
          <w:bCs/>
          <w:szCs w:val="24"/>
        </w:rPr>
        <w:t>Hay, Colin (1999). ‘</w:t>
      </w:r>
      <w:r w:rsidRPr="007706AF">
        <w:rPr>
          <w:szCs w:val="24"/>
        </w:rPr>
        <w:t xml:space="preserve">Crisis and the Structural Transformation of the State: Interrogating the Process of Change’, </w:t>
      </w:r>
      <w:r w:rsidRPr="007706AF">
        <w:rPr>
          <w:i/>
          <w:szCs w:val="24"/>
        </w:rPr>
        <w:t xml:space="preserve">British Journal of Politics and International Relations </w:t>
      </w:r>
      <w:r w:rsidRPr="007706AF">
        <w:rPr>
          <w:szCs w:val="24"/>
        </w:rPr>
        <w:t>1(3): 317-344.</w:t>
      </w:r>
    </w:p>
    <w:p w14:paraId="4B035AAC" w14:textId="2BF46852" w:rsidR="00DE51BA" w:rsidRPr="007706AF" w:rsidRDefault="00DE51BA" w:rsidP="001821B2">
      <w:pPr>
        <w:pStyle w:val="FootnoteText"/>
        <w:spacing w:line="480" w:lineRule="auto"/>
        <w:ind w:left="360" w:hanging="360"/>
        <w:rPr>
          <w:szCs w:val="24"/>
        </w:rPr>
      </w:pPr>
      <w:r w:rsidRPr="007706AF">
        <w:rPr>
          <w:szCs w:val="24"/>
        </w:rPr>
        <w:t>Hodgskin, Philip T. (1941)</w:t>
      </w:r>
      <w:r w:rsidR="00762953" w:rsidRPr="007706AF">
        <w:rPr>
          <w:szCs w:val="24"/>
        </w:rPr>
        <w:t>. “</w:t>
      </w:r>
      <w:r w:rsidRPr="007706AF">
        <w:rPr>
          <w:szCs w:val="24"/>
        </w:rPr>
        <w:t>Group catharsis, with special emphasis upon the psychopathology of money</w:t>
      </w:r>
      <w:r w:rsidR="00762953" w:rsidRPr="007706AF">
        <w:rPr>
          <w:szCs w:val="24"/>
        </w:rPr>
        <w:t>”</w:t>
      </w:r>
      <w:proofErr w:type="gramStart"/>
      <w:r w:rsidR="00762953" w:rsidRPr="007706AF">
        <w:rPr>
          <w:szCs w:val="24"/>
        </w:rPr>
        <w:t>,</w:t>
      </w:r>
      <w:r w:rsidRPr="007706AF">
        <w:rPr>
          <w:szCs w:val="24"/>
        </w:rPr>
        <w:t xml:space="preserve">  </w:t>
      </w:r>
      <w:r w:rsidRPr="007706AF">
        <w:rPr>
          <w:i/>
          <w:iCs/>
          <w:szCs w:val="24"/>
        </w:rPr>
        <w:t>Sociometry</w:t>
      </w:r>
      <w:proofErr w:type="gramEnd"/>
      <w:r w:rsidRPr="007706AF">
        <w:rPr>
          <w:i/>
          <w:iCs/>
          <w:szCs w:val="24"/>
        </w:rPr>
        <w:t xml:space="preserve"> </w:t>
      </w:r>
      <w:r w:rsidRPr="007706AF">
        <w:rPr>
          <w:iCs/>
          <w:szCs w:val="24"/>
        </w:rPr>
        <w:t>4</w:t>
      </w:r>
      <w:r w:rsidR="007176F1" w:rsidRPr="007706AF">
        <w:rPr>
          <w:szCs w:val="24"/>
        </w:rPr>
        <w:t xml:space="preserve">(2): </w:t>
      </w:r>
      <w:r w:rsidR="007176F1" w:rsidRPr="007706AF">
        <w:rPr>
          <w:rFonts w:cs="Times New Roman"/>
        </w:rPr>
        <w:t>184-192.</w:t>
      </w:r>
    </w:p>
    <w:p w14:paraId="7E8C4002" w14:textId="77777777" w:rsidR="00481B49" w:rsidRPr="007706AF" w:rsidRDefault="00481B49" w:rsidP="00481B49">
      <w:pPr>
        <w:pStyle w:val="FootnoteText"/>
        <w:spacing w:line="480" w:lineRule="auto"/>
        <w:ind w:left="360" w:hanging="360"/>
        <w:rPr>
          <w:szCs w:val="24"/>
        </w:rPr>
      </w:pPr>
      <w:r w:rsidRPr="007706AF">
        <w:rPr>
          <w:szCs w:val="24"/>
        </w:rPr>
        <w:t xml:space="preserve">Ikenberry, G. J. (2008) ‘Introduction’, in J. Anderson, G. J. Ikenberry, and T. Risse, </w:t>
      </w:r>
      <w:r w:rsidRPr="007706AF">
        <w:rPr>
          <w:i/>
          <w:szCs w:val="24"/>
        </w:rPr>
        <w:t xml:space="preserve">The End of the West? Crisis and Change in the Atlantic Order, </w:t>
      </w:r>
      <w:r w:rsidRPr="007706AF">
        <w:rPr>
          <w:szCs w:val="24"/>
        </w:rPr>
        <w:t>Ithaca: Cornell University Press.</w:t>
      </w:r>
    </w:p>
    <w:p w14:paraId="397945E0" w14:textId="4628CE7E" w:rsidR="00DE51BA" w:rsidRPr="007706AF" w:rsidRDefault="00DE51BA" w:rsidP="001821B2">
      <w:pPr>
        <w:pStyle w:val="FootnoteText"/>
        <w:spacing w:line="480" w:lineRule="auto"/>
        <w:ind w:left="360" w:hanging="360"/>
        <w:rPr>
          <w:szCs w:val="24"/>
        </w:rPr>
      </w:pPr>
      <w:r w:rsidRPr="007706AF">
        <w:rPr>
          <w:szCs w:val="24"/>
        </w:rPr>
        <w:t>Jabko, Nicolas (ed.) (2012)</w:t>
      </w:r>
      <w:r w:rsidR="00762953" w:rsidRPr="007706AF">
        <w:rPr>
          <w:szCs w:val="24"/>
        </w:rPr>
        <w:t>.</w:t>
      </w:r>
      <w:r w:rsidRPr="007706AF">
        <w:rPr>
          <w:szCs w:val="24"/>
        </w:rPr>
        <w:t xml:space="preserve"> </w:t>
      </w:r>
      <w:r w:rsidR="00762953" w:rsidRPr="007706AF">
        <w:rPr>
          <w:szCs w:val="24"/>
        </w:rPr>
        <w:t>“</w:t>
      </w:r>
      <w:r w:rsidRPr="007706AF">
        <w:rPr>
          <w:szCs w:val="24"/>
        </w:rPr>
        <w:t>The Eurozone Seen from the Periphery</w:t>
      </w:r>
      <w:r w:rsidR="00762953" w:rsidRPr="007706AF">
        <w:rPr>
          <w:szCs w:val="24"/>
        </w:rPr>
        <w:t>”</w:t>
      </w:r>
      <w:r w:rsidRPr="007706AF">
        <w:rPr>
          <w:szCs w:val="24"/>
        </w:rPr>
        <w:t xml:space="preserve">, </w:t>
      </w:r>
      <w:r w:rsidRPr="007706AF">
        <w:rPr>
          <w:i/>
          <w:szCs w:val="24"/>
        </w:rPr>
        <w:t>European Union Studies Association Review,</w:t>
      </w:r>
      <w:r w:rsidRPr="007706AF">
        <w:rPr>
          <w:szCs w:val="24"/>
        </w:rPr>
        <w:t xml:space="preserve"> </w:t>
      </w:r>
      <w:proofErr w:type="gramStart"/>
      <w:r w:rsidRPr="007706AF">
        <w:rPr>
          <w:szCs w:val="24"/>
        </w:rPr>
        <w:t>Winter</w:t>
      </w:r>
      <w:proofErr w:type="gramEnd"/>
      <w:r w:rsidRPr="007706AF">
        <w:rPr>
          <w:szCs w:val="24"/>
        </w:rPr>
        <w:t>.</w:t>
      </w:r>
    </w:p>
    <w:p w14:paraId="48B0D3AD" w14:textId="370CD6F5" w:rsidR="00BE6601" w:rsidRPr="007706AF" w:rsidRDefault="00BE6601" w:rsidP="001821B2">
      <w:pPr>
        <w:pStyle w:val="FootnoteText"/>
        <w:spacing w:line="480" w:lineRule="auto"/>
        <w:ind w:left="360" w:hanging="360"/>
        <w:rPr>
          <w:szCs w:val="24"/>
        </w:rPr>
      </w:pPr>
      <w:r w:rsidRPr="007706AF">
        <w:rPr>
          <w:szCs w:val="24"/>
        </w:rPr>
        <w:t xml:space="preserve">Jo, Sam-Sang, (2007) </w:t>
      </w:r>
      <w:r w:rsidRPr="007706AF">
        <w:rPr>
          <w:i/>
        </w:rPr>
        <w:t>European myths: resolving the crises in the European Community/European Union</w:t>
      </w:r>
      <w:r w:rsidRPr="007706AF">
        <w:t>, Lanham, Maryland: University Press of America.</w:t>
      </w:r>
    </w:p>
    <w:p w14:paraId="0241188D" w14:textId="021F2B78" w:rsidR="00DE51BA" w:rsidRPr="007706AF" w:rsidRDefault="00DE51BA" w:rsidP="001821B2">
      <w:pPr>
        <w:pStyle w:val="FootnoteText"/>
        <w:spacing w:line="480" w:lineRule="auto"/>
        <w:ind w:left="360" w:hanging="360"/>
        <w:rPr>
          <w:szCs w:val="24"/>
        </w:rPr>
      </w:pPr>
      <w:r w:rsidRPr="007706AF">
        <w:rPr>
          <w:szCs w:val="24"/>
        </w:rPr>
        <w:t>Keohane, Daniel and Steven Everts (2003)</w:t>
      </w:r>
      <w:r w:rsidR="00762953" w:rsidRPr="007706AF">
        <w:rPr>
          <w:szCs w:val="24"/>
        </w:rPr>
        <w:t>.</w:t>
      </w:r>
      <w:r w:rsidRPr="007706AF">
        <w:rPr>
          <w:szCs w:val="24"/>
        </w:rPr>
        <w:t xml:space="preserve"> </w:t>
      </w:r>
      <w:r w:rsidR="00762953" w:rsidRPr="007706AF">
        <w:rPr>
          <w:szCs w:val="24"/>
        </w:rPr>
        <w:t>“</w:t>
      </w:r>
      <w:r w:rsidRPr="007706AF">
        <w:rPr>
          <w:szCs w:val="24"/>
        </w:rPr>
        <w:t>The European Convention and EU Foreign Policy: Learning from Failure</w:t>
      </w:r>
      <w:r w:rsidR="00762953" w:rsidRPr="007706AF">
        <w:rPr>
          <w:szCs w:val="24"/>
        </w:rPr>
        <w:t>”</w:t>
      </w:r>
      <w:r w:rsidRPr="007706AF">
        <w:rPr>
          <w:szCs w:val="24"/>
        </w:rPr>
        <w:t xml:space="preserve">, </w:t>
      </w:r>
      <w:r w:rsidRPr="007706AF">
        <w:rPr>
          <w:i/>
          <w:szCs w:val="24"/>
        </w:rPr>
        <w:t xml:space="preserve">Survival </w:t>
      </w:r>
      <w:r w:rsidRPr="007706AF">
        <w:rPr>
          <w:szCs w:val="24"/>
        </w:rPr>
        <w:t>45: 167-186.</w:t>
      </w:r>
    </w:p>
    <w:p w14:paraId="16579C96" w14:textId="1B1AC8A7" w:rsidR="00DE51BA" w:rsidRPr="007706AF" w:rsidRDefault="00DE51BA" w:rsidP="001821B2">
      <w:pPr>
        <w:spacing w:line="480" w:lineRule="auto"/>
        <w:ind w:left="360" w:hanging="360"/>
        <w:rPr>
          <w:rFonts w:ascii="Times New Roman" w:hAnsi="Times New Roman" w:cs="Times New Roman"/>
        </w:rPr>
      </w:pPr>
      <w:r w:rsidRPr="007706AF">
        <w:rPr>
          <w:rFonts w:ascii="Times New Roman" w:hAnsi="Times New Roman" w:cs="Times New Roman"/>
        </w:rPr>
        <w:t xml:space="preserve">Klein, Naomi (2011) </w:t>
      </w:r>
      <w:r w:rsidRPr="007706AF">
        <w:rPr>
          <w:rFonts w:ascii="Times New Roman" w:hAnsi="Times New Roman" w:cs="Times New Roman"/>
          <w:i/>
        </w:rPr>
        <w:t>The Shock Doctrine:</w:t>
      </w:r>
      <w:r w:rsidR="00762953" w:rsidRPr="007706AF">
        <w:rPr>
          <w:rFonts w:ascii="Times New Roman" w:hAnsi="Times New Roman" w:cs="Times New Roman"/>
          <w:i/>
        </w:rPr>
        <w:t xml:space="preserve"> The Rise of Disaster Capitalism.</w:t>
      </w:r>
      <w:r w:rsidRPr="007706AF">
        <w:rPr>
          <w:rFonts w:ascii="Times New Roman" w:hAnsi="Times New Roman" w:cs="Times New Roman"/>
        </w:rPr>
        <w:t xml:space="preserve"> Metropolitan Books.</w:t>
      </w:r>
    </w:p>
    <w:p w14:paraId="18D51A0E" w14:textId="2383ACCD" w:rsidR="00935D0C" w:rsidRPr="007706AF" w:rsidRDefault="00935D0C" w:rsidP="001821B2">
      <w:pPr>
        <w:pStyle w:val="FootnoteText"/>
        <w:spacing w:line="480" w:lineRule="auto"/>
        <w:ind w:left="360" w:hanging="360"/>
        <w:rPr>
          <w:szCs w:val="24"/>
        </w:rPr>
      </w:pPr>
      <w:r w:rsidRPr="007706AF">
        <w:rPr>
          <w:szCs w:val="24"/>
        </w:rPr>
        <w:lastRenderedPageBreak/>
        <w:t xml:space="preserve">Kouvelakis, Stathis (2012). “Introduction: The End of Europeanism,” in </w:t>
      </w:r>
      <w:r w:rsidRPr="007706AF">
        <w:rPr>
          <w:i/>
          <w:szCs w:val="24"/>
        </w:rPr>
        <w:t>Crisis in the Eurozone,</w:t>
      </w:r>
      <w:r w:rsidRPr="007706AF">
        <w:rPr>
          <w:szCs w:val="24"/>
        </w:rPr>
        <w:t xml:space="preserve"> edited by Costas Lapavitsas et al., London and New York: Verso.</w:t>
      </w:r>
    </w:p>
    <w:p w14:paraId="30E64226" w14:textId="43D777A6" w:rsidR="00E81C89" w:rsidRPr="007706AF" w:rsidRDefault="00E81C89" w:rsidP="001821B2">
      <w:pPr>
        <w:pStyle w:val="FootnoteText"/>
        <w:spacing w:line="480" w:lineRule="auto"/>
        <w:ind w:left="360" w:hanging="360"/>
        <w:rPr>
          <w:szCs w:val="24"/>
        </w:rPr>
      </w:pPr>
      <w:r w:rsidRPr="007706AF">
        <w:rPr>
          <w:szCs w:val="24"/>
        </w:rPr>
        <w:t xml:space="preserve">Kulish, Nicholas (2010) “Defying Others, Germany Finds Economic Success,” </w:t>
      </w:r>
      <w:r w:rsidRPr="007706AF">
        <w:rPr>
          <w:i/>
          <w:szCs w:val="24"/>
        </w:rPr>
        <w:t>The</w:t>
      </w:r>
      <w:r w:rsidRPr="007706AF">
        <w:rPr>
          <w:szCs w:val="24"/>
        </w:rPr>
        <w:t xml:space="preserve"> </w:t>
      </w:r>
      <w:r w:rsidRPr="007706AF">
        <w:rPr>
          <w:i/>
          <w:szCs w:val="24"/>
        </w:rPr>
        <w:t>New York Times,</w:t>
      </w:r>
      <w:r w:rsidRPr="007706AF">
        <w:rPr>
          <w:szCs w:val="24"/>
        </w:rPr>
        <w:t xml:space="preserve"> August 13. (http://www.nytimes.com/2010/08/14/world/europe/14germany.html?pagewanted=all&amp;_r=0)</w:t>
      </w:r>
    </w:p>
    <w:p w14:paraId="4E4EF43D" w14:textId="2AA0FF81" w:rsidR="00DE51BA" w:rsidRPr="007706AF" w:rsidRDefault="00762953" w:rsidP="001821B2">
      <w:pPr>
        <w:pStyle w:val="FootnoteText"/>
        <w:spacing w:line="480" w:lineRule="auto"/>
        <w:ind w:left="360" w:hanging="360"/>
        <w:rPr>
          <w:szCs w:val="24"/>
        </w:rPr>
      </w:pPr>
      <w:r w:rsidRPr="007706AF">
        <w:rPr>
          <w:szCs w:val="24"/>
        </w:rPr>
        <w:t xml:space="preserve">Lewis, Jeffery </w:t>
      </w:r>
      <w:r w:rsidR="00DE51BA" w:rsidRPr="007706AF">
        <w:rPr>
          <w:szCs w:val="24"/>
        </w:rPr>
        <w:t>(2009)</w:t>
      </w:r>
      <w:r w:rsidRPr="007706AF">
        <w:rPr>
          <w:szCs w:val="24"/>
        </w:rPr>
        <w:t>. “</w:t>
      </w:r>
      <w:r w:rsidR="00DE51BA" w:rsidRPr="007706AF">
        <w:rPr>
          <w:szCs w:val="24"/>
        </w:rPr>
        <w:t>EU Policy on Iraq: The Collapse and Reconstruction of</w:t>
      </w:r>
      <w:r w:rsidRPr="007706AF">
        <w:rPr>
          <w:szCs w:val="24"/>
        </w:rPr>
        <w:t xml:space="preserve"> Consensus-based Foreign Policy”,</w:t>
      </w:r>
      <w:r w:rsidR="00DE51BA" w:rsidRPr="007706AF">
        <w:rPr>
          <w:szCs w:val="24"/>
        </w:rPr>
        <w:t xml:space="preserve"> </w:t>
      </w:r>
      <w:r w:rsidR="00DE51BA" w:rsidRPr="007706AF">
        <w:rPr>
          <w:i/>
          <w:szCs w:val="24"/>
        </w:rPr>
        <w:t>International Politics</w:t>
      </w:r>
      <w:r w:rsidR="00DE51BA" w:rsidRPr="007706AF">
        <w:rPr>
          <w:szCs w:val="24"/>
        </w:rPr>
        <w:t xml:space="preserve"> 46(4): 432-450.</w:t>
      </w:r>
    </w:p>
    <w:p w14:paraId="3C0C5AC9" w14:textId="0133FAB4" w:rsidR="007176F1" w:rsidRPr="007706AF" w:rsidRDefault="007176F1" w:rsidP="001821B2">
      <w:pPr>
        <w:pStyle w:val="FootnoteText"/>
        <w:spacing w:line="480" w:lineRule="auto"/>
        <w:ind w:left="360" w:hanging="360"/>
      </w:pPr>
      <w:r w:rsidRPr="007706AF">
        <w:t>Mahony, Honor (2012). “National stereotyping – the eurozone’s other story”</w:t>
      </w:r>
      <w:r w:rsidR="00762953" w:rsidRPr="007706AF">
        <w:t>,</w:t>
      </w:r>
      <w:r w:rsidRPr="007706AF">
        <w:t xml:space="preserve"> </w:t>
      </w:r>
      <w:r w:rsidRPr="007706AF">
        <w:rPr>
          <w:i/>
        </w:rPr>
        <w:t>euobserver.com,</w:t>
      </w:r>
      <w:r w:rsidRPr="007706AF">
        <w:t xml:space="preserve"> 22 February.</w:t>
      </w:r>
    </w:p>
    <w:p w14:paraId="2A6F4A86" w14:textId="59B4BC05" w:rsidR="007176F1" w:rsidRPr="007706AF" w:rsidRDefault="007176F1" w:rsidP="001821B2">
      <w:pPr>
        <w:pStyle w:val="FootnoteText"/>
        <w:spacing w:line="480" w:lineRule="auto"/>
        <w:ind w:left="360" w:hanging="360"/>
      </w:pPr>
      <w:r w:rsidRPr="007706AF">
        <w:t>Manchin, Anna (2012a)</w:t>
      </w:r>
      <w:r w:rsidR="00762953" w:rsidRPr="007706AF">
        <w:t>. “</w:t>
      </w:r>
      <w:r w:rsidRPr="007706AF">
        <w:t>Many Europeans Believe Th</w:t>
      </w:r>
      <w:r w:rsidR="00762953" w:rsidRPr="007706AF">
        <w:t>ey Can Get Ahead With Hard Work”</w:t>
      </w:r>
      <w:r w:rsidRPr="007706AF">
        <w:t xml:space="preserve">, </w:t>
      </w:r>
      <w:r w:rsidRPr="007706AF">
        <w:rPr>
          <w:i/>
        </w:rPr>
        <w:t>Gallup,</w:t>
      </w:r>
      <w:r w:rsidRPr="007706AF">
        <w:t xml:space="preserve"> 14 March.</w:t>
      </w:r>
    </w:p>
    <w:p w14:paraId="0A7F9CBA" w14:textId="075D32D5" w:rsidR="007176F1" w:rsidRPr="007706AF" w:rsidRDefault="007176F1" w:rsidP="001821B2">
      <w:pPr>
        <w:pStyle w:val="FootnoteText"/>
        <w:spacing w:line="480" w:lineRule="auto"/>
        <w:ind w:left="360" w:hanging="360"/>
      </w:pPr>
      <w:r w:rsidRPr="007706AF">
        <w:t>Manchin, Anna (2012b).</w:t>
      </w:r>
      <w:r w:rsidR="00762953" w:rsidRPr="007706AF">
        <w:t xml:space="preserve"> “</w:t>
      </w:r>
      <w:r w:rsidRPr="007706AF">
        <w:t>Opinion Briefin</w:t>
      </w:r>
      <w:r w:rsidR="00762953" w:rsidRPr="007706AF">
        <w:t>g: Confidence Deficit in the EU”</w:t>
      </w:r>
      <w:r w:rsidRPr="007706AF">
        <w:t xml:space="preserve">, </w:t>
      </w:r>
      <w:r w:rsidRPr="007706AF">
        <w:rPr>
          <w:i/>
        </w:rPr>
        <w:t>US Foreign Policy Opinion Briefings,</w:t>
      </w:r>
      <w:r w:rsidRPr="007706AF">
        <w:t xml:space="preserve"> 2 February.</w:t>
      </w:r>
    </w:p>
    <w:p w14:paraId="15224949" w14:textId="3303F31F" w:rsidR="00935D0C" w:rsidRPr="007706AF" w:rsidRDefault="00935D0C" w:rsidP="001821B2">
      <w:pPr>
        <w:pStyle w:val="FootnoteText"/>
        <w:spacing w:line="480" w:lineRule="auto"/>
        <w:ind w:left="360" w:hanging="360"/>
        <w:rPr>
          <w:szCs w:val="24"/>
        </w:rPr>
      </w:pPr>
      <w:r w:rsidRPr="007706AF">
        <w:rPr>
          <w:szCs w:val="24"/>
        </w:rPr>
        <w:t xml:space="preserve">Manolopoulos, Jason (2011). </w:t>
      </w:r>
      <w:r w:rsidRPr="007706AF">
        <w:rPr>
          <w:i/>
          <w:szCs w:val="24"/>
        </w:rPr>
        <w:t>Greece’s ‘Odious’ Debt,</w:t>
      </w:r>
      <w:r w:rsidRPr="007706AF">
        <w:rPr>
          <w:szCs w:val="24"/>
        </w:rPr>
        <w:t xml:space="preserve"> New York and London: Anthem Press.</w:t>
      </w:r>
    </w:p>
    <w:p w14:paraId="45FCB661" w14:textId="384C3151" w:rsidR="00DE51BA" w:rsidRPr="007706AF" w:rsidRDefault="00DE51BA" w:rsidP="001821B2">
      <w:pPr>
        <w:pStyle w:val="FootnoteText"/>
        <w:spacing w:line="480" w:lineRule="auto"/>
        <w:ind w:left="360" w:hanging="360"/>
        <w:rPr>
          <w:szCs w:val="24"/>
        </w:rPr>
      </w:pPr>
      <w:r w:rsidRPr="007706AF">
        <w:rPr>
          <w:szCs w:val="24"/>
        </w:rPr>
        <w:t>Menon, Anand (2004)</w:t>
      </w:r>
      <w:r w:rsidR="00762953" w:rsidRPr="007706AF">
        <w:rPr>
          <w:szCs w:val="24"/>
        </w:rPr>
        <w:t>.</w:t>
      </w:r>
      <w:r w:rsidRPr="007706AF">
        <w:rPr>
          <w:szCs w:val="24"/>
        </w:rPr>
        <w:t xml:space="preserve"> “From crisi</w:t>
      </w:r>
      <w:r w:rsidR="00762953" w:rsidRPr="007706AF">
        <w:rPr>
          <w:szCs w:val="24"/>
        </w:rPr>
        <w:t>s to catharsis: ESDP after Iraq</w:t>
      </w:r>
      <w:r w:rsidRPr="007706AF">
        <w:rPr>
          <w:szCs w:val="24"/>
        </w:rPr>
        <w:t>”</w:t>
      </w:r>
      <w:r w:rsidR="00762953" w:rsidRPr="007706AF">
        <w:rPr>
          <w:szCs w:val="24"/>
        </w:rPr>
        <w:t>,</w:t>
      </w:r>
      <w:r w:rsidRPr="007706AF">
        <w:rPr>
          <w:szCs w:val="24"/>
        </w:rPr>
        <w:t xml:space="preserve"> </w:t>
      </w:r>
      <w:r w:rsidRPr="007706AF">
        <w:rPr>
          <w:i/>
          <w:szCs w:val="24"/>
        </w:rPr>
        <w:t xml:space="preserve">International Affairs </w:t>
      </w:r>
      <w:r w:rsidRPr="007706AF">
        <w:rPr>
          <w:szCs w:val="24"/>
        </w:rPr>
        <w:t>80(4): 631-48.</w:t>
      </w:r>
    </w:p>
    <w:p w14:paraId="0AED8880" w14:textId="5E0CC77E" w:rsidR="00DE51BA" w:rsidRPr="007706AF" w:rsidRDefault="00DE51BA" w:rsidP="001821B2">
      <w:pPr>
        <w:spacing w:line="480" w:lineRule="auto"/>
        <w:ind w:left="360" w:hanging="360"/>
        <w:rPr>
          <w:rFonts w:ascii="Times New Roman" w:hAnsi="Times New Roman" w:cs="Times New Roman"/>
        </w:rPr>
      </w:pPr>
      <w:r w:rsidRPr="007706AF">
        <w:rPr>
          <w:rFonts w:ascii="Times New Roman" w:hAnsi="Times New Roman" w:cs="Times New Roman"/>
        </w:rPr>
        <w:t>Meyers, Gerald C., with John Holusha (1986)</w:t>
      </w:r>
      <w:r w:rsidR="00762953" w:rsidRPr="007706AF">
        <w:rPr>
          <w:rFonts w:ascii="Times New Roman" w:hAnsi="Times New Roman" w:cs="Times New Roman"/>
        </w:rPr>
        <w:t>.</w:t>
      </w:r>
      <w:r w:rsidRPr="007706AF">
        <w:rPr>
          <w:rFonts w:ascii="Times New Roman" w:hAnsi="Times New Roman" w:cs="Times New Roman"/>
        </w:rPr>
        <w:t xml:space="preserve"> </w:t>
      </w:r>
      <w:r w:rsidRPr="007706AF">
        <w:rPr>
          <w:rFonts w:ascii="Times New Roman" w:hAnsi="Times New Roman" w:cs="Times New Roman"/>
          <w:i/>
        </w:rPr>
        <w:t>When It Hits the Fan: Managing the Nine Crises of Business</w:t>
      </w:r>
      <w:r w:rsidRPr="007706AF">
        <w:rPr>
          <w:rFonts w:ascii="Times New Roman" w:hAnsi="Times New Roman" w:cs="Times New Roman"/>
        </w:rPr>
        <w:t>. Boston: Houghton Mifflin.</w:t>
      </w:r>
    </w:p>
    <w:p w14:paraId="0751181E" w14:textId="3958AB47" w:rsidR="007176F1" w:rsidRPr="007706AF" w:rsidRDefault="007176F1" w:rsidP="001821B2">
      <w:pPr>
        <w:pStyle w:val="FootnoteText"/>
        <w:spacing w:line="480" w:lineRule="auto"/>
        <w:ind w:left="360" w:hanging="360"/>
      </w:pPr>
      <w:r w:rsidRPr="007706AF">
        <w:t>Milliband, David (2011).</w:t>
      </w:r>
      <w:r w:rsidR="00762953" w:rsidRPr="007706AF">
        <w:t xml:space="preserve"> “</w:t>
      </w:r>
      <w:r w:rsidRPr="007706AF">
        <w:t xml:space="preserve">Don’t leave Europe </w:t>
      </w:r>
      <w:r w:rsidR="00762953" w:rsidRPr="007706AF">
        <w:t>to the skeptics and federalists”</w:t>
      </w:r>
      <w:r w:rsidRPr="007706AF">
        <w:t xml:space="preserve">, </w:t>
      </w:r>
      <w:r w:rsidRPr="007706AF">
        <w:rPr>
          <w:i/>
        </w:rPr>
        <w:t>Financial Times,</w:t>
      </w:r>
      <w:r w:rsidRPr="007706AF">
        <w:t xml:space="preserve"> Comment section, 15 November.</w:t>
      </w:r>
    </w:p>
    <w:p w14:paraId="559A4122" w14:textId="19AF8662" w:rsidR="00DE51BA" w:rsidRPr="007706AF" w:rsidRDefault="00DE51BA" w:rsidP="001821B2">
      <w:pPr>
        <w:pStyle w:val="FootnoteText"/>
        <w:spacing w:line="480" w:lineRule="auto"/>
        <w:ind w:left="360" w:hanging="360"/>
        <w:rPr>
          <w:szCs w:val="24"/>
        </w:rPr>
      </w:pPr>
      <w:r w:rsidRPr="007706AF">
        <w:rPr>
          <w:szCs w:val="24"/>
        </w:rPr>
        <w:t>Nanou, Kyriaki and Susannah Vernet (2013)</w:t>
      </w:r>
      <w:r w:rsidR="00762953" w:rsidRPr="007706AF">
        <w:rPr>
          <w:szCs w:val="24"/>
        </w:rPr>
        <w:t>.</w:t>
      </w:r>
      <w:r w:rsidRPr="007706AF">
        <w:rPr>
          <w:szCs w:val="24"/>
        </w:rPr>
        <w:t xml:space="preserve"> </w:t>
      </w:r>
      <w:r w:rsidRPr="007706AF">
        <w:rPr>
          <w:i/>
          <w:iCs/>
          <w:szCs w:val="24"/>
        </w:rPr>
        <w:t>The Eurozone crisis has increased soft Euroscepticism in Greece, where Greeks wish to remain in the euro, but no longer trust the EU.</w:t>
      </w:r>
      <w:r w:rsidRPr="007706AF">
        <w:rPr>
          <w:szCs w:val="24"/>
        </w:rPr>
        <w:t xml:space="preserve"> </w:t>
      </w:r>
      <w:r w:rsidRPr="007706AF">
        <w:rPr>
          <w:i/>
          <w:iCs/>
          <w:szCs w:val="24"/>
        </w:rPr>
        <w:t>LSE European Politics and Policy (EUROPP) Blog</w:t>
      </w:r>
      <w:r w:rsidRPr="007706AF">
        <w:rPr>
          <w:szCs w:val="24"/>
        </w:rPr>
        <w:t xml:space="preserve"> (02 Mar 2013) Blog Entry.</w:t>
      </w:r>
    </w:p>
    <w:p w14:paraId="19C19CC1" w14:textId="2567CB0E" w:rsidR="00DE51BA" w:rsidRPr="007706AF" w:rsidRDefault="00DE51BA" w:rsidP="001821B2">
      <w:pPr>
        <w:pStyle w:val="FootnoteText"/>
        <w:spacing w:line="480" w:lineRule="auto"/>
        <w:ind w:left="360" w:hanging="360"/>
        <w:rPr>
          <w:szCs w:val="24"/>
        </w:rPr>
      </w:pPr>
      <w:r w:rsidRPr="007706AF">
        <w:rPr>
          <w:szCs w:val="24"/>
        </w:rPr>
        <w:lastRenderedPageBreak/>
        <w:t>Neal, Andrew (2009)</w:t>
      </w:r>
      <w:r w:rsidR="00762953" w:rsidRPr="007706AF">
        <w:rPr>
          <w:szCs w:val="24"/>
        </w:rPr>
        <w:t>.</w:t>
      </w:r>
      <w:r w:rsidRPr="007706AF">
        <w:rPr>
          <w:szCs w:val="24"/>
        </w:rPr>
        <w:t xml:space="preserve"> </w:t>
      </w:r>
      <w:r w:rsidRPr="007706AF">
        <w:rPr>
          <w:i/>
          <w:szCs w:val="24"/>
        </w:rPr>
        <w:t>Exceptionalism and the politics of counter-terrorism: liberty, security and the war on terror</w:t>
      </w:r>
      <w:r w:rsidR="00762953" w:rsidRPr="007706AF">
        <w:rPr>
          <w:szCs w:val="24"/>
        </w:rPr>
        <w:t>/</w:t>
      </w:r>
      <w:r w:rsidRPr="007706AF">
        <w:rPr>
          <w:szCs w:val="24"/>
        </w:rPr>
        <w:t xml:space="preserve"> New York, NY: Routledge</w:t>
      </w:r>
    </w:p>
    <w:p w14:paraId="25726211" w14:textId="603F919F" w:rsidR="00C423A4" w:rsidRPr="007706AF" w:rsidRDefault="00C423A4" w:rsidP="001821B2">
      <w:pPr>
        <w:pStyle w:val="FootnoteText"/>
        <w:spacing w:line="480" w:lineRule="auto"/>
        <w:ind w:left="360" w:hanging="360"/>
      </w:pPr>
      <w:r w:rsidRPr="007706AF">
        <w:t xml:space="preserve">Overtveldt, Johan van (2011). </w:t>
      </w:r>
      <w:r w:rsidRPr="007706AF">
        <w:rPr>
          <w:i/>
        </w:rPr>
        <w:t>The End of the Euro: The uneasy future of the European Union,</w:t>
      </w:r>
      <w:r w:rsidRPr="007706AF">
        <w:t xml:space="preserve"> Chicago: Agate Publishing.</w:t>
      </w:r>
    </w:p>
    <w:p w14:paraId="7B09ADBA" w14:textId="73C63BFF" w:rsidR="007176F1" w:rsidRPr="007706AF" w:rsidRDefault="007176F1" w:rsidP="001821B2">
      <w:pPr>
        <w:pStyle w:val="FootnoteText"/>
        <w:spacing w:line="480" w:lineRule="auto"/>
        <w:ind w:left="360" w:hanging="360"/>
      </w:pPr>
      <w:r w:rsidRPr="007706AF">
        <w:t>Peel, Quentin (2012).</w:t>
      </w:r>
      <w:r w:rsidR="00762953" w:rsidRPr="007706AF">
        <w:t xml:space="preserve"> “</w:t>
      </w:r>
      <w:r w:rsidRPr="007706AF">
        <w:t>Merkel injects note of cauti</w:t>
      </w:r>
      <w:r w:rsidR="00762953" w:rsidRPr="007706AF">
        <w:t>on to collective sigh of relief”</w:t>
      </w:r>
      <w:r w:rsidRPr="007706AF">
        <w:t xml:space="preserve">, </w:t>
      </w:r>
      <w:r w:rsidRPr="007706AF">
        <w:rPr>
          <w:i/>
        </w:rPr>
        <w:t xml:space="preserve">Financial Times, </w:t>
      </w:r>
      <w:r w:rsidRPr="007706AF">
        <w:t>3 and 4</w:t>
      </w:r>
      <w:r w:rsidRPr="007706AF">
        <w:rPr>
          <w:i/>
        </w:rPr>
        <w:t xml:space="preserve"> </w:t>
      </w:r>
      <w:proofErr w:type="gramStart"/>
      <w:r w:rsidRPr="007706AF">
        <w:t>March,</w:t>
      </w:r>
      <w:proofErr w:type="gramEnd"/>
      <w:r w:rsidRPr="007706AF">
        <w:t xml:space="preserve"> 2.</w:t>
      </w:r>
    </w:p>
    <w:p w14:paraId="097DBDBB" w14:textId="3883C35B" w:rsidR="007176F1" w:rsidRPr="007706AF" w:rsidRDefault="007176F1" w:rsidP="001821B2">
      <w:pPr>
        <w:pStyle w:val="FootnoteText"/>
        <w:tabs>
          <w:tab w:val="left" w:pos="360"/>
        </w:tabs>
        <w:spacing w:line="480" w:lineRule="auto"/>
        <w:ind w:left="360" w:hanging="360"/>
      </w:pPr>
      <w:r w:rsidRPr="007706AF">
        <w:t>Peel, Quentin and Gerrit Wiesmann (2011).</w:t>
      </w:r>
      <w:r w:rsidR="00762953" w:rsidRPr="007706AF">
        <w:t xml:space="preserve"> “</w:t>
      </w:r>
      <w:r w:rsidRPr="007706AF">
        <w:t>Cr</w:t>
      </w:r>
      <w:r w:rsidR="00762953" w:rsidRPr="007706AF">
        <w:t>isis provides opportunity for ‘fiscal union</w:t>
      </w:r>
      <w:r w:rsidRPr="007706AF">
        <w:t>’</w:t>
      </w:r>
      <w:r w:rsidR="00762953" w:rsidRPr="007706AF">
        <w:t>”</w:t>
      </w:r>
      <w:r w:rsidRPr="007706AF">
        <w:t xml:space="preserve">, </w:t>
      </w:r>
      <w:r w:rsidRPr="007706AF">
        <w:rPr>
          <w:i/>
        </w:rPr>
        <w:t>Financial Times,</w:t>
      </w:r>
      <w:r w:rsidRPr="007706AF">
        <w:t xml:space="preserve"> 30 October.</w:t>
      </w:r>
    </w:p>
    <w:p w14:paraId="5D109DF6" w14:textId="77777777" w:rsidR="008A0877" w:rsidRPr="007706AF" w:rsidRDefault="008A0877" w:rsidP="001821B2">
      <w:pPr>
        <w:pStyle w:val="FootnoteText"/>
        <w:spacing w:line="480" w:lineRule="auto"/>
        <w:ind w:left="360" w:hanging="360"/>
      </w:pPr>
      <w:r w:rsidRPr="007706AF">
        <w:t xml:space="preserve">Plender, John (2011). “Time for Eurozone policymakers to grasp the nettle,” </w:t>
      </w:r>
      <w:r w:rsidRPr="007706AF">
        <w:rPr>
          <w:i/>
        </w:rPr>
        <w:t>Financial Times,</w:t>
      </w:r>
      <w:r w:rsidRPr="007706AF">
        <w:t xml:space="preserve"> 13 July.</w:t>
      </w:r>
    </w:p>
    <w:p w14:paraId="10872B13" w14:textId="6188CEF7" w:rsidR="007176F1" w:rsidRPr="007706AF" w:rsidRDefault="007176F1" w:rsidP="001821B2">
      <w:pPr>
        <w:pStyle w:val="FootnoteText"/>
        <w:spacing w:line="480" w:lineRule="auto"/>
        <w:ind w:left="360" w:hanging="360"/>
      </w:pPr>
      <w:r w:rsidRPr="007706AF">
        <w:t>Rachman, Gideon (2012)</w:t>
      </w:r>
      <w:r w:rsidR="00762953" w:rsidRPr="007706AF">
        <w:t>.</w:t>
      </w:r>
      <w:r w:rsidRPr="007706AF">
        <w:t xml:space="preserve"> </w:t>
      </w:r>
      <w:r w:rsidR="00762953" w:rsidRPr="007706AF">
        <w:t>“</w:t>
      </w:r>
      <w:r w:rsidRPr="007706AF">
        <w:t>Ge</w:t>
      </w:r>
      <w:r w:rsidR="00762953" w:rsidRPr="007706AF">
        <w:t>rmany faces a machine from hell”</w:t>
      </w:r>
      <w:r w:rsidRPr="007706AF">
        <w:t xml:space="preserve">, </w:t>
      </w:r>
      <w:r w:rsidRPr="007706AF">
        <w:rPr>
          <w:i/>
        </w:rPr>
        <w:t>Financial Times,</w:t>
      </w:r>
      <w:r w:rsidRPr="007706AF">
        <w:t xml:space="preserve"> comment section</w:t>
      </w:r>
      <w:proofErr w:type="gramStart"/>
      <w:r w:rsidRPr="007706AF">
        <w:t>,14</w:t>
      </w:r>
      <w:proofErr w:type="gramEnd"/>
      <w:r w:rsidRPr="007706AF">
        <w:t xml:space="preserve"> February, 9.</w:t>
      </w:r>
    </w:p>
    <w:p w14:paraId="33A76511" w14:textId="77590B46" w:rsidR="00DE51BA" w:rsidRPr="007706AF" w:rsidRDefault="00DE51BA" w:rsidP="001821B2">
      <w:pPr>
        <w:pStyle w:val="FootnoteText"/>
        <w:spacing w:line="480" w:lineRule="auto"/>
        <w:ind w:left="360" w:hanging="360"/>
        <w:rPr>
          <w:szCs w:val="24"/>
        </w:rPr>
      </w:pPr>
      <w:r w:rsidRPr="007706AF">
        <w:rPr>
          <w:szCs w:val="24"/>
        </w:rPr>
        <w:t>Risse, Thomas (2010)</w:t>
      </w:r>
      <w:r w:rsidR="00762953" w:rsidRPr="007706AF">
        <w:rPr>
          <w:szCs w:val="24"/>
        </w:rPr>
        <w:t>.</w:t>
      </w:r>
      <w:r w:rsidRPr="007706AF">
        <w:rPr>
          <w:szCs w:val="24"/>
        </w:rPr>
        <w:t xml:space="preserve"> </w:t>
      </w:r>
      <w:r w:rsidRPr="007706AF">
        <w:rPr>
          <w:i/>
          <w:szCs w:val="24"/>
        </w:rPr>
        <w:t>A Community of Europeans: Transnational Identities and Public Spheres</w:t>
      </w:r>
      <w:r w:rsidR="00762953" w:rsidRPr="007706AF">
        <w:rPr>
          <w:i/>
          <w:szCs w:val="24"/>
        </w:rPr>
        <w:t>.</w:t>
      </w:r>
      <w:r w:rsidRPr="007706AF">
        <w:rPr>
          <w:szCs w:val="24"/>
        </w:rPr>
        <w:t xml:space="preserve"> Ithaca: Cornell University Press.</w:t>
      </w:r>
    </w:p>
    <w:p w14:paraId="37DD058F" w14:textId="1FA8848E" w:rsidR="00DE51BA" w:rsidRPr="007706AF" w:rsidRDefault="00DE51BA" w:rsidP="001821B2">
      <w:pPr>
        <w:spacing w:line="480" w:lineRule="auto"/>
        <w:ind w:left="360" w:hanging="360"/>
        <w:rPr>
          <w:rFonts w:ascii="Times New Roman" w:hAnsi="Times New Roman" w:cs="Times New Roman"/>
        </w:rPr>
      </w:pPr>
      <w:r w:rsidRPr="007706AF">
        <w:rPr>
          <w:rFonts w:ascii="Times New Roman" w:hAnsi="Times New Roman" w:cs="Times New Roman"/>
        </w:rPr>
        <w:t>Rochlin, Gene I. (1996)</w:t>
      </w:r>
      <w:r w:rsidR="00762953" w:rsidRPr="007706AF">
        <w:rPr>
          <w:rFonts w:ascii="Times New Roman" w:hAnsi="Times New Roman" w:cs="Times New Roman"/>
        </w:rPr>
        <w:t>.</w:t>
      </w:r>
      <w:r w:rsidRPr="007706AF">
        <w:rPr>
          <w:rFonts w:ascii="Times New Roman" w:hAnsi="Times New Roman" w:cs="Times New Roman"/>
        </w:rPr>
        <w:t xml:space="preserve"> </w:t>
      </w:r>
      <w:r w:rsidR="00762953" w:rsidRPr="007706AF">
        <w:rPr>
          <w:rFonts w:ascii="Times New Roman" w:hAnsi="Times New Roman" w:cs="Times New Roman"/>
        </w:rPr>
        <w:t>“</w:t>
      </w:r>
      <w:r w:rsidRPr="007706AF">
        <w:rPr>
          <w:rFonts w:ascii="Times New Roman" w:hAnsi="Times New Roman" w:cs="Times New Roman"/>
        </w:rPr>
        <w:t>Reliable Organizations: Present Research and Future Directions</w:t>
      </w:r>
      <w:r w:rsidR="00762953" w:rsidRPr="007706AF">
        <w:rPr>
          <w:rFonts w:ascii="Times New Roman" w:hAnsi="Times New Roman" w:cs="Times New Roman"/>
        </w:rPr>
        <w:t>”,</w:t>
      </w:r>
      <w:r w:rsidRPr="007706AF">
        <w:rPr>
          <w:rFonts w:ascii="Times New Roman" w:hAnsi="Times New Roman" w:cs="Times New Roman"/>
        </w:rPr>
        <w:t xml:space="preserve"> </w:t>
      </w:r>
      <w:r w:rsidRPr="007706AF">
        <w:rPr>
          <w:rFonts w:ascii="Times New Roman" w:hAnsi="Times New Roman" w:cs="Times New Roman"/>
          <w:i/>
        </w:rPr>
        <w:t xml:space="preserve">Journal of Contingencies and Crisis Management </w:t>
      </w:r>
      <w:r w:rsidRPr="007706AF">
        <w:rPr>
          <w:rFonts w:ascii="Times New Roman" w:hAnsi="Times New Roman" w:cs="Times New Roman"/>
        </w:rPr>
        <w:t>42(2): 55-59.</w:t>
      </w:r>
    </w:p>
    <w:p w14:paraId="352B0442" w14:textId="5A1437D2" w:rsidR="00DE51BA" w:rsidRPr="007706AF" w:rsidRDefault="00DE51BA" w:rsidP="001821B2">
      <w:pPr>
        <w:spacing w:line="480" w:lineRule="auto"/>
        <w:ind w:left="360" w:hanging="360"/>
        <w:rPr>
          <w:rFonts w:ascii="Times New Roman" w:hAnsi="Times New Roman" w:cs="Times New Roman"/>
        </w:rPr>
      </w:pPr>
      <w:r w:rsidRPr="007706AF">
        <w:rPr>
          <w:rFonts w:ascii="Times New Roman" w:hAnsi="Times New Roman" w:cs="Times New Roman"/>
        </w:rPr>
        <w:t>Rohac, Dalibor (2013)</w:t>
      </w:r>
      <w:r w:rsidR="00762953" w:rsidRPr="007706AF">
        <w:rPr>
          <w:rFonts w:ascii="Times New Roman" w:hAnsi="Times New Roman" w:cs="Times New Roman"/>
        </w:rPr>
        <w:t>.</w:t>
      </w:r>
      <w:r w:rsidRPr="007706AF">
        <w:rPr>
          <w:rFonts w:ascii="Times New Roman" w:hAnsi="Times New Roman" w:cs="Times New Roman"/>
        </w:rPr>
        <w:t xml:space="preserve"> </w:t>
      </w:r>
      <w:r w:rsidR="00762953" w:rsidRPr="007706AF">
        <w:rPr>
          <w:rFonts w:ascii="Times New Roman" w:hAnsi="Times New Roman" w:cs="Times New Roman"/>
        </w:rPr>
        <w:t>“</w:t>
      </w:r>
      <w:r w:rsidRPr="007706AF">
        <w:rPr>
          <w:rFonts w:ascii="Times New Roman" w:hAnsi="Times New Roman" w:cs="Times New Roman"/>
        </w:rPr>
        <w:t>Fewer Europeans Trust the EU</w:t>
      </w:r>
      <w:r w:rsidR="00762953" w:rsidRPr="007706AF">
        <w:rPr>
          <w:rFonts w:ascii="Times New Roman" w:hAnsi="Times New Roman" w:cs="Times New Roman"/>
        </w:rPr>
        <w:t>”</w:t>
      </w:r>
      <w:r w:rsidRPr="007706AF">
        <w:rPr>
          <w:rFonts w:ascii="Times New Roman" w:hAnsi="Times New Roman" w:cs="Times New Roman"/>
        </w:rPr>
        <w:t xml:space="preserve">, </w:t>
      </w:r>
      <w:r w:rsidRPr="007706AF">
        <w:rPr>
          <w:rFonts w:ascii="Times New Roman" w:hAnsi="Times New Roman" w:cs="Times New Roman"/>
          <w:i/>
        </w:rPr>
        <w:t xml:space="preserve">Washington Times, </w:t>
      </w:r>
      <w:r w:rsidRPr="007706AF">
        <w:rPr>
          <w:rFonts w:ascii="Times New Roman" w:hAnsi="Times New Roman" w:cs="Times New Roman"/>
        </w:rPr>
        <w:t>November 26.</w:t>
      </w:r>
    </w:p>
    <w:p w14:paraId="4E4F327D" w14:textId="58E4DB98" w:rsidR="00DE51BA" w:rsidRPr="007706AF" w:rsidRDefault="00DE51BA" w:rsidP="001821B2">
      <w:pPr>
        <w:spacing w:line="480" w:lineRule="auto"/>
        <w:ind w:left="360" w:hanging="360"/>
        <w:rPr>
          <w:rFonts w:ascii="Times New Roman" w:hAnsi="Times New Roman" w:cs="Times New Roman"/>
        </w:rPr>
      </w:pPr>
      <w:r w:rsidRPr="007706AF">
        <w:rPr>
          <w:rFonts w:ascii="Times New Roman" w:hAnsi="Times New Roman" w:cs="Times New Roman"/>
        </w:rPr>
        <w:t>Rosecrance</w:t>
      </w:r>
      <w:r w:rsidR="007176F1" w:rsidRPr="007706AF">
        <w:rPr>
          <w:rFonts w:ascii="Times New Roman" w:hAnsi="Times New Roman" w:cs="Times New Roman"/>
        </w:rPr>
        <w:t>, Richard N.</w:t>
      </w:r>
      <w:r w:rsidRPr="007706AF">
        <w:rPr>
          <w:rFonts w:ascii="Times New Roman" w:hAnsi="Times New Roman" w:cs="Times New Roman"/>
        </w:rPr>
        <w:t xml:space="preserve"> (1963)</w:t>
      </w:r>
      <w:r w:rsidR="00762953" w:rsidRPr="007706AF">
        <w:rPr>
          <w:rFonts w:ascii="Times New Roman" w:hAnsi="Times New Roman" w:cs="Times New Roman"/>
        </w:rPr>
        <w:t>.</w:t>
      </w:r>
      <w:r w:rsidRPr="007706AF">
        <w:rPr>
          <w:rFonts w:ascii="Times New Roman" w:hAnsi="Times New Roman" w:cs="Times New Roman"/>
        </w:rPr>
        <w:t xml:space="preserve"> </w:t>
      </w:r>
      <w:r w:rsidRPr="007706AF">
        <w:rPr>
          <w:rFonts w:ascii="Times New Roman" w:hAnsi="Times New Roman" w:cs="Times New Roman"/>
          <w:i/>
        </w:rPr>
        <w:t>Action and Reaction in World Politics: International Systems in Perspective</w:t>
      </w:r>
      <w:r w:rsidR="00762953" w:rsidRPr="007706AF">
        <w:rPr>
          <w:rFonts w:ascii="Times New Roman" w:hAnsi="Times New Roman" w:cs="Times New Roman"/>
          <w:i/>
        </w:rPr>
        <w:t>.</w:t>
      </w:r>
      <w:r w:rsidRPr="007706AF">
        <w:rPr>
          <w:rFonts w:ascii="Times New Roman" w:hAnsi="Times New Roman" w:cs="Times New Roman"/>
        </w:rPr>
        <w:t xml:space="preserve"> Boston: Little, Brown.</w:t>
      </w:r>
    </w:p>
    <w:p w14:paraId="6A32AFFC" w14:textId="259F8B05" w:rsidR="00DE51BA" w:rsidRPr="007706AF" w:rsidRDefault="00762953" w:rsidP="001821B2">
      <w:pPr>
        <w:spacing w:line="480" w:lineRule="auto"/>
        <w:ind w:left="360" w:hanging="360"/>
        <w:rPr>
          <w:rFonts w:ascii="Times New Roman" w:hAnsi="Times New Roman" w:cs="Times New Roman"/>
        </w:rPr>
      </w:pPr>
      <w:proofErr w:type="gramStart"/>
      <w:r w:rsidRPr="007706AF">
        <w:rPr>
          <w:rFonts w:ascii="Times New Roman" w:hAnsi="Times New Roman" w:cs="Times New Roman"/>
        </w:rPr>
        <w:t>Sala, Vincent Della (2010).</w:t>
      </w:r>
      <w:proofErr w:type="gramEnd"/>
      <w:r w:rsidRPr="007706AF">
        <w:rPr>
          <w:rFonts w:ascii="Times New Roman" w:hAnsi="Times New Roman" w:cs="Times New Roman"/>
        </w:rPr>
        <w:t xml:space="preserve"> “</w:t>
      </w:r>
      <w:r w:rsidR="00DE51BA" w:rsidRPr="007706AF">
        <w:rPr>
          <w:rFonts w:ascii="Times New Roman" w:hAnsi="Times New Roman" w:cs="Times New Roman"/>
        </w:rPr>
        <w:t>Crisis, What Crisis? Narrating Crisis an</w:t>
      </w:r>
      <w:r w:rsidRPr="007706AF">
        <w:rPr>
          <w:rFonts w:ascii="Times New Roman" w:hAnsi="Times New Roman" w:cs="Times New Roman"/>
        </w:rPr>
        <w:t>d Decline in the European Union”</w:t>
      </w:r>
      <w:r w:rsidR="00DE51BA" w:rsidRPr="007706AF">
        <w:rPr>
          <w:rFonts w:ascii="Times New Roman" w:hAnsi="Times New Roman" w:cs="Times New Roman"/>
        </w:rPr>
        <w:t>, unpublished paper, University of Trento.</w:t>
      </w:r>
    </w:p>
    <w:p w14:paraId="35964E82" w14:textId="35D546FC" w:rsidR="00DE51BA" w:rsidRPr="007706AF" w:rsidRDefault="00DE51BA" w:rsidP="001821B2">
      <w:pPr>
        <w:pStyle w:val="FootnoteText"/>
        <w:spacing w:line="480" w:lineRule="auto"/>
        <w:ind w:left="360" w:hanging="360"/>
        <w:rPr>
          <w:szCs w:val="24"/>
        </w:rPr>
      </w:pPr>
      <w:r w:rsidRPr="007706AF">
        <w:rPr>
          <w:szCs w:val="24"/>
        </w:rPr>
        <w:t xml:space="preserve">Schmitt, Carl (1922/2004) </w:t>
      </w:r>
      <w:r w:rsidRPr="007706AF">
        <w:rPr>
          <w:i/>
          <w:szCs w:val="24"/>
        </w:rPr>
        <w:t>Political Theology: Four Chapters on the Concept of Sovereignty</w:t>
      </w:r>
      <w:r w:rsidR="00762953" w:rsidRPr="007706AF">
        <w:rPr>
          <w:i/>
          <w:szCs w:val="24"/>
        </w:rPr>
        <w:t>.</w:t>
      </w:r>
      <w:r w:rsidRPr="007706AF">
        <w:rPr>
          <w:szCs w:val="24"/>
        </w:rPr>
        <w:t xml:space="preserve"> George D. Schwab translation, </w:t>
      </w:r>
      <w:r w:rsidR="00762953" w:rsidRPr="007706AF">
        <w:rPr>
          <w:szCs w:val="24"/>
        </w:rPr>
        <w:t xml:space="preserve">Chicago: </w:t>
      </w:r>
      <w:r w:rsidRPr="007706AF">
        <w:rPr>
          <w:szCs w:val="24"/>
        </w:rPr>
        <w:t>University of Chicago Press.</w:t>
      </w:r>
    </w:p>
    <w:p w14:paraId="624EA3A5" w14:textId="521108B0" w:rsidR="00DE51BA" w:rsidRPr="007706AF" w:rsidRDefault="00DE51BA" w:rsidP="001821B2">
      <w:pPr>
        <w:pStyle w:val="FootnoteText"/>
        <w:spacing w:line="480" w:lineRule="auto"/>
        <w:ind w:left="360" w:hanging="360"/>
        <w:rPr>
          <w:szCs w:val="24"/>
        </w:rPr>
      </w:pPr>
      <w:r w:rsidRPr="007706AF">
        <w:rPr>
          <w:szCs w:val="24"/>
        </w:rPr>
        <w:lastRenderedPageBreak/>
        <w:t>Seeger, Matthew W., Timothy L. Sellnow, and Robert R. Ulmer (2003)</w:t>
      </w:r>
      <w:r w:rsidR="00762953" w:rsidRPr="007706AF">
        <w:rPr>
          <w:szCs w:val="24"/>
        </w:rPr>
        <w:t>.</w:t>
      </w:r>
      <w:r w:rsidRPr="007706AF">
        <w:rPr>
          <w:szCs w:val="24"/>
        </w:rPr>
        <w:t xml:space="preserve"> </w:t>
      </w:r>
      <w:proofErr w:type="gramStart"/>
      <w:r w:rsidRPr="007706AF">
        <w:rPr>
          <w:i/>
          <w:szCs w:val="24"/>
        </w:rPr>
        <w:t>Communication and Organizational Crisis.</w:t>
      </w:r>
      <w:proofErr w:type="gramEnd"/>
      <w:r w:rsidRPr="007706AF">
        <w:rPr>
          <w:szCs w:val="24"/>
        </w:rPr>
        <w:t xml:space="preserve"> Westport, CT: Praeger.</w:t>
      </w:r>
    </w:p>
    <w:p w14:paraId="7DE8E9A6" w14:textId="44253250" w:rsidR="00DE51BA" w:rsidRPr="007706AF" w:rsidRDefault="00DE51BA" w:rsidP="001821B2">
      <w:pPr>
        <w:pStyle w:val="FootnoteText"/>
        <w:spacing w:line="480" w:lineRule="auto"/>
        <w:ind w:left="360" w:hanging="360"/>
        <w:rPr>
          <w:szCs w:val="24"/>
        </w:rPr>
      </w:pPr>
      <w:r w:rsidRPr="007706AF">
        <w:rPr>
          <w:szCs w:val="24"/>
        </w:rPr>
        <w:t>Serricchio, Fabio, Myrt</w:t>
      </w:r>
      <w:r w:rsidR="00762953" w:rsidRPr="007706AF">
        <w:rPr>
          <w:szCs w:val="24"/>
        </w:rPr>
        <w:t xml:space="preserve">o Tsakatika, and Lucia Quaglia </w:t>
      </w:r>
      <w:r w:rsidRPr="007706AF">
        <w:rPr>
          <w:szCs w:val="24"/>
        </w:rPr>
        <w:t>(2013)</w:t>
      </w:r>
      <w:r w:rsidR="00762953" w:rsidRPr="007706AF">
        <w:rPr>
          <w:szCs w:val="24"/>
        </w:rPr>
        <w:t xml:space="preserve">. </w:t>
      </w:r>
      <w:proofErr w:type="gramStart"/>
      <w:r w:rsidR="00762953" w:rsidRPr="007706AF">
        <w:rPr>
          <w:szCs w:val="24"/>
        </w:rPr>
        <w:t>“</w:t>
      </w:r>
      <w:r w:rsidRPr="007706AF">
        <w:rPr>
          <w:szCs w:val="24"/>
        </w:rPr>
        <w:t xml:space="preserve">Euroscepticism </w:t>
      </w:r>
      <w:r w:rsidR="00762953" w:rsidRPr="007706AF">
        <w:rPr>
          <w:szCs w:val="24"/>
        </w:rPr>
        <w:t>and the Global Financial Crisis”</w:t>
      </w:r>
      <w:r w:rsidRPr="007706AF">
        <w:rPr>
          <w:szCs w:val="24"/>
        </w:rPr>
        <w:t xml:space="preserve">, </w:t>
      </w:r>
      <w:r w:rsidRPr="007706AF">
        <w:rPr>
          <w:i/>
          <w:szCs w:val="24"/>
        </w:rPr>
        <w:t>Journal of Common Market Studies,</w:t>
      </w:r>
      <w:r w:rsidRPr="007706AF">
        <w:rPr>
          <w:szCs w:val="24"/>
        </w:rPr>
        <w:t xml:space="preserve"> 51(1): 51-64.</w:t>
      </w:r>
      <w:proofErr w:type="gramEnd"/>
    </w:p>
    <w:p w14:paraId="164C8CE8" w14:textId="4C00BE78" w:rsidR="006972F9" w:rsidRPr="007706AF" w:rsidRDefault="006972F9" w:rsidP="001821B2">
      <w:pPr>
        <w:pStyle w:val="FootnoteText"/>
        <w:spacing w:line="480" w:lineRule="auto"/>
        <w:ind w:left="360" w:hanging="360"/>
        <w:rPr>
          <w:szCs w:val="24"/>
        </w:rPr>
      </w:pPr>
      <w:r w:rsidRPr="007706AF">
        <w:rPr>
          <w:szCs w:val="24"/>
        </w:rPr>
        <w:t xml:space="preserve">Soros, George (2012) </w:t>
      </w:r>
      <w:r w:rsidRPr="007706AF">
        <w:rPr>
          <w:i/>
          <w:szCs w:val="24"/>
        </w:rPr>
        <w:t>Financial Turmoil in Europe and the United States,</w:t>
      </w:r>
      <w:r w:rsidRPr="007706AF">
        <w:rPr>
          <w:szCs w:val="24"/>
        </w:rPr>
        <w:t xml:space="preserve"> New York: Public Affairs.</w:t>
      </w:r>
    </w:p>
    <w:p w14:paraId="6B58770B" w14:textId="258AB289" w:rsidR="00DE51BA" w:rsidRPr="007706AF" w:rsidRDefault="00DE51BA" w:rsidP="001821B2">
      <w:pPr>
        <w:pStyle w:val="FootnoteText"/>
        <w:spacing w:line="480" w:lineRule="auto"/>
        <w:ind w:left="360" w:hanging="360"/>
        <w:rPr>
          <w:szCs w:val="24"/>
        </w:rPr>
      </w:pPr>
      <w:proofErr w:type="gramStart"/>
      <w:r w:rsidRPr="007706AF">
        <w:rPr>
          <w:szCs w:val="24"/>
        </w:rPr>
        <w:t>Steinmo, S., Thelen, K. and Longstreth, F. (1992)</w:t>
      </w:r>
      <w:r w:rsidR="00762953" w:rsidRPr="007706AF">
        <w:rPr>
          <w:szCs w:val="24"/>
        </w:rPr>
        <w:t>.</w:t>
      </w:r>
      <w:proofErr w:type="gramEnd"/>
      <w:r w:rsidRPr="007706AF">
        <w:rPr>
          <w:szCs w:val="24"/>
        </w:rPr>
        <w:t xml:space="preserve"> </w:t>
      </w:r>
      <w:r w:rsidRPr="007706AF">
        <w:rPr>
          <w:i/>
          <w:iCs/>
          <w:szCs w:val="24"/>
        </w:rPr>
        <w:t>Stru</w:t>
      </w:r>
      <w:r w:rsidR="00762953" w:rsidRPr="007706AF">
        <w:rPr>
          <w:i/>
          <w:iCs/>
          <w:szCs w:val="24"/>
        </w:rPr>
        <w:t>cturing Politics.</w:t>
      </w:r>
      <w:r w:rsidRPr="007706AF">
        <w:rPr>
          <w:i/>
          <w:iCs/>
          <w:szCs w:val="24"/>
        </w:rPr>
        <w:t xml:space="preserve"> </w:t>
      </w:r>
      <w:r w:rsidRPr="007706AF">
        <w:rPr>
          <w:szCs w:val="24"/>
        </w:rPr>
        <w:t xml:space="preserve">Cambridge: Cambridge University Press. </w:t>
      </w:r>
    </w:p>
    <w:p w14:paraId="0CDE1D3D" w14:textId="646C7257" w:rsidR="001530F6" w:rsidRPr="007706AF" w:rsidRDefault="001530F6" w:rsidP="001821B2">
      <w:pPr>
        <w:pStyle w:val="FootnoteText"/>
        <w:spacing w:line="480" w:lineRule="auto"/>
        <w:ind w:left="360" w:hanging="360"/>
        <w:rPr>
          <w:szCs w:val="24"/>
        </w:rPr>
      </w:pPr>
      <w:r w:rsidRPr="007706AF">
        <w:rPr>
          <w:szCs w:val="24"/>
        </w:rPr>
        <w:t xml:space="preserve">Thomson, Robert </w:t>
      </w:r>
      <w:r w:rsidR="001A1957" w:rsidRPr="007706AF">
        <w:rPr>
          <w:szCs w:val="24"/>
        </w:rPr>
        <w:t xml:space="preserve">(2009). </w:t>
      </w:r>
      <w:r w:rsidRPr="007706AF">
        <w:rPr>
          <w:szCs w:val="24"/>
        </w:rPr>
        <w:t>“</w:t>
      </w:r>
      <w:proofErr w:type="gramStart"/>
      <w:r w:rsidRPr="007706AF">
        <w:rPr>
          <w:bCs/>
          <w:szCs w:val="24"/>
        </w:rPr>
        <w:t xml:space="preserve">Actor alignments in the European Union before and after enlargement,” </w:t>
      </w:r>
      <w:r w:rsidR="001A1957" w:rsidRPr="007706AF">
        <w:rPr>
          <w:bCs/>
          <w:i/>
          <w:szCs w:val="24"/>
        </w:rPr>
        <w:t>European Journal of Political Research</w:t>
      </w:r>
      <w:r w:rsidR="001A1957" w:rsidRPr="007706AF">
        <w:rPr>
          <w:bCs/>
          <w:szCs w:val="24"/>
        </w:rPr>
        <w:t xml:space="preserve"> 48(6): 756-781.</w:t>
      </w:r>
      <w:proofErr w:type="gramEnd"/>
    </w:p>
    <w:p w14:paraId="3BDBD702" w14:textId="1CDBCC35" w:rsidR="00DE51BA" w:rsidRPr="007706AF" w:rsidRDefault="00DE51BA" w:rsidP="001821B2">
      <w:pPr>
        <w:pStyle w:val="FootnoteText"/>
        <w:spacing w:line="480" w:lineRule="auto"/>
        <w:ind w:left="360" w:hanging="360"/>
        <w:rPr>
          <w:szCs w:val="24"/>
        </w:rPr>
      </w:pPr>
      <w:r w:rsidRPr="007706AF">
        <w:rPr>
          <w:szCs w:val="24"/>
        </w:rPr>
        <w:t>Torreblanca, Jose Ignacio and Mark Leonard (2013)</w:t>
      </w:r>
      <w:r w:rsidR="00762953" w:rsidRPr="007706AF">
        <w:rPr>
          <w:szCs w:val="24"/>
        </w:rPr>
        <w:t>.</w:t>
      </w:r>
      <w:r w:rsidRPr="007706AF">
        <w:rPr>
          <w:szCs w:val="24"/>
        </w:rPr>
        <w:t xml:space="preserve"> </w:t>
      </w:r>
      <w:r w:rsidR="00762953" w:rsidRPr="007706AF">
        <w:rPr>
          <w:szCs w:val="24"/>
        </w:rPr>
        <w:t>“</w:t>
      </w:r>
      <w:r w:rsidRPr="007706AF">
        <w:rPr>
          <w:szCs w:val="24"/>
        </w:rPr>
        <w:t>The Continent-Wide Rise of Euroskepticism</w:t>
      </w:r>
      <w:r w:rsidR="00762953" w:rsidRPr="007706AF">
        <w:rPr>
          <w:szCs w:val="24"/>
        </w:rPr>
        <w:t>”</w:t>
      </w:r>
      <w:r w:rsidRPr="007706AF">
        <w:rPr>
          <w:szCs w:val="24"/>
        </w:rPr>
        <w:t xml:space="preserve">, </w:t>
      </w:r>
      <w:r w:rsidRPr="007706AF">
        <w:rPr>
          <w:i/>
          <w:szCs w:val="24"/>
        </w:rPr>
        <w:t xml:space="preserve">European Council on Foreign Relations Policy Memo 79, </w:t>
      </w:r>
      <w:r w:rsidRPr="007706AF">
        <w:rPr>
          <w:szCs w:val="24"/>
        </w:rPr>
        <w:t>pp. 1-6.</w:t>
      </w:r>
    </w:p>
    <w:p w14:paraId="6EF06DC2" w14:textId="750F0F6C" w:rsidR="004A6886" w:rsidRPr="007706AF" w:rsidRDefault="004A6886" w:rsidP="004A6886">
      <w:pPr>
        <w:pStyle w:val="FootnoteText"/>
        <w:spacing w:line="480" w:lineRule="auto"/>
        <w:ind w:left="360" w:hanging="360"/>
        <w:rPr>
          <w:bCs/>
        </w:rPr>
      </w:pPr>
      <w:r w:rsidRPr="007706AF">
        <w:rPr>
          <w:szCs w:val="24"/>
        </w:rPr>
        <w:t>Verney, Susannah (2009). “</w:t>
      </w:r>
      <w:r w:rsidRPr="007706AF">
        <w:rPr>
          <w:bCs/>
        </w:rPr>
        <w:t xml:space="preserve">Flaky Fringe? Southern Europe Facing the Financial Crisis,” </w:t>
      </w:r>
      <w:r w:rsidRPr="007706AF">
        <w:rPr>
          <w:bCs/>
          <w:i/>
        </w:rPr>
        <w:t>South European Society and Politics</w:t>
      </w:r>
      <w:r w:rsidRPr="007706AF">
        <w:rPr>
          <w:bCs/>
        </w:rPr>
        <w:t xml:space="preserve"> 14(1): 1-6.</w:t>
      </w:r>
    </w:p>
    <w:p w14:paraId="7BD444DC" w14:textId="4AF1CB89" w:rsidR="00DE51BA" w:rsidRPr="007706AF" w:rsidRDefault="00DE51BA" w:rsidP="001821B2">
      <w:pPr>
        <w:pStyle w:val="FootnoteText"/>
        <w:spacing w:line="480" w:lineRule="auto"/>
        <w:ind w:left="360" w:hanging="360"/>
        <w:rPr>
          <w:bCs/>
          <w:szCs w:val="24"/>
        </w:rPr>
      </w:pPr>
      <w:r w:rsidRPr="007706AF">
        <w:rPr>
          <w:szCs w:val="24"/>
        </w:rPr>
        <w:t>Vössing, Konstantin (2005)</w:t>
      </w:r>
      <w:r w:rsidR="00762953" w:rsidRPr="007706AF">
        <w:rPr>
          <w:szCs w:val="24"/>
        </w:rPr>
        <w:t>.</w:t>
      </w:r>
      <w:r w:rsidRPr="007706AF">
        <w:rPr>
          <w:szCs w:val="24"/>
        </w:rPr>
        <w:t xml:space="preserve"> </w:t>
      </w:r>
      <w:r w:rsidR="00762953" w:rsidRPr="007706AF">
        <w:rPr>
          <w:szCs w:val="24"/>
        </w:rPr>
        <w:t>“</w:t>
      </w:r>
      <w:r w:rsidRPr="007706AF">
        <w:rPr>
          <w:bCs/>
          <w:szCs w:val="24"/>
        </w:rPr>
        <w:t>Nationality and the Preferences of the European Public toward EU Policy-Making</w:t>
      </w:r>
      <w:r w:rsidR="00762953" w:rsidRPr="007706AF">
        <w:rPr>
          <w:bCs/>
          <w:szCs w:val="24"/>
        </w:rPr>
        <w:t>”</w:t>
      </w:r>
      <w:r w:rsidRPr="007706AF">
        <w:rPr>
          <w:bCs/>
          <w:szCs w:val="24"/>
        </w:rPr>
        <w:t xml:space="preserve">, </w:t>
      </w:r>
      <w:r w:rsidRPr="007706AF">
        <w:rPr>
          <w:bCs/>
          <w:i/>
          <w:szCs w:val="24"/>
        </w:rPr>
        <w:t xml:space="preserve">European Union Politics </w:t>
      </w:r>
      <w:r w:rsidRPr="007706AF">
        <w:rPr>
          <w:bCs/>
          <w:szCs w:val="24"/>
        </w:rPr>
        <w:t>6(4): 445-467.</w:t>
      </w:r>
    </w:p>
    <w:p w14:paraId="0FE92AF6" w14:textId="77777777" w:rsidR="00ED45A9" w:rsidRPr="007706AF" w:rsidRDefault="00ED45A9" w:rsidP="00ED45A9">
      <w:pPr>
        <w:pStyle w:val="FootnoteText"/>
        <w:spacing w:line="480" w:lineRule="auto"/>
        <w:ind w:left="360" w:hanging="360"/>
        <w:rPr>
          <w:szCs w:val="24"/>
        </w:rPr>
      </w:pPr>
      <w:r w:rsidRPr="007706AF">
        <w:rPr>
          <w:szCs w:val="24"/>
        </w:rPr>
        <w:t xml:space="preserve">Young, O. (1968) </w:t>
      </w:r>
      <w:r w:rsidRPr="007706AF">
        <w:rPr>
          <w:i/>
          <w:szCs w:val="24"/>
        </w:rPr>
        <w:t xml:space="preserve">The Politics of Force: Bargaining During International Crises, </w:t>
      </w:r>
      <w:r w:rsidRPr="007706AF">
        <w:rPr>
          <w:szCs w:val="24"/>
        </w:rPr>
        <w:t>Princeton, NJ: Princeton University Press.</w:t>
      </w:r>
    </w:p>
    <w:p w14:paraId="0A5E6078" w14:textId="3D60EF90" w:rsidR="001530F6" w:rsidRPr="001530F6" w:rsidRDefault="001530F6" w:rsidP="001821B2">
      <w:pPr>
        <w:pStyle w:val="FootnoteText"/>
        <w:spacing w:line="480" w:lineRule="auto"/>
        <w:ind w:left="360" w:hanging="360"/>
        <w:rPr>
          <w:szCs w:val="24"/>
        </w:rPr>
      </w:pPr>
      <w:r w:rsidRPr="007706AF">
        <w:rPr>
          <w:bCs/>
          <w:szCs w:val="24"/>
        </w:rPr>
        <w:t xml:space="preserve">Zimmer, Christina, Gerald Schneider and Michael Dobbins (2005). “The Contested Council: Conflict Dimensions of an Intergovernmental EU Institution,” </w:t>
      </w:r>
      <w:r w:rsidRPr="007706AF">
        <w:rPr>
          <w:bCs/>
          <w:i/>
          <w:szCs w:val="24"/>
        </w:rPr>
        <w:t>Political Studies</w:t>
      </w:r>
      <w:r w:rsidRPr="007706AF">
        <w:rPr>
          <w:bCs/>
          <w:szCs w:val="24"/>
        </w:rPr>
        <w:t xml:space="preserve"> 53(2): 403-422.</w:t>
      </w:r>
    </w:p>
    <w:p w14:paraId="7AE448BD" w14:textId="77777777" w:rsidR="00DE51BA" w:rsidRDefault="00DE51BA" w:rsidP="001821B2">
      <w:pPr>
        <w:spacing w:line="480" w:lineRule="auto"/>
        <w:ind w:left="360" w:hanging="360"/>
        <w:rPr>
          <w:rFonts w:ascii="Times New Roman" w:hAnsi="Times New Roman" w:cs="Times New Roman"/>
        </w:rPr>
      </w:pPr>
    </w:p>
    <w:sectPr w:rsidR="00DE51BA" w:rsidSect="00610084">
      <w:footerReference w:type="even" r:id="rId15"/>
      <w:footerReference w:type="default" r:id="rId16"/>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A02C7E" w14:textId="77777777" w:rsidR="00897665" w:rsidRDefault="00897665" w:rsidP="00403127">
      <w:r>
        <w:separator/>
      </w:r>
    </w:p>
  </w:endnote>
  <w:endnote w:type="continuationSeparator" w:id="0">
    <w:p w14:paraId="0A18AE55" w14:textId="77777777" w:rsidR="00897665" w:rsidRDefault="00897665" w:rsidP="00403127">
      <w:r>
        <w:continuationSeparator/>
      </w:r>
    </w:p>
  </w:endnote>
  <w:endnote w:id="1">
    <w:p w14:paraId="2D2AA5E7" w14:textId="53FBD684" w:rsidR="00897665" w:rsidRPr="00F23130" w:rsidRDefault="00897665" w:rsidP="003365D3">
      <w:pPr>
        <w:pStyle w:val="EndnoteText"/>
      </w:pPr>
      <w:r w:rsidRPr="00F23130">
        <w:rPr>
          <w:rStyle w:val="EndnoteReference"/>
        </w:rPr>
        <w:endnoteRef/>
      </w:r>
      <w:r w:rsidRPr="00F23130">
        <w:t xml:space="preserve"> I refer in particular to crises that seemingly threaten the very existence of the EU (existential crises).</w:t>
      </w:r>
      <w:r>
        <w:t xml:space="preserve">  For other examples see Cross and Ma 2015</w:t>
      </w:r>
      <w:proofErr w:type="gramStart"/>
      <w:r>
        <w:t>;</w:t>
      </w:r>
      <w:proofErr w:type="gramEnd"/>
      <w:r>
        <w:t xml:space="preserve"> Jo</w:t>
      </w:r>
      <w:r>
        <w:rPr>
          <w:i/>
        </w:rPr>
        <w:t xml:space="preserve"> </w:t>
      </w:r>
      <w:r>
        <w:t xml:space="preserve">2007. </w:t>
      </w:r>
    </w:p>
  </w:endnote>
  <w:endnote w:id="2">
    <w:p w14:paraId="61B82030" w14:textId="211DD5E4" w:rsidR="00897665" w:rsidRPr="00F23130" w:rsidRDefault="00897665" w:rsidP="003365D3">
      <w:pPr>
        <w:pStyle w:val="EndnoteText"/>
      </w:pPr>
      <w:r w:rsidRPr="00F23130">
        <w:rPr>
          <w:rStyle w:val="EndnoteReference"/>
        </w:rPr>
        <w:endnoteRef/>
      </w:r>
      <w:r w:rsidRPr="00F23130">
        <w:t xml:space="preserve"> Germany, Finland, </w:t>
      </w:r>
      <w:r>
        <w:t xml:space="preserve">the </w:t>
      </w:r>
      <w:r w:rsidRPr="00F23130">
        <w:t xml:space="preserve">Netherlands, and Austria are generally </w:t>
      </w:r>
      <w:r>
        <w:t>recognized</w:t>
      </w:r>
      <w:r w:rsidRPr="00F23130">
        <w:t xml:space="preserve"> as the core group of northern Eurozone member states, while Cyprus, Greece, Italy, Portugal, and Spain are considered the core group of southern Eurozone member states.  Denmark, Sweden, and the UK are also representative of </w:t>
      </w:r>
      <w:r>
        <w:t>‘</w:t>
      </w:r>
      <w:r w:rsidRPr="00F23130">
        <w:t>the north,</w:t>
      </w:r>
      <w:r>
        <w:t>’</w:t>
      </w:r>
      <w:r w:rsidRPr="00F23130">
        <w:t xml:space="preserve"> but as non-Euro countries they are less central to this analysis.</w:t>
      </w:r>
    </w:p>
  </w:endnote>
  <w:endnote w:id="3">
    <w:p w14:paraId="6319EFF7" w14:textId="3440506C" w:rsidR="00897665" w:rsidRPr="00F23130" w:rsidRDefault="00897665" w:rsidP="003365D3">
      <w:pPr>
        <w:pStyle w:val="EndnoteText"/>
      </w:pPr>
      <w:r w:rsidRPr="00F23130">
        <w:rPr>
          <w:rStyle w:val="EndnoteReference"/>
        </w:rPr>
        <w:endnoteRef/>
      </w:r>
      <w:r w:rsidRPr="00F23130">
        <w:t xml:space="preserve"> Of course, various aspects of this crisis are still ongoing, but it no longer represents an</w:t>
      </w:r>
      <w:r>
        <w:t xml:space="preserve"> existential crisis for Europe</w:t>
      </w:r>
      <w:r w:rsidRPr="00F23130">
        <w:t xml:space="preserve">.  </w:t>
      </w:r>
    </w:p>
  </w:endnote>
  <w:endnote w:id="4">
    <w:p w14:paraId="3166F774" w14:textId="485F2C0B" w:rsidR="00897665" w:rsidRPr="00F23130" w:rsidRDefault="00897665" w:rsidP="003365D3">
      <w:pPr>
        <w:pStyle w:val="EndnoteText"/>
      </w:pPr>
      <w:r w:rsidRPr="00F23130">
        <w:rPr>
          <w:rStyle w:val="EndnoteReference"/>
        </w:rPr>
        <w:endnoteRef/>
      </w:r>
      <w:r w:rsidRPr="00F23130">
        <w:t xml:space="preserve"> These three stages may happen virtually simultaneously, but it is helpful to think of them as distinct processes for analytical purposes. </w:t>
      </w:r>
    </w:p>
  </w:endnote>
  <w:endnote w:id="5">
    <w:p w14:paraId="21405BEE" w14:textId="7F97C1EC" w:rsidR="00897665" w:rsidRPr="00F23130" w:rsidRDefault="00897665" w:rsidP="003365D3">
      <w:pPr>
        <w:pStyle w:val="EndnoteText"/>
      </w:pPr>
      <w:r w:rsidRPr="00F23130">
        <w:rPr>
          <w:rStyle w:val="EndnoteReference"/>
        </w:rPr>
        <w:endnoteRef/>
      </w:r>
      <w:r w:rsidRPr="00F23130">
        <w:t xml:space="preserve"> Many scholars have correctly pointed out that beyond the financial dimension of the Eurozone crisis there have been implications for the institutional and constitutional dimensions.  For the purposes of this </w:t>
      </w:r>
      <w:r>
        <w:t>article</w:t>
      </w:r>
      <w:r w:rsidRPr="00F23130">
        <w:t>, I confine my analysis to the core financial aspect of the Eurozone crisis and its impact on Eurozone member states.</w:t>
      </w:r>
    </w:p>
  </w:endnote>
  <w:endnote w:id="6">
    <w:p w14:paraId="27A77F69" w14:textId="2CCB192B" w:rsidR="00897665" w:rsidRPr="00F23130" w:rsidRDefault="00897665" w:rsidP="003365D3">
      <w:pPr>
        <w:pStyle w:val="EndnoteText"/>
      </w:pPr>
      <w:r w:rsidRPr="00F23130">
        <w:rPr>
          <w:rStyle w:val="EndnoteReference"/>
        </w:rPr>
        <w:endnoteRef/>
      </w:r>
      <w:r w:rsidRPr="00F23130">
        <w:t xml:space="preserve"> Some in the media and academia have referred to this as center-periphery tensions, with Greece, Spain, Portugal, and Italy as the periphery.  See </w:t>
      </w:r>
      <w:r>
        <w:t>Jabko 2012.</w:t>
      </w:r>
    </w:p>
  </w:endnote>
  <w:endnote w:id="7">
    <w:p w14:paraId="1DBCE132" w14:textId="69F6992F" w:rsidR="00897665" w:rsidRDefault="00897665">
      <w:pPr>
        <w:pStyle w:val="EndnoteText"/>
      </w:pPr>
      <w:r>
        <w:rPr>
          <w:rStyle w:val="EndnoteReference"/>
        </w:rPr>
        <w:endnoteRef/>
      </w:r>
      <w:r>
        <w:t xml:space="preserve"> T</w:t>
      </w:r>
      <w:r w:rsidRPr="00F365D4">
        <w:t xml:space="preserve">hese are English-language, and elite-oriented news media, they are highly respected, have a very high circulation, and represent a wide variety of views. </w:t>
      </w:r>
      <w:r>
        <w:t xml:space="preserve"> </w:t>
      </w:r>
      <w:r w:rsidRPr="00F365D4">
        <w:t xml:space="preserve">I use these sources </w:t>
      </w:r>
      <w:r>
        <w:t xml:space="preserve">simply </w:t>
      </w:r>
      <w:r w:rsidRPr="00F365D4">
        <w:t>as a good indication of media framing</w:t>
      </w:r>
      <w:r>
        <w:t xml:space="preserve"> at the time</w:t>
      </w:r>
      <w:r w:rsidRPr="00F365D4">
        <w:t>.</w:t>
      </w:r>
    </w:p>
  </w:endnote>
  <w:endnote w:id="8">
    <w:p w14:paraId="7A511E59" w14:textId="34BB7ED7" w:rsidR="00897665" w:rsidRPr="00F23130" w:rsidRDefault="00897665" w:rsidP="003365D3">
      <w:pPr>
        <w:pStyle w:val="EndnoteText"/>
      </w:pPr>
      <w:r w:rsidRPr="00F23130">
        <w:rPr>
          <w:rStyle w:val="EndnoteReference"/>
        </w:rPr>
        <w:endnoteRef/>
      </w:r>
      <w:r w:rsidRPr="00F23130">
        <w:t xml:space="preserve"> The Commission </w:t>
      </w:r>
      <w:r>
        <w:t>now has the</w:t>
      </w:r>
      <w:r w:rsidRPr="00F23130">
        <w:t xml:space="preserve"> authority to require spending cuts of member states, or impose large fines if they are found to be in violation of the rules. </w:t>
      </w:r>
      <w:r>
        <w:t xml:space="preserve"> </w:t>
      </w:r>
      <w:r w:rsidRPr="00F23130">
        <w:t>The Czech Republic and UK have opted out, but have not ruled out eventually joining.</w:t>
      </w:r>
    </w:p>
  </w:endnote>
  <w:endnote w:id="9">
    <w:p w14:paraId="15062B14" w14:textId="77777777" w:rsidR="00897665" w:rsidRPr="00F23130" w:rsidRDefault="00897665" w:rsidP="003365D3">
      <w:pPr>
        <w:pStyle w:val="EndnoteText"/>
      </w:pPr>
      <w:r w:rsidRPr="00F23130">
        <w:rPr>
          <w:rStyle w:val="EndnoteReference"/>
        </w:rPr>
        <w:endnoteRef/>
      </w:r>
      <w:r w:rsidRPr="00F23130">
        <w:t xml:space="preserve"> </w:t>
      </w:r>
      <w:proofErr w:type="gramStart"/>
      <w:r w:rsidRPr="00F23130">
        <w:t>To replace the European Financial Stabilization Facility &amp; European Financial Stabilization Mechanism in July 2012.</w:t>
      </w:r>
      <w:proofErr w:type="gramEnd"/>
      <w:r w:rsidRPr="00F23130">
        <w:t xml:space="preserve">  This 500 billion euro rescue fund can be spent without the approval of national parliaments.  </w:t>
      </w:r>
    </w:p>
  </w:endnote>
  <w:endnote w:id="10">
    <w:p w14:paraId="0FED8C1C" w14:textId="77777777" w:rsidR="00897665" w:rsidRPr="00F23130" w:rsidRDefault="00897665" w:rsidP="00733DF6">
      <w:pPr>
        <w:pStyle w:val="EndnoteText"/>
      </w:pPr>
      <w:r w:rsidRPr="00F23130">
        <w:rPr>
          <w:rStyle w:val="EndnoteReference"/>
        </w:rPr>
        <w:endnoteRef/>
      </w:r>
      <w:r w:rsidRPr="00F23130">
        <w:t xml:space="preserve"> Other possible answers to this survey question included the United States, G20, IMF, miscellaneous, none, and don’t know.</w:t>
      </w:r>
    </w:p>
  </w:endnote>
  <w:endnote w:id="11">
    <w:p w14:paraId="4A9E401F" w14:textId="7F2A85D0" w:rsidR="00897665" w:rsidRPr="00F23130" w:rsidRDefault="00897665" w:rsidP="003365D3">
      <w:pPr>
        <w:pStyle w:val="EndnoteText"/>
      </w:pPr>
      <w:r w:rsidRPr="00F23130">
        <w:rPr>
          <w:rStyle w:val="EndnoteReference"/>
        </w:rPr>
        <w:endnoteRef/>
      </w:r>
      <w:r w:rsidRPr="00F23130">
        <w:t xml:space="preserve"> The breakdown was Greece 46%, Portugal 41%, Cyprus 47%, Spain 48%, Italy 26%, Germany 37%, the Netherlands 46%, Austria 27%, and Finland 41%.</w:t>
      </w:r>
    </w:p>
  </w:endnote>
  <w:endnote w:id="12">
    <w:p w14:paraId="14A683A9" w14:textId="3174C8F3" w:rsidR="00897665" w:rsidRPr="00F23130" w:rsidRDefault="00897665" w:rsidP="003365D3">
      <w:pPr>
        <w:pStyle w:val="EndnoteText"/>
      </w:pPr>
      <w:r w:rsidRPr="00F23130">
        <w:rPr>
          <w:rStyle w:val="EndnoteReference"/>
        </w:rPr>
        <w:endnoteRef/>
      </w:r>
      <w:r w:rsidRPr="00F23130">
        <w:t xml:space="preserve"> </w:t>
      </w:r>
      <w:r>
        <w:t>For example, see Guiso et al., 2004:</w:t>
      </w:r>
      <w:r w:rsidRPr="00F23130">
        <w:t xml:space="preserve"> 523</w:t>
      </w:r>
      <w:r>
        <w:t>-</w:t>
      </w:r>
      <w:r w:rsidRPr="00F23130">
        <w:t>-577.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Noteworthy Bold">
    <w:panose1 w:val="02000400000000000000"/>
    <w:charset w:val="00"/>
    <w:family w:val="auto"/>
    <w:pitch w:val="variable"/>
    <w:sig w:usb0="8000006F" w:usb1="08000048" w:usb2="146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ED4BD" w14:textId="77777777" w:rsidR="00897665" w:rsidRDefault="00897665" w:rsidP="006957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5529BB" w14:textId="77777777" w:rsidR="00897665" w:rsidRDefault="00897665" w:rsidP="0069573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28A33" w14:textId="77777777" w:rsidR="00897665" w:rsidRPr="004A3880" w:rsidRDefault="00897665" w:rsidP="00695732">
    <w:pPr>
      <w:pStyle w:val="Footer"/>
      <w:framePr w:wrap="around" w:vAnchor="text" w:hAnchor="margin" w:xAlign="right" w:y="1"/>
      <w:rPr>
        <w:rStyle w:val="PageNumber"/>
        <w:rFonts w:ascii="Times New Roman" w:hAnsi="Times New Roman"/>
      </w:rPr>
    </w:pPr>
    <w:r w:rsidRPr="004A3880">
      <w:rPr>
        <w:rStyle w:val="PageNumber"/>
        <w:rFonts w:ascii="Times New Roman" w:hAnsi="Times New Roman"/>
      </w:rPr>
      <w:fldChar w:fldCharType="begin"/>
    </w:r>
    <w:r w:rsidRPr="004A3880">
      <w:rPr>
        <w:rStyle w:val="PageNumber"/>
        <w:rFonts w:ascii="Times New Roman" w:hAnsi="Times New Roman"/>
      </w:rPr>
      <w:instrText xml:space="preserve">PAGE  </w:instrText>
    </w:r>
    <w:r w:rsidRPr="004A3880">
      <w:rPr>
        <w:rStyle w:val="PageNumber"/>
        <w:rFonts w:ascii="Times New Roman" w:hAnsi="Times New Roman"/>
      </w:rPr>
      <w:fldChar w:fldCharType="separate"/>
    </w:r>
    <w:r w:rsidR="008F68FF">
      <w:rPr>
        <w:rStyle w:val="PageNumber"/>
        <w:rFonts w:ascii="Times New Roman" w:hAnsi="Times New Roman"/>
        <w:noProof/>
      </w:rPr>
      <w:t>31</w:t>
    </w:r>
    <w:r w:rsidRPr="004A3880">
      <w:rPr>
        <w:rStyle w:val="PageNumber"/>
        <w:rFonts w:ascii="Times New Roman" w:hAnsi="Times New Roman"/>
      </w:rPr>
      <w:fldChar w:fldCharType="end"/>
    </w:r>
  </w:p>
  <w:p w14:paraId="3923550C" w14:textId="77777777" w:rsidR="00897665" w:rsidRDefault="00897665" w:rsidP="0069573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BE173" w14:textId="77777777" w:rsidR="00897665" w:rsidRDefault="00897665" w:rsidP="00403127">
      <w:r>
        <w:separator/>
      </w:r>
    </w:p>
  </w:footnote>
  <w:footnote w:type="continuationSeparator" w:id="0">
    <w:p w14:paraId="3F7D07D7" w14:textId="77777777" w:rsidR="00897665" w:rsidRDefault="00897665" w:rsidP="0040312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65A60"/>
    <w:multiLevelType w:val="hybridMultilevel"/>
    <w:tmpl w:val="AA40CB12"/>
    <w:lvl w:ilvl="0" w:tplc="5E80D9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C749FA"/>
    <w:multiLevelType w:val="hybridMultilevel"/>
    <w:tmpl w:val="8BBE8384"/>
    <w:lvl w:ilvl="0" w:tplc="DBF852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5000EA"/>
    <w:multiLevelType w:val="hybridMultilevel"/>
    <w:tmpl w:val="C0AABC42"/>
    <w:lvl w:ilvl="0" w:tplc="893A1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8E76957"/>
    <w:multiLevelType w:val="hybridMultilevel"/>
    <w:tmpl w:val="168687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A1F"/>
    <w:rsid w:val="00005D49"/>
    <w:rsid w:val="00007500"/>
    <w:rsid w:val="00013BEC"/>
    <w:rsid w:val="00013C5D"/>
    <w:rsid w:val="00021A17"/>
    <w:rsid w:val="00024573"/>
    <w:rsid w:val="000279C3"/>
    <w:rsid w:val="000315E0"/>
    <w:rsid w:val="00035AEF"/>
    <w:rsid w:val="0004182B"/>
    <w:rsid w:val="00042C2C"/>
    <w:rsid w:val="00042DB5"/>
    <w:rsid w:val="000472AB"/>
    <w:rsid w:val="00051F81"/>
    <w:rsid w:val="000606D6"/>
    <w:rsid w:val="0006242D"/>
    <w:rsid w:val="00062907"/>
    <w:rsid w:val="00074CDF"/>
    <w:rsid w:val="00075489"/>
    <w:rsid w:val="00075C9A"/>
    <w:rsid w:val="00076051"/>
    <w:rsid w:val="00080154"/>
    <w:rsid w:val="000811E9"/>
    <w:rsid w:val="00081285"/>
    <w:rsid w:val="0008146B"/>
    <w:rsid w:val="00081A75"/>
    <w:rsid w:val="00085300"/>
    <w:rsid w:val="00085A5E"/>
    <w:rsid w:val="00097CF7"/>
    <w:rsid w:val="000A2F54"/>
    <w:rsid w:val="000A33A4"/>
    <w:rsid w:val="000A60BA"/>
    <w:rsid w:val="000A6425"/>
    <w:rsid w:val="000B0DAD"/>
    <w:rsid w:val="000B1ED4"/>
    <w:rsid w:val="000B6AE1"/>
    <w:rsid w:val="000C1966"/>
    <w:rsid w:val="000C267A"/>
    <w:rsid w:val="000C2746"/>
    <w:rsid w:val="000C7D0C"/>
    <w:rsid w:val="000D029F"/>
    <w:rsid w:val="000D2348"/>
    <w:rsid w:val="000D4122"/>
    <w:rsid w:val="000E1E1D"/>
    <w:rsid w:val="000E2C8D"/>
    <w:rsid w:val="000E2CC6"/>
    <w:rsid w:val="000E54F3"/>
    <w:rsid w:val="000F3D88"/>
    <w:rsid w:val="00100855"/>
    <w:rsid w:val="00101AAF"/>
    <w:rsid w:val="0010298E"/>
    <w:rsid w:val="00102F53"/>
    <w:rsid w:val="0011102B"/>
    <w:rsid w:val="00117ADD"/>
    <w:rsid w:val="0012027D"/>
    <w:rsid w:val="00121E97"/>
    <w:rsid w:val="00126DBE"/>
    <w:rsid w:val="0013273D"/>
    <w:rsid w:val="00134BFA"/>
    <w:rsid w:val="00134E04"/>
    <w:rsid w:val="00137FB2"/>
    <w:rsid w:val="0014006A"/>
    <w:rsid w:val="0014013E"/>
    <w:rsid w:val="00142968"/>
    <w:rsid w:val="00144A83"/>
    <w:rsid w:val="001530F6"/>
    <w:rsid w:val="0015361A"/>
    <w:rsid w:val="00154BC6"/>
    <w:rsid w:val="0015535D"/>
    <w:rsid w:val="00155D5A"/>
    <w:rsid w:val="00161CA5"/>
    <w:rsid w:val="00167F1B"/>
    <w:rsid w:val="00172103"/>
    <w:rsid w:val="00173365"/>
    <w:rsid w:val="00173505"/>
    <w:rsid w:val="0017705F"/>
    <w:rsid w:val="001813BC"/>
    <w:rsid w:val="001821B2"/>
    <w:rsid w:val="00183444"/>
    <w:rsid w:val="001864A4"/>
    <w:rsid w:val="0018714B"/>
    <w:rsid w:val="00190875"/>
    <w:rsid w:val="00191CD6"/>
    <w:rsid w:val="0019259D"/>
    <w:rsid w:val="0019334F"/>
    <w:rsid w:val="00193DD4"/>
    <w:rsid w:val="0019677F"/>
    <w:rsid w:val="001A1957"/>
    <w:rsid w:val="001A43A6"/>
    <w:rsid w:val="001B784E"/>
    <w:rsid w:val="001C3A49"/>
    <w:rsid w:val="001C74A0"/>
    <w:rsid w:val="001D13B8"/>
    <w:rsid w:val="001D1AB0"/>
    <w:rsid w:val="001E0079"/>
    <w:rsid w:val="001E0A07"/>
    <w:rsid w:val="001E336B"/>
    <w:rsid w:val="001E63E3"/>
    <w:rsid w:val="001F1564"/>
    <w:rsid w:val="001F4DC3"/>
    <w:rsid w:val="001F5B04"/>
    <w:rsid w:val="001F7A51"/>
    <w:rsid w:val="002000D5"/>
    <w:rsid w:val="00200DAA"/>
    <w:rsid w:val="0021019C"/>
    <w:rsid w:val="00211EBB"/>
    <w:rsid w:val="002127E6"/>
    <w:rsid w:val="002148BE"/>
    <w:rsid w:val="00214C97"/>
    <w:rsid w:val="00217C1F"/>
    <w:rsid w:val="00220930"/>
    <w:rsid w:val="00222E97"/>
    <w:rsid w:val="00226C0F"/>
    <w:rsid w:val="00226E84"/>
    <w:rsid w:val="00231B22"/>
    <w:rsid w:val="00232961"/>
    <w:rsid w:val="002340A3"/>
    <w:rsid w:val="00235A3E"/>
    <w:rsid w:val="00241C16"/>
    <w:rsid w:val="0024358C"/>
    <w:rsid w:val="0024536A"/>
    <w:rsid w:val="00251174"/>
    <w:rsid w:val="00251A27"/>
    <w:rsid w:val="00257998"/>
    <w:rsid w:val="00261839"/>
    <w:rsid w:val="00262A98"/>
    <w:rsid w:val="002637F0"/>
    <w:rsid w:val="002668AA"/>
    <w:rsid w:val="0026792D"/>
    <w:rsid w:val="0027056D"/>
    <w:rsid w:val="002706C0"/>
    <w:rsid w:val="0027153D"/>
    <w:rsid w:val="00271E59"/>
    <w:rsid w:val="002751E2"/>
    <w:rsid w:val="0028175A"/>
    <w:rsid w:val="00282D40"/>
    <w:rsid w:val="00283D75"/>
    <w:rsid w:val="00285F73"/>
    <w:rsid w:val="00290099"/>
    <w:rsid w:val="00292A23"/>
    <w:rsid w:val="00294699"/>
    <w:rsid w:val="0029477D"/>
    <w:rsid w:val="00296CE5"/>
    <w:rsid w:val="00297406"/>
    <w:rsid w:val="002A0A9B"/>
    <w:rsid w:val="002A19B4"/>
    <w:rsid w:val="002A5FE2"/>
    <w:rsid w:val="002A6FEB"/>
    <w:rsid w:val="002B05F1"/>
    <w:rsid w:val="002B0F8A"/>
    <w:rsid w:val="002B2BB5"/>
    <w:rsid w:val="002B3C1E"/>
    <w:rsid w:val="002B44BF"/>
    <w:rsid w:val="002C1B8E"/>
    <w:rsid w:val="002C255B"/>
    <w:rsid w:val="002C59FA"/>
    <w:rsid w:val="002C619A"/>
    <w:rsid w:val="002C7700"/>
    <w:rsid w:val="002D1A92"/>
    <w:rsid w:val="002E4A28"/>
    <w:rsid w:val="002E5A27"/>
    <w:rsid w:val="002F0245"/>
    <w:rsid w:val="002F0FCB"/>
    <w:rsid w:val="002F126E"/>
    <w:rsid w:val="002F4944"/>
    <w:rsid w:val="002F7432"/>
    <w:rsid w:val="00303C05"/>
    <w:rsid w:val="0031162D"/>
    <w:rsid w:val="00316519"/>
    <w:rsid w:val="003167E1"/>
    <w:rsid w:val="00317520"/>
    <w:rsid w:val="00317BE5"/>
    <w:rsid w:val="0032037F"/>
    <w:rsid w:val="00324528"/>
    <w:rsid w:val="003246D6"/>
    <w:rsid w:val="00325421"/>
    <w:rsid w:val="00325CF4"/>
    <w:rsid w:val="00327F51"/>
    <w:rsid w:val="00334CB4"/>
    <w:rsid w:val="003365D3"/>
    <w:rsid w:val="00345D4B"/>
    <w:rsid w:val="0034684F"/>
    <w:rsid w:val="0035084F"/>
    <w:rsid w:val="003576A6"/>
    <w:rsid w:val="00361767"/>
    <w:rsid w:val="00362F97"/>
    <w:rsid w:val="00366603"/>
    <w:rsid w:val="003705C1"/>
    <w:rsid w:val="0037198F"/>
    <w:rsid w:val="00374243"/>
    <w:rsid w:val="003745BB"/>
    <w:rsid w:val="00374A23"/>
    <w:rsid w:val="00374E7D"/>
    <w:rsid w:val="00375ED4"/>
    <w:rsid w:val="00376731"/>
    <w:rsid w:val="0037766D"/>
    <w:rsid w:val="003828BD"/>
    <w:rsid w:val="00382E98"/>
    <w:rsid w:val="003916BC"/>
    <w:rsid w:val="00391A18"/>
    <w:rsid w:val="00391F07"/>
    <w:rsid w:val="003927A0"/>
    <w:rsid w:val="00395833"/>
    <w:rsid w:val="003A168D"/>
    <w:rsid w:val="003A43B7"/>
    <w:rsid w:val="003A5B05"/>
    <w:rsid w:val="003A5EDB"/>
    <w:rsid w:val="003A6120"/>
    <w:rsid w:val="003B1AF8"/>
    <w:rsid w:val="003B4610"/>
    <w:rsid w:val="003C0812"/>
    <w:rsid w:val="003C4DAE"/>
    <w:rsid w:val="003C549F"/>
    <w:rsid w:val="003C780B"/>
    <w:rsid w:val="003D10A6"/>
    <w:rsid w:val="003D2169"/>
    <w:rsid w:val="003D7B31"/>
    <w:rsid w:val="003D7C3A"/>
    <w:rsid w:val="003E1103"/>
    <w:rsid w:val="003E260F"/>
    <w:rsid w:val="003E2EDB"/>
    <w:rsid w:val="003E30EA"/>
    <w:rsid w:val="003E3CD0"/>
    <w:rsid w:val="003E48E8"/>
    <w:rsid w:val="003F0F10"/>
    <w:rsid w:val="003F10EC"/>
    <w:rsid w:val="003F227C"/>
    <w:rsid w:val="003F228E"/>
    <w:rsid w:val="003F60E2"/>
    <w:rsid w:val="00403127"/>
    <w:rsid w:val="00403658"/>
    <w:rsid w:val="00404492"/>
    <w:rsid w:val="0040523D"/>
    <w:rsid w:val="004056C2"/>
    <w:rsid w:val="0040621C"/>
    <w:rsid w:val="00406563"/>
    <w:rsid w:val="004070AC"/>
    <w:rsid w:val="00407AB1"/>
    <w:rsid w:val="0041096A"/>
    <w:rsid w:val="00411CA8"/>
    <w:rsid w:val="0041284A"/>
    <w:rsid w:val="004173C8"/>
    <w:rsid w:val="00417BDB"/>
    <w:rsid w:val="00422233"/>
    <w:rsid w:val="00422AC5"/>
    <w:rsid w:val="00423CE1"/>
    <w:rsid w:val="00425381"/>
    <w:rsid w:val="00432CBA"/>
    <w:rsid w:val="00435A70"/>
    <w:rsid w:val="00435D7E"/>
    <w:rsid w:val="004363E6"/>
    <w:rsid w:val="0044026A"/>
    <w:rsid w:val="0044096D"/>
    <w:rsid w:val="0044335B"/>
    <w:rsid w:val="0044382D"/>
    <w:rsid w:val="00443B1A"/>
    <w:rsid w:val="00444480"/>
    <w:rsid w:val="00450798"/>
    <w:rsid w:val="00454797"/>
    <w:rsid w:val="00454D1B"/>
    <w:rsid w:val="00456544"/>
    <w:rsid w:val="00457EF9"/>
    <w:rsid w:val="0046253D"/>
    <w:rsid w:val="00466DFD"/>
    <w:rsid w:val="00472488"/>
    <w:rsid w:val="004730D3"/>
    <w:rsid w:val="00476613"/>
    <w:rsid w:val="00476B2F"/>
    <w:rsid w:val="00476CAE"/>
    <w:rsid w:val="00477A92"/>
    <w:rsid w:val="00481B49"/>
    <w:rsid w:val="004852C7"/>
    <w:rsid w:val="004900B5"/>
    <w:rsid w:val="00490265"/>
    <w:rsid w:val="00492C2E"/>
    <w:rsid w:val="004935B1"/>
    <w:rsid w:val="004944F4"/>
    <w:rsid w:val="00495413"/>
    <w:rsid w:val="004A13EB"/>
    <w:rsid w:val="004A2685"/>
    <w:rsid w:val="004A27F7"/>
    <w:rsid w:val="004A3880"/>
    <w:rsid w:val="004A4D3D"/>
    <w:rsid w:val="004A5F62"/>
    <w:rsid w:val="004A6886"/>
    <w:rsid w:val="004B0773"/>
    <w:rsid w:val="004B1613"/>
    <w:rsid w:val="004B2C6A"/>
    <w:rsid w:val="004B4CA4"/>
    <w:rsid w:val="004C1DB8"/>
    <w:rsid w:val="004C3DD5"/>
    <w:rsid w:val="004C6B9E"/>
    <w:rsid w:val="004C7777"/>
    <w:rsid w:val="004D30FF"/>
    <w:rsid w:val="004D3AF9"/>
    <w:rsid w:val="004D5461"/>
    <w:rsid w:val="004D73BA"/>
    <w:rsid w:val="004D795B"/>
    <w:rsid w:val="004D79BF"/>
    <w:rsid w:val="004E28F6"/>
    <w:rsid w:val="004F05D1"/>
    <w:rsid w:val="004F2298"/>
    <w:rsid w:val="0050092B"/>
    <w:rsid w:val="0050151A"/>
    <w:rsid w:val="00501F80"/>
    <w:rsid w:val="005051D3"/>
    <w:rsid w:val="00506488"/>
    <w:rsid w:val="00512EAA"/>
    <w:rsid w:val="0051396A"/>
    <w:rsid w:val="005144DB"/>
    <w:rsid w:val="00514E0D"/>
    <w:rsid w:val="005164CD"/>
    <w:rsid w:val="00517EC7"/>
    <w:rsid w:val="00523889"/>
    <w:rsid w:val="00523E55"/>
    <w:rsid w:val="00523F4A"/>
    <w:rsid w:val="00524A76"/>
    <w:rsid w:val="00526B4D"/>
    <w:rsid w:val="005309E4"/>
    <w:rsid w:val="00534DED"/>
    <w:rsid w:val="005462F2"/>
    <w:rsid w:val="00552779"/>
    <w:rsid w:val="00554067"/>
    <w:rsid w:val="00554303"/>
    <w:rsid w:val="00554B2C"/>
    <w:rsid w:val="005553F8"/>
    <w:rsid w:val="00556011"/>
    <w:rsid w:val="00556C72"/>
    <w:rsid w:val="005607B5"/>
    <w:rsid w:val="005624C0"/>
    <w:rsid w:val="00562BFA"/>
    <w:rsid w:val="0056452D"/>
    <w:rsid w:val="005649CB"/>
    <w:rsid w:val="00565DA5"/>
    <w:rsid w:val="00566AC6"/>
    <w:rsid w:val="00567BA1"/>
    <w:rsid w:val="00575911"/>
    <w:rsid w:val="005760C0"/>
    <w:rsid w:val="00577828"/>
    <w:rsid w:val="005801B5"/>
    <w:rsid w:val="00584FA4"/>
    <w:rsid w:val="0058513F"/>
    <w:rsid w:val="005864D7"/>
    <w:rsid w:val="005933F3"/>
    <w:rsid w:val="005A042D"/>
    <w:rsid w:val="005A0E53"/>
    <w:rsid w:val="005A1415"/>
    <w:rsid w:val="005A221F"/>
    <w:rsid w:val="005A2C83"/>
    <w:rsid w:val="005A47A7"/>
    <w:rsid w:val="005B3F3A"/>
    <w:rsid w:val="005B4522"/>
    <w:rsid w:val="005C281C"/>
    <w:rsid w:val="005C33FC"/>
    <w:rsid w:val="005C4641"/>
    <w:rsid w:val="005C75C9"/>
    <w:rsid w:val="005D5422"/>
    <w:rsid w:val="005D7923"/>
    <w:rsid w:val="005E1173"/>
    <w:rsid w:val="005E1A84"/>
    <w:rsid w:val="005E30A8"/>
    <w:rsid w:val="005E37D4"/>
    <w:rsid w:val="005E4D0F"/>
    <w:rsid w:val="005E51F6"/>
    <w:rsid w:val="005E6352"/>
    <w:rsid w:val="005E7095"/>
    <w:rsid w:val="005F3167"/>
    <w:rsid w:val="005F73A4"/>
    <w:rsid w:val="006000AD"/>
    <w:rsid w:val="00600279"/>
    <w:rsid w:val="00604E23"/>
    <w:rsid w:val="0060518D"/>
    <w:rsid w:val="00607B3F"/>
    <w:rsid w:val="00610084"/>
    <w:rsid w:val="006113BE"/>
    <w:rsid w:val="00613F38"/>
    <w:rsid w:val="00614547"/>
    <w:rsid w:val="006160BA"/>
    <w:rsid w:val="006216FC"/>
    <w:rsid w:val="00623A6A"/>
    <w:rsid w:val="00634450"/>
    <w:rsid w:val="00636DCE"/>
    <w:rsid w:val="00637435"/>
    <w:rsid w:val="006379FD"/>
    <w:rsid w:val="0064006C"/>
    <w:rsid w:val="006406A4"/>
    <w:rsid w:val="00641BFC"/>
    <w:rsid w:val="0064681D"/>
    <w:rsid w:val="006536A4"/>
    <w:rsid w:val="00656012"/>
    <w:rsid w:val="00657091"/>
    <w:rsid w:val="00662F3E"/>
    <w:rsid w:val="00664112"/>
    <w:rsid w:val="00664FB1"/>
    <w:rsid w:val="00680B23"/>
    <w:rsid w:val="00683414"/>
    <w:rsid w:val="00685BE8"/>
    <w:rsid w:val="0069237E"/>
    <w:rsid w:val="00694816"/>
    <w:rsid w:val="00694A7D"/>
    <w:rsid w:val="00695732"/>
    <w:rsid w:val="006972F9"/>
    <w:rsid w:val="006A0526"/>
    <w:rsid w:val="006A1E33"/>
    <w:rsid w:val="006A3AA8"/>
    <w:rsid w:val="006A3B9F"/>
    <w:rsid w:val="006A3DA6"/>
    <w:rsid w:val="006A44A8"/>
    <w:rsid w:val="006A6ED9"/>
    <w:rsid w:val="006B0293"/>
    <w:rsid w:val="006C35DC"/>
    <w:rsid w:val="006C5A03"/>
    <w:rsid w:val="006D5FF0"/>
    <w:rsid w:val="006E1FCE"/>
    <w:rsid w:val="006E5057"/>
    <w:rsid w:val="006E6E55"/>
    <w:rsid w:val="006E7850"/>
    <w:rsid w:val="006F3682"/>
    <w:rsid w:val="006F5A3B"/>
    <w:rsid w:val="006F79E5"/>
    <w:rsid w:val="0070544A"/>
    <w:rsid w:val="007066F4"/>
    <w:rsid w:val="00710339"/>
    <w:rsid w:val="00712E2D"/>
    <w:rsid w:val="00714013"/>
    <w:rsid w:val="007176F1"/>
    <w:rsid w:val="00720786"/>
    <w:rsid w:val="00721770"/>
    <w:rsid w:val="00725950"/>
    <w:rsid w:val="00726054"/>
    <w:rsid w:val="00726456"/>
    <w:rsid w:val="007310A4"/>
    <w:rsid w:val="00732049"/>
    <w:rsid w:val="0073333D"/>
    <w:rsid w:val="00733DF6"/>
    <w:rsid w:val="00735B90"/>
    <w:rsid w:val="00735D80"/>
    <w:rsid w:val="00735E2C"/>
    <w:rsid w:val="00741022"/>
    <w:rsid w:val="00741245"/>
    <w:rsid w:val="00743A04"/>
    <w:rsid w:val="00744960"/>
    <w:rsid w:val="00745118"/>
    <w:rsid w:val="007453D2"/>
    <w:rsid w:val="00752957"/>
    <w:rsid w:val="007608FB"/>
    <w:rsid w:val="0076258E"/>
    <w:rsid w:val="00762953"/>
    <w:rsid w:val="007634FD"/>
    <w:rsid w:val="007640F8"/>
    <w:rsid w:val="00764AC2"/>
    <w:rsid w:val="00764AEB"/>
    <w:rsid w:val="00766858"/>
    <w:rsid w:val="007706AF"/>
    <w:rsid w:val="00772081"/>
    <w:rsid w:val="0077326C"/>
    <w:rsid w:val="007732B7"/>
    <w:rsid w:val="00773397"/>
    <w:rsid w:val="007755AE"/>
    <w:rsid w:val="0078643D"/>
    <w:rsid w:val="00790054"/>
    <w:rsid w:val="00790C8E"/>
    <w:rsid w:val="0079498C"/>
    <w:rsid w:val="00794D57"/>
    <w:rsid w:val="00795595"/>
    <w:rsid w:val="007A5743"/>
    <w:rsid w:val="007B10EB"/>
    <w:rsid w:val="007B18BA"/>
    <w:rsid w:val="007C5203"/>
    <w:rsid w:val="007C7EF2"/>
    <w:rsid w:val="007E3472"/>
    <w:rsid w:val="007E5D98"/>
    <w:rsid w:val="007F2E55"/>
    <w:rsid w:val="007F347A"/>
    <w:rsid w:val="007F34D6"/>
    <w:rsid w:val="007F79A8"/>
    <w:rsid w:val="0080321A"/>
    <w:rsid w:val="0080532F"/>
    <w:rsid w:val="00810D5D"/>
    <w:rsid w:val="008112C7"/>
    <w:rsid w:val="008132C8"/>
    <w:rsid w:val="0081552F"/>
    <w:rsid w:val="008165C3"/>
    <w:rsid w:val="008174C5"/>
    <w:rsid w:val="00820E2C"/>
    <w:rsid w:val="00822164"/>
    <w:rsid w:val="0082371E"/>
    <w:rsid w:val="00824233"/>
    <w:rsid w:val="00824D01"/>
    <w:rsid w:val="00825E96"/>
    <w:rsid w:val="00827881"/>
    <w:rsid w:val="00832A81"/>
    <w:rsid w:val="00837E50"/>
    <w:rsid w:val="00843C07"/>
    <w:rsid w:val="00843E94"/>
    <w:rsid w:val="00860B26"/>
    <w:rsid w:val="00862056"/>
    <w:rsid w:val="0086577F"/>
    <w:rsid w:val="00873E1D"/>
    <w:rsid w:val="00875F89"/>
    <w:rsid w:val="008761AC"/>
    <w:rsid w:val="00877E13"/>
    <w:rsid w:val="008818A9"/>
    <w:rsid w:val="00887871"/>
    <w:rsid w:val="00890194"/>
    <w:rsid w:val="00890B4D"/>
    <w:rsid w:val="00890C10"/>
    <w:rsid w:val="00892680"/>
    <w:rsid w:val="00897665"/>
    <w:rsid w:val="008A07EF"/>
    <w:rsid w:val="008A0877"/>
    <w:rsid w:val="008A1913"/>
    <w:rsid w:val="008A25D6"/>
    <w:rsid w:val="008A3FEE"/>
    <w:rsid w:val="008A61A1"/>
    <w:rsid w:val="008B4804"/>
    <w:rsid w:val="008B6BCC"/>
    <w:rsid w:val="008B70DD"/>
    <w:rsid w:val="008C17DA"/>
    <w:rsid w:val="008C32CB"/>
    <w:rsid w:val="008C3931"/>
    <w:rsid w:val="008C577F"/>
    <w:rsid w:val="008C6E2D"/>
    <w:rsid w:val="008C75EC"/>
    <w:rsid w:val="008C776E"/>
    <w:rsid w:val="008D4385"/>
    <w:rsid w:val="008D6B35"/>
    <w:rsid w:val="008E05C0"/>
    <w:rsid w:val="008E1A3A"/>
    <w:rsid w:val="008E235D"/>
    <w:rsid w:val="008E486F"/>
    <w:rsid w:val="008E5C0A"/>
    <w:rsid w:val="008F0517"/>
    <w:rsid w:val="008F1CA9"/>
    <w:rsid w:val="008F6039"/>
    <w:rsid w:val="008F68FF"/>
    <w:rsid w:val="00901B62"/>
    <w:rsid w:val="00902BAB"/>
    <w:rsid w:val="00902CD5"/>
    <w:rsid w:val="00903AA5"/>
    <w:rsid w:val="0090519D"/>
    <w:rsid w:val="009135AA"/>
    <w:rsid w:val="00913FB3"/>
    <w:rsid w:val="0091489C"/>
    <w:rsid w:val="009170DB"/>
    <w:rsid w:val="00926A54"/>
    <w:rsid w:val="009271B1"/>
    <w:rsid w:val="00935D0C"/>
    <w:rsid w:val="009371D4"/>
    <w:rsid w:val="00940CE6"/>
    <w:rsid w:val="0094260B"/>
    <w:rsid w:val="00945D2A"/>
    <w:rsid w:val="009474A5"/>
    <w:rsid w:val="009517D7"/>
    <w:rsid w:val="0095380C"/>
    <w:rsid w:val="00954751"/>
    <w:rsid w:val="00960E5B"/>
    <w:rsid w:val="00966A0A"/>
    <w:rsid w:val="00966D30"/>
    <w:rsid w:val="00970D42"/>
    <w:rsid w:val="0097200A"/>
    <w:rsid w:val="00977227"/>
    <w:rsid w:val="00982A8F"/>
    <w:rsid w:val="0098416F"/>
    <w:rsid w:val="00984DD8"/>
    <w:rsid w:val="00986C69"/>
    <w:rsid w:val="00992463"/>
    <w:rsid w:val="0099540A"/>
    <w:rsid w:val="009974B6"/>
    <w:rsid w:val="009A143B"/>
    <w:rsid w:val="009A3F52"/>
    <w:rsid w:val="009A468D"/>
    <w:rsid w:val="009A7009"/>
    <w:rsid w:val="009A7BEE"/>
    <w:rsid w:val="009B2B4C"/>
    <w:rsid w:val="009B4EB2"/>
    <w:rsid w:val="009B5580"/>
    <w:rsid w:val="009B5819"/>
    <w:rsid w:val="009B7535"/>
    <w:rsid w:val="009C0840"/>
    <w:rsid w:val="009C280A"/>
    <w:rsid w:val="009D2315"/>
    <w:rsid w:val="009D656A"/>
    <w:rsid w:val="009D72DC"/>
    <w:rsid w:val="009E11D7"/>
    <w:rsid w:val="009E74B9"/>
    <w:rsid w:val="009F19D1"/>
    <w:rsid w:val="009F4094"/>
    <w:rsid w:val="00A005BA"/>
    <w:rsid w:val="00A0608A"/>
    <w:rsid w:val="00A10806"/>
    <w:rsid w:val="00A10DF0"/>
    <w:rsid w:val="00A12B24"/>
    <w:rsid w:val="00A13CC9"/>
    <w:rsid w:val="00A15A74"/>
    <w:rsid w:val="00A15CE2"/>
    <w:rsid w:val="00A21B0C"/>
    <w:rsid w:val="00A21FF7"/>
    <w:rsid w:val="00A22C5E"/>
    <w:rsid w:val="00A31AA6"/>
    <w:rsid w:val="00A32D52"/>
    <w:rsid w:val="00A3557A"/>
    <w:rsid w:val="00A37F61"/>
    <w:rsid w:val="00A455E3"/>
    <w:rsid w:val="00A46E63"/>
    <w:rsid w:val="00A47F3F"/>
    <w:rsid w:val="00A50EF3"/>
    <w:rsid w:val="00A51FE3"/>
    <w:rsid w:val="00A52173"/>
    <w:rsid w:val="00A522CF"/>
    <w:rsid w:val="00A52559"/>
    <w:rsid w:val="00A53A8B"/>
    <w:rsid w:val="00A543AA"/>
    <w:rsid w:val="00A553DE"/>
    <w:rsid w:val="00A60035"/>
    <w:rsid w:val="00A67018"/>
    <w:rsid w:val="00A67212"/>
    <w:rsid w:val="00A67E69"/>
    <w:rsid w:val="00A70F5E"/>
    <w:rsid w:val="00A71119"/>
    <w:rsid w:val="00A72F9F"/>
    <w:rsid w:val="00A73FA3"/>
    <w:rsid w:val="00A74F46"/>
    <w:rsid w:val="00A76420"/>
    <w:rsid w:val="00A7653E"/>
    <w:rsid w:val="00A77ADF"/>
    <w:rsid w:val="00A8289A"/>
    <w:rsid w:val="00A83401"/>
    <w:rsid w:val="00A85965"/>
    <w:rsid w:val="00A90683"/>
    <w:rsid w:val="00A92DBF"/>
    <w:rsid w:val="00A96691"/>
    <w:rsid w:val="00AA055C"/>
    <w:rsid w:val="00AA0A87"/>
    <w:rsid w:val="00AA254B"/>
    <w:rsid w:val="00AA38DE"/>
    <w:rsid w:val="00AA7B6B"/>
    <w:rsid w:val="00AA7DFE"/>
    <w:rsid w:val="00AB0DB5"/>
    <w:rsid w:val="00AB2294"/>
    <w:rsid w:val="00AB666A"/>
    <w:rsid w:val="00AC0DFF"/>
    <w:rsid w:val="00AC2903"/>
    <w:rsid w:val="00AD128C"/>
    <w:rsid w:val="00AD3CCD"/>
    <w:rsid w:val="00AD43A1"/>
    <w:rsid w:val="00AE1B66"/>
    <w:rsid w:val="00AE2B2A"/>
    <w:rsid w:val="00AF1F4E"/>
    <w:rsid w:val="00AF23B9"/>
    <w:rsid w:val="00AF263D"/>
    <w:rsid w:val="00AF538B"/>
    <w:rsid w:val="00AF5DE1"/>
    <w:rsid w:val="00B02AD8"/>
    <w:rsid w:val="00B044F6"/>
    <w:rsid w:val="00B04E2E"/>
    <w:rsid w:val="00B0545B"/>
    <w:rsid w:val="00B065C2"/>
    <w:rsid w:val="00B1000C"/>
    <w:rsid w:val="00B138D8"/>
    <w:rsid w:val="00B1640C"/>
    <w:rsid w:val="00B20044"/>
    <w:rsid w:val="00B200FA"/>
    <w:rsid w:val="00B2140A"/>
    <w:rsid w:val="00B2156E"/>
    <w:rsid w:val="00B24173"/>
    <w:rsid w:val="00B26006"/>
    <w:rsid w:val="00B30EE3"/>
    <w:rsid w:val="00B31D69"/>
    <w:rsid w:val="00B3269B"/>
    <w:rsid w:val="00B3271D"/>
    <w:rsid w:val="00B32979"/>
    <w:rsid w:val="00B32A1F"/>
    <w:rsid w:val="00B33448"/>
    <w:rsid w:val="00B35790"/>
    <w:rsid w:val="00B36DEF"/>
    <w:rsid w:val="00B41E2E"/>
    <w:rsid w:val="00B50DB0"/>
    <w:rsid w:val="00B561B2"/>
    <w:rsid w:val="00B608D2"/>
    <w:rsid w:val="00B628A0"/>
    <w:rsid w:val="00B646EF"/>
    <w:rsid w:val="00B64E94"/>
    <w:rsid w:val="00B71150"/>
    <w:rsid w:val="00B74D72"/>
    <w:rsid w:val="00B76843"/>
    <w:rsid w:val="00B77699"/>
    <w:rsid w:val="00B77CBC"/>
    <w:rsid w:val="00B80FC5"/>
    <w:rsid w:val="00B813A8"/>
    <w:rsid w:val="00B83284"/>
    <w:rsid w:val="00B85D75"/>
    <w:rsid w:val="00B869E6"/>
    <w:rsid w:val="00B90BB7"/>
    <w:rsid w:val="00B914EB"/>
    <w:rsid w:val="00B9302E"/>
    <w:rsid w:val="00B94EF1"/>
    <w:rsid w:val="00B962B3"/>
    <w:rsid w:val="00B96B6D"/>
    <w:rsid w:val="00B97B43"/>
    <w:rsid w:val="00BA67F0"/>
    <w:rsid w:val="00BB1C8D"/>
    <w:rsid w:val="00BB3BB9"/>
    <w:rsid w:val="00BC085A"/>
    <w:rsid w:val="00BC146F"/>
    <w:rsid w:val="00BC148A"/>
    <w:rsid w:val="00BC294D"/>
    <w:rsid w:val="00BC54A7"/>
    <w:rsid w:val="00BD049F"/>
    <w:rsid w:val="00BD28D3"/>
    <w:rsid w:val="00BD61C8"/>
    <w:rsid w:val="00BD70F2"/>
    <w:rsid w:val="00BE06DE"/>
    <w:rsid w:val="00BE083F"/>
    <w:rsid w:val="00BE352E"/>
    <w:rsid w:val="00BE6601"/>
    <w:rsid w:val="00BF0E87"/>
    <w:rsid w:val="00BF2BA4"/>
    <w:rsid w:val="00BF4F27"/>
    <w:rsid w:val="00BF6444"/>
    <w:rsid w:val="00BF6CFF"/>
    <w:rsid w:val="00C016BF"/>
    <w:rsid w:val="00C05FFE"/>
    <w:rsid w:val="00C1353A"/>
    <w:rsid w:val="00C14B7A"/>
    <w:rsid w:val="00C15B94"/>
    <w:rsid w:val="00C174C9"/>
    <w:rsid w:val="00C179B9"/>
    <w:rsid w:val="00C20D9A"/>
    <w:rsid w:val="00C226AB"/>
    <w:rsid w:val="00C241DD"/>
    <w:rsid w:val="00C24F73"/>
    <w:rsid w:val="00C262F5"/>
    <w:rsid w:val="00C26E35"/>
    <w:rsid w:val="00C32FF5"/>
    <w:rsid w:val="00C35460"/>
    <w:rsid w:val="00C377F8"/>
    <w:rsid w:val="00C40316"/>
    <w:rsid w:val="00C423A4"/>
    <w:rsid w:val="00C43403"/>
    <w:rsid w:val="00C513FA"/>
    <w:rsid w:val="00C76B05"/>
    <w:rsid w:val="00C83162"/>
    <w:rsid w:val="00C83862"/>
    <w:rsid w:val="00C8394F"/>
    <w:rsid w:val="00C843E4"/>
    <w:rsid w:val="00C868B6"/>
    <w:rsid w:val="00C87948"/>
    <w:rsid w:val="00C91039"/>
    <w:rsid w:val="00C91655"/>
    <w:rsid w:val="00C954ED"/>
    <w:rsid w:val="00C95504"/>
    <w:rsid w:val="00C95776"/>
    <w:rsid w:val="00CA1EF5"/>
    <w:rsid w:val="00CA2DE5"/>
    <w:rsid w:val="00CA49E6"/>
    <w:rsid w:val="00CA4AE4"/>
    <w:rsid w:val="00CA60D2"/>
    <w:rsid w:val="00CA6B96"/>
    <w:rsid w:val="00CB35B0"/>
    <w:rsid w:val="00CB4D07"/>
    <w:rsid w:val="00CB546D"/>
    <w:rsid w:val="00CB57B2"/>
    <w:rsid w:val="00CB6A62"/>
    <w:rsid w:val="00CB7209"/>
    <w:rsid w:val="00CC0C75"/>
    <w:rsid w:val="00CC568E"/>
    <w:rsid w:val="00CC782B"/>
    <w:rsid w:val="00CD0E36"/>
    <w:rsid w:val="00CD3E22"/>
    <w:rsid w:val="00CD51A1"/>
    <w:rsid w:val="00CD7F30"/>
    <w:rsid w:val="00CE51BD"/>
    <w:rsid w:val="00CE568F"/>
    <w:rsid w:val="00CE6443"/>
    <w:rsid w:val="00CF1633"/>
    <w:rsid w:val="00CF397B"/>
    <w:rsid w:val="00D00063"/>
    <w:rsid w:val="00D01320"/>
    <w:rsid w:val="00D03A71"/>
    <w:rsid w:val="00D14731"/>
    <w:rsid w:val="00D16E60"/>
    <w:rsid w:val="00D219B4"/>
    <w:rsid w:val="00D21C9F"/>
    <w:rsid w:val="00D2322A"/>
    <w:rsid w:val="00D303C0"/>
    <w:rsid w:val="00D30B98"/>
    <w:rsid w:val="00D31200"/>
    <w:rsid w:val="00D33602"/>
    <w:rsid w:val="00D35039"/>
    <w:rsid w:val="00D361C5"/>
    <w:rsid w:val="00D4099D"/>
    <w:rsid w:val="00D41B31"/>
    <w:rsid w:val="00D4311B"/>
    <w:rsid w:val="00D46B79"/>
    <w:rsid w:val="00D46D95"/>
    <w:rsid w:val="00D46FAB"/>
    <w:rsid w:val="00D50213"/>
    <w:rsid w:val="00D53482"/>
    <w:rsid w:val="00D61F2B"/>
    <w:rsid w:val="00D6277F"/>
    <w:rsid w:val="00D6483C"/>
    <w:rsid w:val="00D65499"/>
    <w:rsid w:val="00D67C22"/>
    <w:rsid w:val="00D73BD0"/>
    <w:rsid w:val="00D751DB"/>
    <w:rsid w:val="00D76C31"/>
    <w:rsid w:val="00D810CB"/>
    <w:rsid w:val="00D83611"/>
    <w:rsid w:val="00D8388F"/>
    <w:rsid w:val="00D901AE"/>
    <w:rsid w:val="00D960CE"/>
    <w:rsid w:val="00D96D7D"/>
    <w:rsid w:val="00DA1A31"/>
    <w:rsid w:val="00DA2928"/>
    <w:rsid w:val="00DB29B7"/>
    <w:rsid w:val="00DB446F"/>
    <w:rsid w:val="00DB4C94"/>
    <w:rsid w:val="00DB4CCF"/>
    <w:rsid w:val="00DB75F1"/>
    <w:rsid w:val="00DC1B14"/>
    <w:rsid w:val="00DC4047"/>
    <w:rsid w:val="00DD184E"/>
    <w:rsid w:val="00DD4CBE"/>
    <w:rsid w:val="00DD7661"/>
    <w:rsid w:val="00DE0374"/>
    <w:rsid w:val="00DE0B40"/>
    <w:rsid w:val="00DE234D"/>
    <w:rsid w:val="00DE2A68"/>
    <w:rsid w:val="00DE51BA"/>
    <w:rsid w:val="00DE525C"/>
    <w:rsid w:val="00DE6E5E"/>
    <w:rsid w:val="00DE7FD7"/>
    <w:rsid w:val="00DF2A26"/>
    <w:rsid w:val="00DF7CD9"/>
    <w:rsid w:val="00E07595"/>
    <w:rsid w:val="00E1321D"/>
    <w:rsid w:val="00E13833"/>
    <w:rsid w:val="00E14097"/>
    <w:rsid w:val="00E14A49"/>
    <w:rsid w:val="00E14B94"/>
    <w:rsid w:val="00E151A9"/>
    <w:rsid w:val="00E16516"/>
    <w:rsid w:val="00E17B7C"/>
    <w:rsid w:val="00E200D6"/>
    <w:rsid w:val="00E20593"/>
    <w:rsid w:val="00E2179B"/>
    <w:rsid w:val="00E22EB9"/>
    <w:rsid w:val="00E27AA0"/>
    <w:rsid w:val="00E27D5D"/>
    <w:rsid w:val="00E327FE"/>
    <w:rsid w:val="00E32A72"/>
    <w:rsid w:val="00E35D4B"/>
    <w:rsid w:val="00E362BA"/>
    <w:rsid w:val="00E36C6B"/>
    <w:rsid w:val="00E36C83"/>
    <w:rsid w:val="00E40D2A"/>
    <w:rsid w:val="00E430D0"/>
    <w:rsid w:val="00E437E1"/>
    <w:rsid w:val="00E45070"/>
    <w:rsid w:val="00E46937"/>
    <w:rsid w:val="00E46B2C"/>
    <w:rsid w:val="00E544AB"/>
    <w:rsid w:val="00E55AE3"/>
    <w:rsid w:val="00E572CC"/>
    <w:rsid w:val="00E576FD"/>
    <w:rsid w:val="00E57858"/>
    <w:rsid w:val="00E667F5"/>
    <w:rsid w:val="00E66896"/>
    <w:rsid w:val="00E716C6"/>
    <w:rsid w:val="00E71F3E"/>
    <w:rsid w:val="00E72F4E"/>
    <w:rsid w:val="00E77447"/>
    <w:rsid w:val="00E81C89"/>
    <w:rsid w:val="00E81F65"/>
    <w:rsid w:val="00E83949"/>
    <w:rsid w:val="00E915E4"/>
    <w:rsid w:val="00E976DA"/>
    <w:rsid w:val="00E97ADE"/>
    <w:rsid w:val="00EA0F34"/>
    <w:rsid w:val="00EA4D66"/>
    <w:rsid w:val="00EA631D"/>
    <w:rsid w:val="00EB3AD5"/>
    <w:rsid w:val="00EB6E51"/>
    <w:rsid w:val="00EB7894"/>
    <w:rsid w:val="00EC16D8"/>
    <w:rsid w:val="00EC27EB"/>
    <w:rsid w:val="00EC2B74"/>
    <w:rsid w:val="00EC680F"/>
    <w:rsid w:val="00EC7DB5"/>
    <w:rsid w:val="00ED15BC"/>
    <w:rsid w:val="00ED2C40"/>
    <w:rsid w:val="00ED337D"/>
    <w:rsid w:val="00ED367F"/>
    <w:rsid w:val="00ED45A9"/>
    <w:rsid w:val="00ED49B4"/>
    <w:rsid w:val="00ED51A8"/>
    <w:rsid w:val="00ED6877"/>
    <w:rsid w:val="00ED6B11"/>
    <w:rsid w:val="00ED7A86"/>
    <w:rsid w:val="00ED7E64"/>
    <w:rsid w:val="00EE140B"/>
    <w:rsid w:val="00EE4D85"/>
    <w:rsid w:val="00EE6832"/>
    <w:rsid w:val="00EE7F2A"/>
    <w:rsid w:val="00EF0890"/>
    <w:rsid w:val="00EF1C24"/>
    <w:rsid w:val="00EF207C"/>
    <w:rsid w:val="00EF41D6"/>
    <w:rsid w:val="00EF54D6"/>
    <w:rsid w:val="00EF76EA"/>
    <w:rsid w:val="00EF7E9C"/>
    <w:rsid w:val="00F01C70"/>
    <w:rsid w:val="00F02AB0"/>
    <w:rsid w:val="00F02E94"/>
    <w:rsid w:val="00F07E7E"/>
    <w:rsid w:val="00F10539"/>
    <w:rsid w:val="00F117A9"/>
    <w:rsid w:val="00F1299F"/>
    <w:rsid w:val="00F141E8"/>
    <w:rsid w:val="00F14E5D"/>
    <w:rsid w:val="00F15ABF"/>
    <w:rsid w:val="00F1603B"/>
    <w:rsid w:val="00F16B3D"/>
    <w:rsid w:val="00F21798"/>
    <w:rsid w:val="00F23130"/>
    <w:rsid w:val="00F2366F"/>
    <w:rsid w:val="00F23FF4"/>
    <w:rsid w:val="00F25980"/>
    <w:rsid w:val="00F25A6D"/>
    <w:rsid w:val="00F26C90"/>
    <w:rsid w:val="00F26F01"/>
    <w:rsid w:val="00F307D9"/>
    <w:rsid w:val="00F31656"/>
    <w:rsid w:val="00F33665"/>
    <w:rsid w:val="00F365D4"/>
    <w:rsid w:val="00F4073F"/>
    <w:rsid w:val="00F41B91"/>
    <w:rsid w:val="00F4289F"/>
    <w:rsid w:val="00F437AE"/>
    <w:rsid w:val="00F45AB3"/>
    <w:rsid w:val="00F50876"/>
    <w:rsid w:val="00F52F93"/>
    <w:rsid w:val="00F5423D"/>
    <w:rsid w:val="00F552C7"/>
    <w:rsid w:val="00F57620"/>
    <w:rsid w:val="00F57934"/>
    <w:rsid w:val="00F620FD"/>
    <w:rsid w:val="00F65275"/>
    <w:rsid w:val="00F700FA"/>
    <w:rsid w:val="00F74E8B"/>
    <w:rsid w:val="00F757E1"/>
    <w:rsid w:val="00F76D74"/>
    <w:rsid w:val="00F81990"/>
    <w:rsid w:val="00F83E75"/>
    <w:rsid w:val="00F85115"/>
    <w:rsid w:val="00F86479"/>
    <w:rsid w:val="00F8664C"/>
    <w:rsid w:val="00F93981"/>
    <w:rsid w:val="00F957E2"/>
    <w:rsid w:val="00F96278"/>
    <w:rsid w:val="00FA1E17"/>
    <w:rsid w:val="00FA1FA4"/>
    <w:rsid w:val="00FA398B"/>
    <w:rsid w:val="00FB0488"/>
    <w:rsid w:val="00FB0ED8"/>
    <w:rsid w:val="00FB4F4C"/>
    <w:rsid w:val="00FB5B46"/>
    <w:rsid w:val="00FC0747"/>
    <w:rsid w:val="00FC22A1"/>
    <w:rsid w:val="00FD0DDA"/>
    <w:rsid w:val="00FD259B"/>
    <w:rsid w:val="00FD46F7"/>
    <w:rsid w:val="00FE04C9"/>
    <w:rsid w:val="00FE24B2"/>
    <w:rsid w:val="00FE25C7"/>
    <w:rsid w:val="00FE448A"/>
    <w:rsid w:val="00FE4A95"/>
    <w:rsid w:val="00FE7551"/>
    <w:rsid w:val="00FE77F7"/>
    <w:rsid w:val="00FF47CF"/>
    <w:rsid w:val="00FF5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5977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0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4013"/>
    <w:rPr>
      <w:rFonts w:ascii="Lucida Grande" w:hAnsi="Lucida Grande" w:cs="Lucida Grande"/>
      <w:sz w:val="18"/>
      <w:szCs w:val="18"/>
    </w:rPr>
  </w:style>
  <w:style w:type="paragraph" w:styleId="FootnoteText">
    <w:name w:val="footnote text"/>
    <w:basedOn w:val="NoSpacing"/>
    <w:link w:val="FootnoteTextChar"/>
    <w:uiPriority w:val="99"/>
    <w:unhideWhenUsed/>
    <w:rsid w:val="00251174"/>
    <w:rPr>
      <w:rFonts w:ascii="Times New Roman" w:eastAsia="Calibri" w:hAnsi="Times New Roman"/>
      <w:szCs w:val="20"/>
    </w:rPr>
  </w:style>
  <w:style w:type="character" w:customStyle="1" w:styleId="FootnoteTextChar">
    <w:name w:val="Footnote Text Char"/>
    <w:basedOn w:val="DefaultParagraphFont"/>
    <w:link w:val="FootnoteText"/>
    <w:uiPriority w:val="99"/>
    <w:rsid w:val="00251174"/>
    <w:rPr>
      <w:rFonts w:eastAsia="Calibri" w:cstheme="minorBidi"/>
      <w:szCs w:val="20"/>
    </w:rPr>
  </w:style>
  <w:style w:type="character" w:styleId="FootnoteReference">
    <w:name w:val="footnote reference"/>
    <w:uiPriority w:val="99"/>
    <w:unhideWhenUsed/>
    <w:rsid w:val="00251174"/>
    <w:rPr>
      <w:rFonts w:ascii="Times New Roman" w:hAnsi="Times New Roman"/>
      <w:sz w:val="20"/>
      <w:vertAlign w:val="superscript"/>
    </w:rPr>
  </w:style>
  <w:style w:type="paragraph" w:styleId="ListParagraph">
    <w:name w:val="List Paragraph"/>
    <w:basedOn w:val="Normal"/>
    <w:uiPriority w:val="34"/>
    <w:qFormat/>
    <w:rsid w:val="00A90683"/>
    <w:pPr>
      <w:spacing w:after="200" w:line="276" w:lineRule="auto"/>
      <w:ind w:left="720"/>
      <w:contextualSpacing/>
    </w:pPr>
    <w:rPr>
      <w:rFonts w:ascii="Times New Roman" w:eastAsia="Calibri" w:hAnsi="Times New Roman" w:cs="Times New Roman"/>
      <w:sz w:val="22"/>
      <w:szCs w:val="22"/>
    </w:rPr>
  </w:style>
  <w:style w:type="paragraph" w:styleId="Footer">
    <w:name w:val="footer"/>
    <w:basedOn w:val="Normal"/>
    <w:link w:val="FooterChar"/>
    <w:uiPriority w:val="99"/>
    <w:unhideWhenUsed/>
    <w:rsid w:val="00695732"/>
    <w:pPr>
      <w:tabs>
        <w:tab w:val="center" w:pos="4320"/>
        <w:tab w:val="right" w:pos="8640"/>
      </w:tabs>
    </w:pPr>
  </w:style>
  <w:style w:type="character" w:customStyle="1" w:styleId="FooterChar">
    <w:name w:val="Footer Char"/>
    <w:basedOn w:val="DefaultParagraphFont"/>
    <w:link w:val="Footer"/>
    <w:uiPriority w:val="99"/>
    <w:rsid w:val="00695732"/>
    <w:rPr>
      <w:rFonts w:asciiTheme="minorHAnsi" w:hAnsiTheme="minorHAnsi" w:cstheme="minorBidi"/>
    </w:rPr>
  </w:style>
  <w:style w:type="character" w:styleId="PageNumber">
    <w:name w:val="page number"/>
    <w:basedOn w:val="DefaultParagraphFont"/>
    <w:uiPriority w:val="99"/>
    <w:semiHidden/>
    <w:unhideWhenUsed/>
    <w:rsid w:val="00695732"/>
  </w:style>
  <w:style w:type="paragraph" w:styleId="Header">
    <w:name w:val="header"/>
    <w:basedOn w:val="Normal"/>
    <w:link w:val="HeaderChar"/>
    <w:uiPriority w:val="99"/>
    <w:unhideWhenUsed/>
    <w:rsid w:val="00695732"/>
    <w:pPr>
      <w:tabs>
        <w:tab w:val="center" w:pos="4320"/>
        <w:tab w:val="right" w:pos="8640"/>
      </w:tabs>
    </w:pPr>
  </w:style>
  <w:style w:type="character" w:customStyle="1" w:styleId="HeaderChar">
    <w:name w:val="Header Char"/>
    <w:basedOn w:val="DefaultParagraphFont"/>
    <w:link w:val="Header"/>
    <w:uiPriority w:val="99"/>
    <w:rsid w:val="00695732"/>
    <w:rPr>
      <w:rFonts w:asciiTheme="minorHAnsi" w:hAnsiTheme="minorHAnsi" w:cstheme="minorBidi"/>
    </w:rPr>
  </w:style>
  <w:style w:type="character" w:styleId="Hyperlink">
    <w:name w:val="Hyperlink"/>
    <w:basedOn w:val="DefaultParagraphFont"/>
    <w:uiPriority w:val="99"/>
    <w:unhideWhenUsed/>
    <w:rsid w:val="00A10DF0"/>
    <w:rPr>
      <w:color w:val="0000FF" w:themeColor="hyperlink"/>
      <w:u w:val="single"/>
    </w:rPr>
  </w:style>
  <w:style w:type="table" w:styleId="TableGrid">
    <w:name w:val="Table Grid"/>
    <w:basedOn w:val="TableNormal"/>
    <w:uiPriority w:val="59"/>
    <w:rsid w:val="00F42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autoRedefine/>
    <w:uiPriority w:val="99"/>
    <w:unhideWhenUsed/>
    <w:rsid w:val="003365D3"/>
    <w:pPr>
      <w:spacing w:line="480" w:lineRule="auto"/>
    </w:pPr>
    <w:rPr>
      <w:rFonts w:ascii="Times New Roman" w:hAnsi="Times New Roman"/>
    </w:rPr>
  </w:style>
  <w:style w:type="character" w:customStyle="1" w:styleId="EndnoteTextChar">
    <w:name w:val="Endnote Text Char"/>
    <w:basedOn w:val="DefaultParagraphFont"/>
    <w:link w:val="EndnoteText"/>
    <w:uiPriority w:val="99"/>
    <w:rsid w:val="003365D3"/>
    <w:rPr>
      <w:rFonts w:cstheme="minorBidi"/>
    </w:rPr>
  </w:style>
  <w:style w:type="character" w:styleId="EndnoteReference">
    <w:name w:val="endnote reference"/>
    <w:basedOn w:val="DefaultParagraphFont"/>
    <w:uiPriority w:val="99"/>
    <w:unhideWhenUsed/>
    <w:rsid w:val="00251174"/>
    <w:rPr>
      <w:vertAlign w:val="superscript"/>
    </w:rPr>
  </w:style>
  <w:style w:type="character" w:styleId="FollowedHyperlink">
    <w:name w:val="FollowedHyperlink"/>
    <w:basedOn w:val="DefaultParagraphFont"/>
    <w:uiPriority w:val="99"/>
    <w:semiHidden/>
    <w:unhideWhenUsed/>
    <w:rsid w:val="004D5461"/>
    <w:rPr>
      <w:color w:val="800080" w:themeColor="followedHyperlink"/>
      <w:u w:val="single"/>
    </w:rPr>
  </w:style>
  <w:style w:type="paragraph" w:styleId="NoSpacing">
    <w:name w:val="No Spacing"/>
    <w:uiPriority w:val="1"/>
    <w:qFormat/>
    <w:rsid w:val="00251174"/>
    <w:rPr>
      <w:rFonts w:asciiTheme="minorHAnsi" w:hAnsiTheme="minorHAnsi" w:cstheme="minorBidi"/>
    </w:rPr>
  </w:style>
  <w:style w:type="character" w:styleId="CommentReference">
    <w:name w:val="annotation reference"/>
    <w:basedOn w:val="DefaultParagraphFont"/>
    <w:uiPriority w:val="99"/>
    <w:semiHidden/>
    <w:unhideWhenUsed/>
    <w:rsid w:val="00556011"/>
    <w:rPr>
      <w:sz w:val="18"/>
      <w:szCs w:val="18"/>
    </w:rPr>
  </w:style>
  <w:style w:type="paragraph" w:styleId="CommentText">
    <w:name w:val="annotation text"/>
    <w:basedOn w:val="Normal"/>
    <w:link w:val="CommentTextChar"/>
    <w:uiPriority w:val="99"/>
    <w:semiHidden/>
    <w:unhideWhenUsed/>
    <w:rsid w:val="00556011"/>
  </w:style>
  <w:style w:type="character" w:customStyle="1" w:styleId="CommentTextChar">
    <w:name w:val="Comment Text Char"/>
    <w:basedOn w:val="DefaultParagraphFont"/>
    <w:link w:val="CommentText"/>
    <w:uiPriority w:val="99"/>
    <w:semiHidden/>
    <w:rsid w:val="00556011"/>
    <w:rPr>
      <w:rFonts w:asciiTheme="minorHAnsi" w:hAnsiTheme="minorHAnsi" w:cstheme="minorBidi"/>
    </w:rPr>
  </w:style>
  <w:style w:type="paragraph" w:styleId="CommentSubject">
    <w:name w:val="annotation subject"/>
    <w:basedOn w:val="CommentText"/>
    <w:next w:val="CommentText"/>
    <w:link w:val="CommentSubjectChar"/>
    <w:uiPriority w:val="99"/>
    <w:semiHidden/>
    <w:unhideWhenUsed/>
    <w:rsid w:val="00556011"/>
    <w:rPr>
      <w:b/>
      <w:bCs/>
      <w:sz w:val="20"/>
      <w:szCs w:val="20"/>
    </w:rPr>
  </w:style>
  <w:style w:type="character" w:customStyle="1" w:styleId="CommentSubjectChar">
    <w:name w:val="Comment Subject Char"/>
    <w:basedOn w:val="CommentTextChar"/>
    <w:link w:val="CommentSubject"/>
    <w:uiPriority w:val="99"/>
    <w:semiHidden/>
    <w:rsid w:val="00556011"/>
    <w:rPr>
      <w:rFonts w:asciiTheme="minorHAnsi" w:hAnsiTheme="minorHAnsi" w:cstheme="minorBidi"/>
      <w:b/>
      <w:bCs/>
      <w:sz w:val="20"/>
      <w:szCs w:val="20"/>
    </w:rPr>
  </w:style>
  <w:style w:type="paragraph" w:styleId="NormalWeb">
    <w:name w:val="Normal (Web)"/>
    <w:basedOn w:val="Normal"/>
    <w:uiPriority w:val="99"/>
    <w:semiHidden/>
    <w:unhideWhenUsed/>
    <w:rsid w:val="004A6886"/>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0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4013"/>
    <w:rPr>
      <w:rFonts w:ascii="Lucida Grande" w:hAnsi="Lucida Grande" w:cs="Lucida Grande"/>
      <w:sz w:val="18"/>
      <w:szCs w:val="18"/>
    </w:rPr>
  </w:style>
  <w:style w:type="paragraph" w:styleId="FootnoteText">
    <w:name w:val="footnote text"/>
    <w:basedOn w:val="NoSpacing"/>
    <w:link w:val="FootnoteTextChar"/>
    <w:uiPriority w:val="99"/>
    <w:unhideWhenUsed/>
    <w:rsid w:val="00251174"/>
    <w:rPr>
      <w:rFonts w:ascii="Times New Roman" w:eastAsia="Calibri" w:hAnsi="Times New Roman"/>
      <w:szCs w:val="20"/>
    </w:rPr>
  </w:style>
  <w:style w:type="character" w:customStyle="1" w:styleId="FootnoteTextChar">
    <w:name w:val="Footnote Text Char"/>
    <w:basedOn w:val="DefaultParagraphFont"/>
    <w:link w:val="FootnoteText"/>
    <w:uiPriority w:val="99"/>
    <w:rsid w:val="00251174"/>
    <w:rPr>
      <w:rFonts w:eastAsia="Calibri" w:cstheme="minorBidi"/>
      <w:szCs w:val="20"/>
    </w:rPr>
  </w:style>
  <w:style w:type="character" w:styleId="FootnoteReference">
    <w:name w:val="footnote reference"/>
    <w:uiPriority w:val="99"/>
    <w:unhideWhenUsed/>
    <w:rsid w:val="00251174"/>
    <w:rPr>
      <w:rFonts w:ascii="Times New Roman" w:hAnsi="Times New Roman"/>
      <w:sz w:val="20"/>
      <w:vertAlign w:val="superscript"/>
    </w:rPr>
  </w:style>
  <w:style w:type="paragraph" w:styleId="ListParagraph">
    <w:name w:val="List Paragraph"/>
    <w:basedOn w:val="Normal"/>
    <w:uiPriority w:val="34"/>
    <w:qFormat/>
    <w:rsid w:val="00A90683"/>
    <w:pPr>
      <w:spacing w:after="200" w:line="276" w:lineRule="auto"/>
      <w:ind w:left="720"/>
      <w:contextualSpacing/>
    </w:pPr>
    <w:rPr>
      <w:rFonts w:ascii="Times New Roman" w:eastAsia="Calibri" w:hAnsi="Times New Roman" w:cs="Times New Roman"/>
      <w:sz w:val="22"/>
      <w:szCs w:val="22"/>
    </w:rPr>
  </w:style>
  <w:style w:type="paragraph" w:styleId="Footer">
    <w:name w:val="footer"/>
    <w:basedOn w:val="Normal"/>
    <w:link w:val="FooterChar"/>
    <w:uiPriority w:val="99"/>
    <w:unhideWhenUsed/>
    <w:rsid w:val="00695732"/>
    <w:pPr>
      <w:tabs>
        <w:tab w:val="center" w:pos="4320"/>
        <w:tab w:val="right" w:pos="8640"/>
      </w:tabs>
    </w:pPr>
  </w:style>
  <w:style w:type="character" w:customStyle="1" w:styleId="FooterChar">
    <w:name w:val="Footer Char"/>
    <w:basedOn w:val="DefaultParagraphFont"/>
    <w:link w:val="Footer"/>
    <w:uiPriority w:val="99"/>
    <w:rsid w:val="00695732"/>
    <w:rPr>
      <w:rFonts w:asciiTheme="minorHAnsi" w:hAnsiTheme="minorHAnsi" w:cstheme="minorBidi"/>
    </w:rPr>
  </w:style>
  <w:style w:type="character" w:styleId="PageNumber">
    <w:name w:val="page number"/>
    <w:basedOn w:val="DefaultParagraphFont"/>
    <w:uiPriority w:val="99"/>
    <w:semiHidden/>
    <w:unhideWhenUsed/>
    <w:rsid w:val="00695732"/>
  </w:style>
  <w:style w:type="paragraph" w:styleId="Header">
    <w:name w:val="header"/>
    <w:basedOn w:val="Normal"/>
    <w:link w:val="HeaderChar"/>
    <w:uiPriority w:val="99"/>
    <w:unhideWhenUsed/>
    <w:rsid w:val="00695732"/>
    <w:pPr>
      <w:tabs>
        <w:tab w:val="center" w:pos="4320"/>
        <w:tab w:val="right" w:pos="8640"/>
      </w:tabs>
    </w:pPr>
  </w:style>
  <w:style w:type="character" w:customStyle="1" w:styleId="HeaderChar">
    <w:name w:val="Header Char"/>
    <w:basedOn w:val="DefaultParagraphFont"/>
    <w:link w:val="Header"/>
    <w:uiPriority w:val="99"/>
    <w:rsid w:val="00695732"/>
    <w:rPr>
      <w:rFonts w:asciiTheme="minorHAnsi" w:hAnsiTheme="minorHAnsi" w:cstheme="minorBidi"/>
    </w:rPr>
  </w:style>
  <w:style w:type="character" w:styleId="Hyperlink">
    <w:name w:val="Hyperlink"/>
    <w:basedOn w:val="DefaultParagraphFont"/>
    <w:uiPriority w:val="99"/>
    <w:unhideWhenUsed/>
    <w:rsid w:val="00A10DF0"/>
    <w:rPr>
      <w:color w:val="0000FF" w:themeColor="hyperlink"/>
      <w:u w:val="single"/>
    </w:rPr>
  </w:style>
  <w:style w:type="table" w:styleId="TableGrid">
    <w:name w:val="Table Grid"/>
    <w:basedOn w:val="TableNormal"/>
    <w:uiPriority w:val="59"/>
    <w:rsid w:val="00F42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autoRedefine/>
    <w:uiPriority w:val="99"/>
    <w:unhideWhenUsed/>
    <w:rsid w:val="003365D3"/>
    <w:pPr>
      <w:spacing w:line="480" w:lineRule="auto"/>
    </w:pPr>
    <w:rPr>
      <w:rFonts w:ascii="Times New Roman" w:hAnsi="Times New Roman"/>
    </w:rPr>
  </w:style>
  <w:style w:type="character" w:customStyle="1" w:styleId="EndnoteTextChar">
    <w:name w:val="Endnote Text Char"/>
    <w:basedOn w:val="DefaultParagraphFont"/>
    <w:link w:val="EndnoteText"/>
    <w:uiPriority w:val="99"/>
    <w:rsid w:val="003365D3"/>
    <w:rPr>
      <w:rFonts w:cstheme="minorBidi"/>
    </w:rPr>
  </w:style>
  <w:style w:type="character" w:styleId="EndnoteReference">
    <w:name w:val="endnote reference"/>
    <w:basedOn w:val="DefaultParagraphFont"/>
    <w:uiPriority w:val="99"/>
    <w:unhideWhenUsed/>
    <w:rsid w:val="00251174"/>
    <w:rPr>
      <w:vertAlign w:val="superscript"/>
    </w:rPr>
  </w:style>
  <w:style w:type="character" w:styleId="FollowedHyperlink">
    <w:name w:val="FollowedHyperlink"/>
    <w:basedOn w:val="DefaultParagraphFont"/>
    <w:uiPriority w:val="99"/>
    <w:semiHidden/>
    <w:unhideWhenUsed/>
    <w:rsid w:val="004D5461"/>
    <w:rPr>
      <w:color w:val="800080" w:themeColor="followedHyperlink"/>
      <w:u w:val="single"/>
    </w:rPr>
  </w:style>
  <w:style w:type="paragraph" w:styleId="NoSpacing">
    <w:name w:val="No Spacing"/>
    <w:uiPriority w:val="1"/>
    <w:qFormat/>
    <w:rsid w:val="00251174"/>
    <w:rPr>
      <w:rFonts w:asciiTheme="minorHAnsi" w:hAnsiTheme="minorHAnsi" w:cstheme="minorBidi"/>
    </w:rPr>
  </w:style>
  <w:style w:type="character" w:styleId="CommentReference">
    <w:name w:val="annotation reference"/>
    <w:basedOn w:val="DefaultParagraphFont"/>
    <w:uiPriority w:val="99"/>
    <w:semiHidden/>
    <w:unhideWhenUsed/>
    <w:rsid w:val="00556011"/>
    <w:rPr>
      <w:sz w:val="18"/>
      <w:szCs w:val="18"/>
    </w:rPr>
  </w:style>
  <w:style w:type="paragraph" w:styleId="CommentText">
    <w:name w:val="annotation text"/>
    <w:basedOn w:val="Normal"/>
    <w:link w:val="CommentTextChar"/>
    <w:uiPriority w:val="99"/>
    <w:semiHidden/>
    <w:unhideWhenUsed/>
    <w:rsid w:val="00556011"/>
  </w:style>
  <w:style w:type="character" w:customStyle="1" w:styleId="CommentTextChar">
    <w:name w:val="Comment Text Char"/>
    <w:basedOn w:val="DefaultParagraphFont"/>
    <w:link w:val="CommentText"/>
    <w:uiPriority w:val="99"/>
    <w:semiHidden/>
    <w:rsid w:val="00556011"/>
    <w:rPr>
      <w:rFonts w:asciiTheme="minorHAnsi" w:hAnsiTheme="minorHAnsi" w:cstheme="minorBidi"/>
    </w:rPr>
  </w:style>
  <w:style w:type="paragraph" w:styleId="CommentSubject">
    <w:name w:val="annotation subject"/>
    <w:basedOn w:val="CommentText"/>
    <w:next w:val="CommentText"/>
    <w:link w:val="CommentSubjectChar"/>
    <w:uiPriority w:val="99"/>
    <w:semiHidden/>
    <w:unhideWhenUsed/>
    <w:rsid w:val="00556011"/>
    <w:rPr>
      <w:b/>
      <w:bCs/>
      <w:sz w:val="20"/>
      <w:szCs w:val="20"/>
    </w:rPr>
  </w:style>
  <w:style w:type="character" w:customStyle="1" w:styleId="CommentSubjectChar">
    <w:name w:val="Comment Subject Char"/>
    <w:basedOn w:val="CommentTextChar"/>
    <w:link w:val="CommentSubject"/>
    <w:uiPriority w:val="99"/>
    <w:semiHidden/>
    <w:rsid w:val="00556011"/>
    <w:rPr>
      <w:rFonts w:asciiTheme="minorHAnsi" w:hAnsiTheme="minorHAnsi" w:cstheme="minorBidi"/>
      <w:b/>
      <w:bCs/>
      <w:sz w:val="20"/>
      <w:szCs w:val="20"/>
    </w:rPr>
  </w:style>
  <w:style w:type="paragraph" w:styleId="NormalWeb">
    <w:name w:val="Normal (Web)"/>
    <w:basedOn w:val="Normal"/>
    <w:uiPriority w:val="99"/>
    <w:semiHidden/>
    <w:unhideWhenUsed/>
    <w:rsid w:val="004A688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4212">
      <w:bodyDiv w:val="1"/>
      <w:marLeft w:val="0"/>
      <w:marRight w:val="0"/>
      <w:marTop w:val="0"/>
      <w:marBottom w:val="0"/>
      <w:divBdr>
        <w:top w:val="none" w:sz="0" w:space="0" w:color="auto"/>
        <w:left w:val="none" w:sz="0" w:space="0" w:color="auto"/>
        <w:bottom w:val="none" w:sz="0" w:space="0" w:color="auto"/>
        <w:right w:val="none" w:sz="0" w:space="0" w:color="auto"/>
      </w:divBdr>
      <w:divsChild>
        <w:div w:id="445463062">
          <w:marLeft w:val="0"/>
          <w:marRight w:val="0"/>
          <w:marTop w:val="0"/>
          <w:marBottom w:val="0"/>
          <w:divBdr>
            <w:top w:val="none" w:sz="0" w:space="0" w:color="auto"/>
            <w:left w:val="none" w:sz="0" w:space="0" w:color="auto"/>
            <w:bottom w:val="none" w:sz="0" w:space="0" w:color="auto"/>
            <w:right w:val="none" w:sz="0" w:space="0" w:color="auto"/>
          </w:divBdr>
          <w:divsChild>
            <w:div w:id="2017951173">
              <w:marLeft w:val="0"/>
              <w:marRight w:val="0"/>
              <w:marTop w:val="0"/>
              <w:marBottom w:val="0"/>
              <w:divBdr>
                <w:top w:val="none" w:sz="0" w:space="0" w:color="auto"/>
                <w:left w:val="none" w:sz="0" w:space="0" w:color="auto"/>
                <w:bottom w:val="none" w:sz="0" w:space="0" w:color="auto"/>
                <w:right w:val="none" w:sz="0" w:space="0" w:color="auto"/>
              </w:divBdr>
              <w:divsChild>
                <w:div w:id="95147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928761">
      <w:bodyDiv w:val="1"/>
      <w:marLeft w:val="0"/>
      <w:marRight w:val="0"/>
      <w:marTop w:val="0"/>
      <w:marBottom w:val="0"/>
      <w:divBdr>
        <w:top w:val="none" w:sz="0" w:space="0" w:color="auto"/>
        <w:left w:val="none" w:sz="0" w:space="0" w:color="auto"/>
        <w:bottom w:val="none" w:sz="0" w:space="0" w:color="auto"/>
        <w:right w:val="none" w:sz="0" w:space="0" w:color="auto"/>
      </w:divBdr>
      <w:divsChild>
        <w:div w:id="774908615">
          <w:marLeft w:val="0"/>
          <w:marRight w:val="0"/>
          <w:marTop w:val="0"/>
          <w:marBottom w:val="0"/>
          <w:divBdr>
            <w:top w:val="none" w:sz="0" w:space="0" w:color="auto"/>
            <w:left w:val="none" w:sz="0" w:space="0" w:color="auto"/>
            <w:bottom w:val="none" w:sz="0" w:space="0" w:color="auto"/>
            <w:right w:val="none" w:sz="0" w:space="0" w:color="auto"/>
          </w:divBdr>
          <w:divsChild>
            <w:div w:id="2095585833">
              <w:marLeft w:val="0"/>
              <w:marRight w:val="0"/>
              <w:marTop w:val="0"/>
              <w:marBottom w:val="0"/>
              <w:divBdr>
                <w:top w:val="none" w:sz="0" w:space="0" w:color="auto"/>
                <w:left w:val="none" w:sz="0" w:space="0" w:color="auto"/>
                <w:bottom w:val="none" w:sz="0" w:space="0" w:color="auto"/>
                <w:right w:val="none" w:sz="0" w:space="0" w:color="auto"/>
              </w:divBdr>
              <w:divsChild>
                <w:div w:id="113294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9215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hyperlink" Target="http://epp.eurostat.ec.europa.eu/portal/page/portal/eurostat/home"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diagramData" Target="diagrams/data1.xml"/><Relationship Id="rId10"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D50C24E-1BAB-AB47-8FE2-E607DD88F851}" type="doc">
      <dgm:prSet loTypeId="urn:microsoft.com/office/officeart/2005/8/layout/hProcess9" loCatId="" qsTypeId="urn:microsoft.com/office/officeart/2005/8/quickstyle/simple4" qsCatId="simple" csTypeId="urn:microsoft.com/office/officeart/2005/8/colors/accent1_2" csCatId="accent1" phldr="1"/>
      <dgm:spPr/>
    </dgm:pt>
    <dgm:pt modelId="{9BD93E6E-5E9E-6C41-8D02-B946588EAB82}">
      <dgm:prSet phldrT="[Text]"/>
      <dgm:spPr/>
      <dgm:t>
        <a:bodyPr/>
        <a:lstStyle/>
        <a:p>
          <a:r>
            <a:rPr lang="en-US" u="sng" dirty="0" smtClean="0"/>
            <a:t>Pre-crisis</a:t>
          </a:r>
          <a:r>
            <a:rPr lang="en-US" dirty="0" smtClean="0"/>
            <a:t>: growing societal tensions</a:t>
          </a:r>
          <a:endParaRPr lang="en-US" dirty="0"/>
        </a:p>
      </dgm:t>
    </dgm:pt>
    <dgm:pt modelId="{AE53E091-EFCE-594C-976D-FEBDCDFC6FE1}" type="parTrans" cxnId="{9BB61A66-95AB-3648-990A-80C659B44A97}">
      <dgm:prSet/>
      <dgm:spPr/>
      <dgm:t>
        <a:bodyPr/>
        <a:lstStyle/>
        <a:p>
          <a:endParaRPr lang="en-US"/>
        </a:p>
      </dgm:t>
    </dgm:pt>
    <dgm:pt modelId="{6CAFCA8C-B10E-6846-8B9D-FF03FA5C3A34}" type="sibTrans" cxnId="{9BB61A66-95AB-3648-990A-80C659B44A97}">
      <dgm:prSet/>
      <dgm:spPr/>
      <dgm:t>
        <a:bodyPr/>
        <a:lstStyle/>
        <a:p>
          <a:endParaRPr lang="en-US"/>
        </a:p>
      </dgm:t>
    </dgm:pt>
    <dgm:pt modelId="{8512E3F8-1531-E140-84B5-496E1142E112}">
      <dgm:prSet phldrT="[Text]"/>
      <dgm:spPr/>
      <dgm:t>
        <a:bodyPr/>
        <a:lstStyle/>
        <a:p>
          <a:r>
            <a:rPr lang="en-US" u="sng" dirty="0" smtClean="0"/>
            <a:t>Crisis build-up</a:t>
          </a:r>
          <a:r>
            <a:rPr lang="en-US" dirty="0" smtClean="0"/>
            <a:t>: potential triggers are numerous, media plays a strong role</a:t>
          </a:r>
          <a:endParaRPr lang="en-US" dirty="0"/>
        </a:p>
      </dgm:t>
    </dgm:pt>
    <dgm:pt modelId="{C8D5E7D3-9D6A-4B45-AB92-374EF1A28550}" type="parTrans" cxnId="{97906D98-8F63-A145-A707-5567E24A3398}">
      <dgm:prSet/>
      <dgm:spPr/>
      <dgm:t>
        <a:bodyPr/>
        <a:lstStyle/>
        <a:p>
          <a:endParaRPr lang="en-US"/>
        </a:p>
      </dgm:t>
    </dgm:pt>
    <dgm:pt modelId="{A7C63936-3AAF-924C-855A-59B1BAF3F29B}" type="sibTrans" cxnId="{97906D98-8F63-A145-A707-5567E24A3398}">
      <dgm:prSet/>
      <dgm:spPr/>
      <dgm:t>
        <a:bodyPr/>
        <a:lstStyle/>
        <a:p>
          <a:endParaRPr lang="en-US"/>
        </a:p>
      </dgm:t>
    </dgm:pt>
    <dgm:pt modelId="{28926E9C-9E1B-2741-BB36-6ED49113240C}">
      <dgm:prSet phldrT="[Text]"/>
      <dgm:spPr/>
      <dgm:t>
        <a:bodyPr/>
        <a:lstStyle/>
        <a:p>
          <a:r>
            <a:rPr lang="en-US" u="sng" dirty="0" smtClean="0"/>
            <a:t>Crisis resolution</a:t>
          </a:r>
          <a:r>
            <a:rPr lang="en-US" dirty="0" smtClean="0"/>
            <a:t>: catharsis &amp; elite consensus decision-making</a:t>
          </a:r>
          <a:endParaRPr lang="en-US" dirty="0"/>
        </a:p>
      </dgm:t>
    </dgm:pt>
    <dgm:pt modelId="{D90C5123-0A06-714B-B4EA-1EDCBA756595}" type="parTrans" cxnId="{11A4FA7F-E6C6-AF41-AF93-3156F399556D}">
      <dgm:prSet/>
      <dgm:spPr/>
      <dgm:t>
        <a:bodyPr/>
        <a:lstStyle/>
        <a:p>
          <a:endParaRPr lang="en-US"/>
        </a:p>
      </dgm:t>
    </dgm:pt>
    <dgm:pt modelId="{EC0F4538-B5E3-8B4C-A994-CF860F0A4E77}" type="sibTrans" cxnId="{11A4FA7F-E6C6-AF41-AF93-3156F399556D}">
      <dgm:prSet/>
      <dgm:spPr/>
      <dgm:t>
        <a:bodyPr/>
        <a:lstStyle/>
        <a:p>
          <a:endParaRPr lang="en-US"/>
        </a:p>
      </dgm:t>
    </dgm:pt>
    <dgm:pt modelId="{A8941934-021D-A54E-AFA7-CF05CEC514F7}">
      <dgm:prSet phldrT="[Text]"/>
      <dgm:spPr/>
      <dgm:t>
        <a:bodyPr/>
        <a:lstStyle/>
        <a:p>
          <a:r>
            <a:rPr lang="en-US" u="sng" dirty="0" smtClean="0"/>
            <a:t>Crisis height</a:t>
          </a:r>
          <a:r>
            <a:rPr lang="en-US" dirty="0" smtClean="0"/>
            <a:t>: airing of pre-existing tensions, socially constructed crisis narrative</a:t>
          </a:r>
          <a:endParaRPr lang="en-US" dirty="0"/>
        </a:p>
      </dgm:t>
    </dgm:pt>
    <dgm:pt modelId="{E8FDB539-1904-5D40-B73A-1EC49B71AE5D}" type="parTrans" cxnId="{F2F15D48-03F3-4441-8D50-98A1CEABD8CC}">
      <dgm:prSet/>
      <dgm:spPr/>
      <dgm:t>
        <a:bodyPr/>
        <a:lstStyle/>
        <a:p>
          <a:endParaRPr lang="en-US"/>
        </a:p>
      </dgm:t>
    </dgm:pt>
    <dgm:pt modelId="{E0CA2103-A1DD-A840-ACB4-DB8C7DA36575}" type="sibTrans" cxnId="{F2F15D48-03F3-4441-8D50-98A1CEABD8CC}">
      <dgm:prSet/>
      <dgm:spPr/>
      <dgm:t>
        <a:bodyPr/>
        <a:lstStyle/>
        <a:p>
          <a:endParaRPr lang="en-US"/>
        </a:p>
      </dgm:t>
    </dgm:pt>
    <dgm:pt modelId="{0754ADE0-0E98-3C4A-B493-8575094BBD06}">
      <dgm:prSet phldrT="[Text]"/>
      <dgm:spPr/>
      <dgm:t>
        <a:bodyPr/>
        <a:lstStyle/>
        <a:p>
          <a:r>
            <a:rPr lang="en-US" u="sng" dirty="0" smtClean="0"/>
            <a:t>End of existential crisis: </a:t>
          </a:r>
          <a:r>
            <a:rPr lang="en-US" dirty="0" smtClean="0"/>
            <a:t>aftermath &amp; recovery, </a:t>
          </a:r>
          <a:r>
            <a:rPr lang="en-US" u="none" dirty="0" smtClean="0"/>
            <a:t>new social convergence</a:t>
          </a:r>
          <a:endParaRPr lang="en-US" dirty="0"/>
        </a:p>
      </dgm:t>
    </dgm:pt>
    <dgm:pt modelId="{14DF21FD-1433-7F45-897F-6C3BEFBAF80E}" type="parTrans" cxnId="{362AA606-9A95-D840-B89B-8C7FC5A6A6E1}">
      <dgm:prSet/>
      <dgm:spPr/>
      <dgm:t>
        <a:bodyPr/>
        <a:lstStyle/>
        <a:p>
          <a:endParaRPr lang="en-US"/>
        </a:p>
      </dgm:t>
    </dgm:pt>
    <dgm:pt modelId="{A9517F67-691B-EB4E-8B59-5753CF6C9C1E}" type="sibTrans" cxnId="{362AA606-9A95-D840-B89B-8C7FC5A6A6E1}">
      <dgm:prSet/>
      <dgm:spPr/>
      <dgm:t>
        <a:bodyPr/>
        <a:lstStyle/>
        <a:p>
          <a:endParaRPr lang="en-US"/>
        </a:p>
      </dgm:t>
    </dgm:pt>
    <dgm:pt modelId="{508A8591-0D96-1242-864A-443B7DBD6B14}" type="pres">
      <dgm:prSet presAssocID="{5D50C24E-1BAB-AB47-8FE2-E607DD88F851}" presName="CompostProcess" presStyleCnt="0">
        <dgm:presLayoutVars>
          <dgm:dir/>
          <dgm:resizeHandles val="exact"/>
        </dgm:presLayoutVars>
      </dgm:prSet>
      <dgm:spPr/>
    </dgm:pt>
    <dgm:pt modelId="{A2EAEC17-5F69-454E-991B-6A3E1ED85930}" type="pres">
      <dgm:prSet presAssocID="{5D50C24E-1BAB-AB47-8FE2-E607DD88F851}" presName="arrow" presStyleLbl="bgShp" presStyleIdx="0" presStyleCnt="1"/>
      <dgm:spPr/>
    </dgm:pt>
    <dgm:pt modelId="{48A4ADEE-AAD3-F443-8CF1-A2E126E1ADF6}" type="pres">
      <dgm:prSet presAssocID="{5D50C24E-1BAB-AB47-8FE2-E607DD88F851}" presName="linearProcess" presStyleCnt="0"/>
      <dgm:spPr/>
    </dgm:pt>
    <dgm:pt modelId="{761023F5-8403-4548-90A1-30D94435B856}" type="pres">
      <dgm:prSet presAssocID="{9BD93E6E-5E9E-6C41-8D02-B946588EAB82}" presName="textNode" presStyleLbl="node1" presStyleIdx="0" presStyleCnt="5">
        <dgm:presLayoutVars>
          <dgm:bulletEnabled val="1"/>
        </dgm:presLayoutVars>
      </dgm:prSet>
      <dgm:spPr/>
      <dgm:t>
        <a:bodyPr/>
        <a:lstStyle/>
        <a:p>
          <a:endParaRPr lang="en-US"/>
        </a:p>
      </dgm:t>
    </dgm:pt>
    <dgm:pt modelId="{6F442758-3797-1343-AF98-810D14DF6836}" type="pres">
      <dgm:prSet presAssocID="{6CAFCA8C-B10E-6846-8B9D-FF03FA5C3A34}" presName="sibTrans" presStyleCnt="0"/>
      <dgm:spPr/>
    </dgm:pt>
    <dgm:pt modelId="{7C87825A-AA7F-AE4C-80DA-90CC749FD788}" type="pres">
      <dgm:prSet presAssocID="{8512E3F8-1531-E140-84B5-496E1142E112}" presName="textNode" presStyleLbl="node1" presStyleIdx="1" presStyleCnt="5">
        <dgm:presLayoutVars>
          <dgm:bulletEnabled val="1"/>
        </dgm:presLayoutVars>
      </dgm:prSet>
      <dgm:spPr/>
      <dgm:t>
        <a:bodyPr/>
        <a:lstStyle/>
        <a:p>
          <a:endParaRPr lang="en-US"/>
        </a:p>
      </dgm:t>
    </dgm:pt>
    <dgm:pt modelId="{9885BBBF-8373-594B-9AFD-456279A4570D}" type="pres">
      <dgm:prSet presAssocID="{A7C63936-3AAF-924C-855A-59B1BAF3F29B}" presName="sibTrans" presStyleCnt="0"/>
      <dgm:spPr/>
    </dgm:pt>
    <dgm:pt modelId="{E7A2ED73-2E10-6C40-9565-D4AD66440856}" type="pres">
      <dgm:prSet presAssocID="{A8941934-021D-A54E-AFA7-CF05CEC514F7}" presName="textNode" presStyleLbl="node1" presStyleIdx="2" presStyleCnt="5">
        <dgm:presLayoutVars>
          <dgm:bulletEnabled val="1"/>
        </dgm:presLayoutVars>
      </dgm:prSet>
      <dgm:spPr/>
      <dgm:t>
        <a:bodyPr/>
        <a:lstStyle/>
        <a:p>
          <a:endParaRPr lang="en-US"/>
        </a:p>
      </dgm:t>
    </dgm:pt>
    <dgm:pt modelId="{DC130B1B-EE11-A641-AB6F-0D40E825FA8C}" type="pres">
      <dgm:prSet presAssocID="{E0CA2103-A1DD-A840-ACB4-DB8C7DA36575}" presName="sibTrans" presStyleCnt="0"/>
      <dgm:spPr/>
    </dgm:pt>
    <dgm:pt modelId="{B38CB0AC-5E45-C74B-BAD3-365CC9149CBB}" type="pres">
      <dgm:prSet presAssocID="{28926E9C-9E1B-2741-BB36-6ED49113240C}" presName="textNode" presStyleLbl="node1" presStyleIdx="3" presStyleCnt="5">
        <dgm:presLayoutVars>
          <dgm:bulletEnabled val="1"/>
        </dgm:presLayoutVars>
      </dgm:prSet>
      <dgm:spPr/>
      <dgm:t>
        <a:bodyPr/>
        <a:lstStyle/>
        <a:p>
          <a:endParaRPr lang="en-US"/>
        </a:p>
      </dgm:t>
    </dgm:pt>
    <dgm:pt modelId="{566805E1-DC45-D64A-9D78-594B054939CC}" type="pres">
      <dgm:prSet presAssocID="{EC0F4538-B5E3-8B4C-A994-CF860F0A4E77}" presName="sibTrans" presStyleCnt="0"/>
      <dgm:spPr/>
    </dgm:pt>
    <dgm:pt modelId="{8EB720A1-46D6-6A4D-B123-A1AC4BC0CACD}" type="pres">
      <dgm:prSet presAssocID="{0754ADE0-0E98-3C4A-B493-8575094BBD06}" presName="textNode" presStyleLbl="node1" presStyleIdx="4" presStyleCnt="5">
        <dgm:presLayoutVars>
          <dgm:bulletEnabled val="1"/>
        </dgm:presLayoutVars>
      </dgm:prSet>
      <dgm:spPr/>
      <dgm:t>
        <a:bodyPr/>
        <a:lstStyle/>
        <a:p>
          <a:endParaRPr lang="en-US"/>
        </a:p>
      </dgm:t>
    </dgm:pt>
  </dgm:ptLst>
  <dgm:cxnLst>
    <dgm:cxn modelId="{78843A26-048B-C34B-912A-235F0524002C}" type="presOf" srcId="{0754ADE0-0E98-3C4A-B493-8575094BBD06}" destId="{8EB720A1-46D6-6A4D-B123-A1AC4BC0CACD}" srcOrd="0" destOrd="0" presId="urn:microsoft.com/office/officeart/2005/8/layout/hProcess9"/>
    <dgm:cxn modelId="{7FEF7F43-04E7-AC4E-B60B-A3A3FFA6A41E}" type="presOf" srcId="{5D50C24E-1BAB-AB47-8FE2-E607DD88F851}" destId="{508A8591-0D96-1242-864A-443B7DBD6B14}" srcOrd="0" destOrd="0" presId="urn:microsoft.com/office/officeart/2005/8/layout/hProcess9"/>
    <dgm:cxn modelId="{F2F15D48-03F3-4441-8D50-98A1CEABD8CC}" srcId="{5D50C24E-1BAB-AB47-8FE2-E607DD88F851}" destId="{A8941934-021D-A54E-AFA7-CF05CEC514F7}" srcOrd="2" destOrd="0" parTransId="{E8FDB539-1904-5D40-B73A-1EC49B71AE5D}" sibTransId="{E0CA2103-A1DD-A840-ACB4-DB8C7DA36575}"/>
    <dgm:cxn modelId="{362AA606-9A95-D840-B89B-8C7FC5A6A6E1}" srcId="{5D50C24E-1BAB-AB47-8FE2-E607DD88F851}" destId="{0754ADE0-0E98-3C4A-B493-8575094BBD06}" srcOrd="4" destOrd="0" parTransId="{14DF21FD-1433-7F45-897F-6C3BEFBAF80E}" sibTransId="{A9517F67-691B-EB4E-8B59-5753CF6C9C1E}"/>
    <dgm:cxn modelId="{97906D98-8F63-A145-A707-5567E24A3398}" srcId="{5D50C24E-1BAB-AB47-8FE2-E607DD88F851}" destId="{8512E3F8-1531-E140-84B5-496E1142E112}" srcOrd="1" destOrd="0" parTransId="{C8D5E7D3-9D6A-4B45-AB92-374EF1A28550}" sibTransId="{A7C63936-3AAF-924C-855A-59B1BAF3F29B}"/>
    <dgm:cxn modelId="{48CB9987-3C7D-DF42-9DCD-F255287BED87}" type="presOf" srcId="{8512E3F8-1531-E140-84B5-496E1142E112}" destId="{7C87825A-AA7F-AE4C-80DA-90CC749FD788}" srcOrd="0" destOrd="0" presId="urn:microsoft.com/office/officeart/2005/8/layout/hProcess9"/>
    <dgm:cxn modelId="{1B9CD8AA-6B3C-ED46-BFDA-F676BC211BEB}" type="presOf" srcId="{28926E9C-9E1B-2741-BB36-6ED49113240C}" destId="{B38CB0AC-5E45-C74B-BAD3-365CC9149CBB}" srcOrd="0" destOrd="0" presId="urn:microsoft.com/office/officeart/2005/8/layout/hProcess9"/>
    <dgm:cxn modelId="{9AC2EBAD-2307-414D-94B6-205C553FC073}" type="presOf" srcId="{9BD93E6E-5E9E-6C41-8D02-B946588EAB82}" destId="{761023F5-8403-4548-90A1-30D94435B856}" srcOrd="0" destOrd="0" presId="urn:microsoft.com/office/officeart/2005/8/layout/hProcess9"/>
    <dgm:cxn modelId="{9BB61A66-95AB-3648-990A-80C659B44A97}" srcId="{5D50C24E-1BAB-AB47-8FE2-E607DD88F851}" destId="{9BD93E6E-5E9E-6C41-8D02-B946588EAB82}" srcOrd="0" destOrd="0" parTransId="{AE53E091-EFCE-594C-976D-FEBDCDFC6FE1}" sibTransId="{6CAFCA8C-B10E-6846-8B9D-FF03FA5C3A34}"/>
    <dgm:cxn modelId="{11A4FA7F-E6C6-AF41-AF93-3156F399556D}" srcId="{5D50C24E-1BAB-AB47-8FE2-E607DD88F851}" destId="{28926E9C-9E1B-2741-BB36-6ED49113240C}" srcOrd="3" destOrd="0" parTransId="{D90C5123-0A06-714B-B4EA-1EDCBA756595}" sibTransId="{EC0F4538-B5E3-8B4C-A994-CF860F0A4E77}"/>
    <dgm:cxn modelId="{74C44B88-618D-BC42-A53B-A322281FE3D6}" type="presOf" srcId="{A8941934-021D-A54E-AFA7-CF05CEC514F7}" destId="{E7A2ED73-2E10-6C40-9565-D4AD66440856}" srcOrd="0" destOrd="0" presId="urn:microsoft.com/office/officeart/2005/8/layout/hProcess9"/>
    <dgm:cxn modelId="{F17D123C-A98E-7C4B-B2F2-9F5BF70DF634}" type="presParOf" srcId="{508A8591-0D96-1242-864A-443B7DBD6B14}" destId="{A2EAEC17-5F69-454E-991B-6A3E1ED85930}" srcOrd="0" destOrd="0" presId="urn:microsoft.com/office/officeart/2005/8/layout/hProcess9"/>
    <dgm:cxn modelId="{FAF09380-7C52-104E-A760-5C60341D791D}" type="presParOf" srcId="{508A8591-0D96-1242-864A-443B7DBD6B14}" destId="{48A4ADEE-AAD3-F443-8CF1-A2E126E1ADF6}" srcOrd="1" destOrd="0" presId="urn:microsoft.com/office/officeart/2005/8/layout/hProcess9"/>
    <dgm:cxn modelId="{0A0C102E-6D3A-9C4D-976D-10B28F0B168E}" type="presParOf" srcId="{48A4ADEE-AAD3-F443-8CF1-A2E126E1ADF6}" destId="{761023F5-8403-4548-90A1-30D94435B856}" srcOrd="0" destOrd="0" presId="urn:microsoft.com/office/officeart/2005/8/layout/hProcess9"/>
    <dgm:cxn modelId="{E8B16906-8672-0745-B6C8-08DFFF27A865}" type="presParOf" srcId="{48A4ADEE-AAD3-F443-8CF1-A2E126E1ADF6}" destId="{6F442758-3797-1343-AF98-810D14DF6836}" srcOrd="1" destOrd="0" presId="urn:microsoft.com/office/officeart/2005/8/layout/hProcess9"/>
    <dgm:cxn modelId="{95720A87-B97A-4648-87F5-0AA9BBDD1C3C}" type="presParOf" srcId="{48A4ADEE-AAD3-F443-8CF1-A2E126E1ADF6}" destId="{7C87825A-AA7F-AE4C-80DA-90CC749FD788}" srcOrd="2" destOrd="0" presId="urn:microsoft.com/office/officeart/2005/8/layout/hProcess9"/>
    <dgm:cxn modelId="{9FA4C57C-3FD0-5A46-93A5-5B628D7EA512}" type="presParOf" srcId="{48A4ADEE-AAD3-F443-8CF1-A2E126E1ADF6}" destId="{9885BBBF-8373-594B-9AFD-456279A4570D}" srcOrd="3" destOrd="0" presId="urn:microsoft.com/office/officeart/2005/8/layout/hProcess9"/>
    <dgm:cxn modelId="{315808D0-902B-714C-9902-73A05D5DFF5C}" type="presParOf" srcId="{48A4ADEE-AAD3-F443-8CF1-A2E126E1ADF6}" destId="{E7A2ED73-2E10-6C40-9565-D4AD66440856}" srcOrd="4" destOrd="0" presId="urn:microsoft.com/office/officeart/2005/8/layout/hProcess9"/>
    <dgm:cxn modelId="{673F74FE-B476-A544-9F05-72BFCF34B917}" type="presParOf" srcId="{48A4ADEE-AAD3-F443-8CF1-A2E126E1ADF6}" destId="{DC130B1B-EE11-A641-AB6F-0D40E825FA8C}" srcOrd="5" destOrd="0" presId="urn:microsoft.com/office/officeart/2005/8/layout/hProcess9"/>
    <dgm:cxn modelId="{AF4A39DD-8913-EE4A-8C9B-294A9A9F68CD}" type="presParOf" srcId="{48A4ADEE-AAD3-F443-8CF1-A2E126E1ADF6}" destId="{B38CB0AC-5E45-C74B-BAD3-365CC9149CBB}" srcOrd="6" destOrd="0" presId="urn:microsoft.com/office/officeart/2005/8/layout/hProcess9"/>
    <dgm:cxn modelId="{AD907DD1-578A-6D47-9BE1-BA3C9ABEE988}" type="presParOf" srcId="{48A4ADEE-AAD3-F443-8CF1-A2E126E1ADF6}" destId="{566805E1-DC45-D64A-9D78-594B054939CC}" srcOrd="7" destOrd="0" presId="urn:microsoft.com/office/officeart/2005/8/layout/hProcess9"/>
    <dgm:cxn modelId="{4243493A-A2FD-1A45-83DF-20CEEF1FE19D}" type="presParOf" srcId="{48A4ADEE-AAD3-F443-8CF1-A2E126E1ADF6}" destId="{8EB720A1-46D6-6A4D-B123-A1AC4BC0CACD}" srcOrd="8" destOrd="0" presId="urn:microsoft.com/office/officeart/2005/8/layout/hProcess9"/>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EAEC17-5F69-454E-991B-6A3E1ED85930}">
      <dsp:nvSpPr>
        <dsp:cNvPr id="0" name=""/>
        <dsp:cNvSpPr/>
      </dsp:nvSpPr>
      <dsp:spPr>
        <a:xfrm>
          <a:off x="411479" y="0"/>
          <a:ext cx="4663440" cy="3016885"/>
        </a:xfrm>
        <a:prstGeom prst="rightArrow">
          <a:avLst/>
        </a:prstGeom>
        <a:solidFill>
          <a:schemeClr val="accent1">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761023F5-8403-4548-90A1-30D94435B856}">
      <dsp:nvSpPr>
        <dsp:cNvPr id="0" name=""/>
        <dsp:cNvSpPr/>
      </dsp:nvSpPr>
      <dsp:spPr>
        <a:xfrm>
          <a:off x="2411" y="905065"/>
          <a:ext cx="1054149" cy="1206754"/>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u="sng" kern="1200" dirty="0" smtClean="0"/>
            <a:t>Pre-crisis</a:t>
          </a:r>
          <a:r>
            <a:rPr lang="en-US" sz="1000" kern="1200" dirty="0" smtClean="0"/>
            <a:t>: growing societal tensions</a:t>
          </a:r>
          <a:endParaRPr lang="en-US" sz="1000" kern="1200" dirty="0"/>
        </a:p>
      </dsp:txBody>
      <dsp:txXfrm>
        <a:off x="53870" y="956524"/>
        <a:ext cx="951231" cy="1103836"/>
      </dsp:txXfrm>
    </dsp:sp>
    <dsp:sp modelId="{7C87825A-AA7F-AE4C-80DA-90CC749FD788}">
      <dsp:nvSpPr>
        <dsp:cNvPr id="0" name=""/>
        <dsp:cNvSpPr/>
      </dsp:nvSpPr>
      <dsp:spPr>
        <a:xfrm>
          <a:off x="1109268" y="905065"/>
          <a:ext cx="1054149" cy="1206754"/>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u="sng" kern="1200" dirty="0" smtClean="0"/>
            <a:t>Crisis build-up</a:t>
          </a:r>
          <a:r>
            <a:rPr lang="en-US" sz="1000" kern="1200" dirty="0" smtClean="0"/>
            <a:t>: potential triggers are numerous, media plays a strong role</a:t>
          </a:r>
          <a:endParaRPr lang="en-US" sz="1000" kern="1200" dirty="0"/>
        </a:p>
      </dsp:txBody>
      <dsp:txXfrm>
        <a:off x="1160727" y="956524"/>
        <a:ext cx="951231" cy="1103836"/>
      </dsp:txXfrm>
    </dsp:sp>
    <dsp:sp modelId="{E7A2ED73-2E10-6C40-9565-D4AD66440856}">
      <dsp:nvSpPr>
        <dsp:cNvPr id="0" name=""/>
        <dsp:cNvSpPr/>
      </dsp:nvSpPr>
      <dsp:spPr>
        <a:xfrm>
          <a:off x="2216125" y="905065"/>
          <a:ext cx="1054149" cy="1206754"/>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u="sng" kern="1200" dirty="0" smtClean="0"/>
            <a:t>Crisis height</a:t>
          </a:r>
          <a:r>
            <a:rPr lang="en-US" sz="1000" kern="1200" dirty="0" smtClean="0"/>
            <a:t>: airing of pre-existing tensions, socially constructed crisis narrative</a:t>
          </a:r>
          <a:endParaRPr lang="en-US" sz="1000" kern="1200" dirty="0"/>
        </a:p>
      </dsp:txBody>
      <dsp:txXfrm>
        <a:off x="2267584" y="956524"/>
        <a:ext cx="951231" cy="1103836"/>
      </dsp:txXfrm>
    </dsp:sp>
    <dsp:sp modelId="{B38CB0AC-5E45-C74B-BAD3-365CC9149CBB}">
      <dsp:nvSpPr>
        <dsp:cNvPr id="0" name=""/>
        <dsp:cNvSpPr/>
      </dsp:nvSpPr>
      <dsp:spPr>
        <a:xfrm>
          <a:off x="3322982" y="905065"/>
          <a:ext cx="1054149" cy="1206754"/>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u="sng" kern="1200" dirty="0" smtClean="0"/>
            <a:t>Crisis resolution</a:t>
          </a:r>
          <a:r>
            <a:rPr lang="en-US" sz="1000" kern="1200" dirty="0" smtClean="0"/>
            <a:t>: catharsis &amp; elite consensus decision-making</a:t>
          </a:r>
          <a:endParaRPr lang="en-US" sz="1000" kern="1200" dirty="0"/>
        </a:p>
      </dsp:txBody>
      <dsp:txXfrm>
        <a:off x="3374441" y="956524"/>
        <a:ext cx="951231" cy="1103836"/>
      </dsp:txXfrm>
    </dsp:sp>
    <dsp:sp modelId="{8EB720A1-46D6-6A4D-B123-A1AC4BC0CACD}">
      <dsp:nvSpPr>
        <dsp:cNvPr id="0" name=""/>
        <dsp:cNvSpPr/>
      </dsp:nvSpPr>
      <dsp:spPr>
        <a:xfrm>
          <a:off x="4429839" y="905065"/>
          <a:ext cx="1054149" cy="1206754"/>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u="sng" kern="1200" dirty="0" smtClean="0"/>
            <a:t>End of existential crisis: </a:t>
          </a:r>
          <a:r>
            <a:rPr lang="en-US" sz="1000" kern="1200" dirty="0" smtClean="0"/>
            <a:t>aftermath &amp; recovery, </a:t>
          </a:r>
          <a:r>
            <a:rPr lang="en-US" sz="1000" u="none" kern="1200" dirty="0" smtClean="0"/>
            <a:t>new social convergence</a:t>
          </a:r>
          <a:endParaRPr lang="en-US" sz="1000" kern="1200" dirty="0"/>
        </a:p>
      </dsp:txBody>
      <dsp:txXfrm>
        <a:off x="4481298" y="956524"/>
        <a:ext cx="951231" cy="110383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876CC-7A48-AF4F-A0B5-2228745C6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7696</Words>
  <Characters>43873</Characters>
  <Application>Microsoft Macintosh Word</Application>
  <DocSecurity>0</DocSecurity>
  <Lines>365</Lines>
  <Paragraphs>102</Paragraphs>
  <ScaleCrop>false</ScaleCrop>
  <Company/>
  <LinksUpToDate>false</LinksUpToDate>
  <CharactersWithSpaces>51467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K. Davis Cross</dc:creator>
  <cp:keywords/>
  <dc:description/>
  <cp:lastModifiedBy>Mai'a Cross</cp:lastModifiedBy>
  <cp:revision>2</cp:revision>
  <dcterms:created xsi:type="dcterms:W3CDTF">2015-04-07T15:43:00Z</dcterms:created>
  <dcterms:modified xsi:type="dcterms:W3CDTF">2015-04-07T15:43:00Z</dcterms:modified>
</cp:coreProperties>
</file>